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drawings/drawing2.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drawings/drawing3.xml" ContentType="application/vnd.openxmlformats-officedocument.drawingml.chartshapes+xml"/>
  <Override PartName="/word/charts/chart14.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4.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22.xml" ContentType="application/vnd.openxmlformats-officedocument.themeOverride+xml"/>
  <Override PartName="/word/charts/chart2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23.xml" ContentType="application/vnd.openxmlformats-officedocument.themeOverride+xml"/>
  <Override PartName="/word/charts/chart2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24.xml" ContentType="application/vnd.openxmlformats-officedocument.themeOverride+xml"/>
  <Override PartName="/word/charts/chart2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25.xml" ContentType="application/vnd.openxmlformats-officedocument.themeOverride+xml"/>
  <Override PartName="/word/charts/chart2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26.xml" ContentType="application/vnd.openxmlformats-officedocument.themeOverride+xml"/>
  <Override PartName="/word/charts/chart2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27.xml" ContentType="application/vnd.openxmlformats-officedocument.themeOverride+xml"/>
  <Override PartName="/word/charts/chart2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28.xml" ContentType="application/vnd.openxmlformats-officedocument.themeOverride+xml"/>
  <Override PartName="/word/charts/chart2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29.xml" ContentType="application/vnd.openxmlformats-officedocument.themeOverride+xml"/>
  <Override PartName="/word/charts/chart3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35.xml" ContentType="application/vnd.openxmlformats-officedocument.themeOverride+xml"/>
  <Override PartName="/word/charts/chart36.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36.xml" ContentType="application/vnd.openxmlformats-officedocument.themeOverride+xml"/>
  <Override PartName="/word/charts/chart37.xml" ContentType="application/vnd.openxmlformats-officedocument.drawingml.chart+xml"/>
  <Override PartName="/word/theme/themeOverride37.xml" ContentType="application/vnd.openxmlformats-officedocument.themeOverride+xml"/>
  <Override PartName="/word/charts/chart38.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38.xml" ContentType="application/vnd.openxmlformats-officedocument.themeOverrid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511ED1" w14:textId="39B8C981" w:rsidR="00500E38" w:rsidRDefault="00500E38" w:rsidP="008D7BB4">
      <w:pPr>
        <w:spacing w:line="276" w:lineRule="auto"/>
        <w:contextualSpacing/>
        <w:rPr>
          <w:rFonts w:ascii="Montserrat" w:hAnsi="Montserrat"/>
          <w:sz w:val="21"/>
          <w:szCs w:val="21"/>
        </w:rPr>
      </w:pPr>
    </w:p>
    <w:p w14:paraId="01172984" w14:textId="70A063A6" w:rsidR="004A66F0" w:rsidRPr="004A66F0" w:rsidRDefault="004A66F0" w:rsidP="008D7BB4">
      <w:pPr>
        <w:spacing w:line="276" w:lineRule="auto"/>
        <w:contextualSpacing/>
        <w:rPr>
          <w:rFonts w:ascii="Montserrat" w:hAnsi="Montserrat"/>
          <w:sz w:val="21"/>
          <w:szCs w:val="21"/>
        </w:rPr>
      </w:pPr>
    </w:p>
    <w:p w14:paraId="541BC812" w14:textId="48D74E27" w:rsidR="004A66F0" w:rsidRPr="004A66F0" w:rsidRDefault="004A66F0" w:rsidP="008D7BB4">
      <w:pPr>
        <w:spacing w:line="276" w:lineRule="auto"/>
        <w:contextualSpacing/>
        <w:rPr>
          <w:rFonts w:ascii="Montserrat" w:hAnsi="Montserrat"/>
          <w:sz w:val="21"/>
          <w:szCs w:val="21"/>
        </w:rPr>
      </w:pPr>
    </w:p>
    <w:p w14:paraId="5F3AEDC7" w14:textId="72C0CD99" w:rsidR="004A66F0" w:rsidRDefault="004A66F0" w:rsidP="008D7BB4">
      <w:pPr>
        <w:spacing w:line="276" w:lineRule="auto"/>
        <w:contextualSpacing/>
        <w:rPr>
          <w:rFonts w:ascii="Montserrat" w:hAnsi="Montserrat"/>
          <w:sz w:val="21"/>
          <w:szCs w:val="21"/>
        </w:rPr>
      </w:pPr>
    </w:p>
    <w:p w14:paraId="699C4C68" w14:textId="2C2C2C4A" w:rsidR="004A66F0" w:rsidRDefault="004A66F0" w:rsidP="008D7BB4">
      <w:pPr>
        <w:spacing w:line="276" w:lineRule="auto"/>
        <w:contextualSpacing/>
        <w:rPr>
          <w:rFonts w:ascii="Montserrat" w:hAnsi="Montserrat"/>
          <w:sz w:val="21"/>
          <w:szCs w:val="21"/>
        </w:rPr>
      </w:pPr>
    </w:p>
    <w:p w14:paraId="35ABEC0C" w14:textId="1F8B680C" w:rsidR="004A66F0" w:rsidRDefault="004A66F0" w:rsidP="008D7BB4">
      <w:pPr>
        <w:spacing w:line="276" w:lineRule="auto"/>
        <w:contextualSpacing/>
        <w:rPr>
          <w:rFonts w:ascii="Montserrat" w:hAnsi="Montserrat"/>
          <w:sz w:val="21"/>
          <w:szCs w:val="21"/>
        </w:rPr>
      </w:pPr>
    </w:p>
    <w:p w14:paraId="4223461D" w14:textId="5E459163" w:rsidR="004A66F0" w:rsidRDefault="004A66F0" w:rsidP="008D7BB4">
      <w:pPr>
        <w:spacing w:line="276" w:lineRule="auto"/>
        <w:contextualSpacing/>
        <w:rPr>
          <w:rFonts w:ascii="Montserrat" w:hAnsi="Montserrat"/>
          <w:sz w:val="21"/>
          <w:szCs w:val="21"/>
        </w:rPr>
      </w:pPr>
    </w:p>
    <w:p w14:paraId="2DE76E6A" w14:textId="22839E1E" w:rsidR="004A66F0" w:rsidRDefault="004A66F0" w:rsidP="008D7BB4">
      <w:pPr>
        <w:spacing w:line="276" w:lineRule="auto"/>
        <w:contextualSpacing/>
        <w:rPr>
          <w:rFonts w:ascii="Montserrat" w:hAnsi="Montserrat"/>
          <w:sz w:val="21"/>
          <w:szCs w:val="21"/>
        </w:rPr>
      </w:pPr>
    </w:p>
    <w:p w14:paraId="2E55B4EC" w14:textId="290A9B47" w:rsidR="004A66F0" w:rsidRDefault="004A66F0" w:rsidP="008D7BB4">
      <w:pPr>
        <w:spacing w:line="276" w:lineRule="auto"/>
        <w:contextualSpacing/>
        <w:rPr>
          <w:rFonts w:ascii="Montserrat" w:hAnsi="Montserrat"/>
          <w:sz w:val="21"/>
          <w:szCs w:val="21"/>
        </w:rPr>
      </w:pPr>
    </w:p>
    <w:p w14:paraId="16F3A898" w14:textId="1C9792BB" w:rsidR="004A66F0" w:rsidRDefault="004A66F0" w:rsidP="008D7BB4">
      <w:pPr>
        <w:spacing w:line="276" w:lineRule="auto"/>
        <w:contextualSpacing/>
        <w:rPr>
          <w:rFonts w:ascii="Montserrat" w:hAnsi="Montserrat"/>
          <w:sz w:val="21"/>
          <w:szCs w:val="21"/>
        </w:rPr>
      </w:pPr>
    </w:p>
    <w:p w14:paraId="7DE4DCA8" w14:textId="4FF2193C" w:rsidR="004A66F0" w:rsidRDefault="004A66F0" w:rsidP="008D7BB4">
      <w:pPr>
        <w:spacing w:line="276" w:lineRule="auto"/>
        <w:contextualSpacing/>
        <w:rPr>
          <w:rFonts w:ascii="Montserrat" w:hAnsi="Montserrat"/>
          <w:sz w:val="21"/>
          <w:szCs w:val="21"/>
        </w:rPr>
      </w:pPr>
    </w:p>
    <w:p w14:paraId="15BEE48C" w14:textId="575288DA" w:rsidR="004A66F0" w:rsidRDefault="004A66F0" w:rsidP="008D7BB4">
      <w:pPr>
        <w:spacing w:line="276" w:lineRule="auto"/>
        <w:contextualSpacing/>
        <w:rPr>
          <w:rFonts w:ascii="Montserrat" w:hAnsi="Montserrat"/>
          <w:sz w:val="21"/>
          <w:szCs w:val="21"/>
        </w:rPr>
      </w:pPr>
    </w:p>
    <w:p w14:paraId="145903AA" w14:textId="35EE5CE3" w:rsidR="004A66F0" w:rsidRDefault="004A66F0" w:rsidP="008D7BB4">
      <w:pPr>
        <w:spacing w:line="276" w:lineRule="auto"/>
        <w:contextualSpacing/>
        <w:rPr>
          <w:rFonts w:ascii="Montserrat" w:hAnsi="Montserrat"/>
          <w:sz w:val="21"/>
          <w:szCs w:val="21"/>
        </w:rPr>
      </w:pPr>
    </w:p>
    <w:p w14:paraId="146E38EC" w14:textId="638A8202" w:rsidR="004A66F0" w:rsidRDefault="004A66F0" w:rsidP="008D7BB4">
      <w:pPr>
        <w:spacing w:line="276" w:lineRule="auto"/>
        <w:contextualSpacing/>
        <w:rPr>
          <w:rFonts w:ascii="Montserrat" w:hAnsi="Montserrat"/>
          <w:sz w:val="21"/>
          <w:szCs w:val="21"/>
        </w:rPr>
      </w:pPr>
    </w:p>
    <w:p w14:paraId="47038E3C" w14:textId="6E747666" w:rsidR="004A66F0" w:rsidRDefault="004A66F0" w:rsidP="008D7BB4">
      <w:pPr>
        <w:spacing w:line="276" w:lineRule="auto"/>
        <w:contextualSpacing/>
        <w:rPr>
          <w:rFonts w:ascii="Montserrat" w:hAnsi="Montserrat"/>
          <w:sz w:val="21"/>
          <w:szCs w:val="21"/>
        </w:rPr>
      </w:pPr>
    </w:p>
    <w:p w14:paraId="04EF28C2" w14:textId="65FB5E23" w:rsidR="004A66F0" w:rsidRDefault="004A66F0" w:rsidP="008D7BB4">
      <w:pPr>
        <w:spacing w:line="276" w:lineRule="auto"/>
        <w:contextualSpacing/>
        <w:rPr>
          <w:rFonts w:ascii="Montserrat" w:hAnsi="Montserrat"/>
          <w:sz w:val="21"/>
          <w:szCs w:val="21"/>
        </w:rPr>
      </w:pPr>
    </w:p>
    <w:p w14:paraId="77573F60" w14:textId="77777777" w:rsidR="004A66F0" w:rsidRPr="004A66F0" w:rsidRDefault="004A66F0" w:rsidP="008D7BB4">
      <w:pPr>
        <w:spacing w:line="276" w:lineRule="auto"/>
        <w:contextualSpacing/>
        <w:rPr>
          <w:rFonts w:ascii="Montserrat" w:hAnsi="Montserrat"/>
          <w:sz w:val="21"/>
          <w:szCs w:val="21"/>
        </w:rPr>
      </w:pPr>
    </w:p>
    <w:p w14:paraId="77D32987" w14:textId="69273DD5" w:rsidR="004A66F0" w:rsidRPr="000627C3" w:rsidRDefault="004A66F0" w:rsidP="008D7BB4">
      <w:pPr>
        <w:spacing w:line="276" w:lineRule="auto"/>
        <w:ind w:left="709"/>
        <w:contextualSpacing/>
        <w:jc w:val="center"/>
        <w:rPr>
          <w:rFonts w:ascii="Times New Roman" w:eastAsia="Times New Roman" w:hAnsi="Times New Roman" w:cs="Times New Roman"/>
          <w:b/>
          <w:bCs/>
          <w:sz w:val="38"/>
          <w:szCs w:val="38"/>
          <w:lang w:val="es-ES_tradnl" w:eastAsia="es-ES"/>
        </w:rPr>
      </w:pPr>
      <w:r w:rsidRPr="000627C3">
        <w:rPr>
          <w:rFonts w:ascii="Times New Roman" w:eastAsia="Times New Roman" w:hAnsi="Times New Roman" w:cs="Times New Roman"/>
          <w:b/>
          <w:bCs/>
          <w:sz w:val="38"/>
          <w:szCs w:val="38"/>
          <w:lang w:val="es-ES_tradnl" w:eastAsia="es-ES"/>
        </w:rPr>
        <w:t>Informe de Desempeño de la Política Fiscal 2022 y Perspectivas 2023</w:t>
      </w:r>
    </w:p>
    <w:p w14:paraId="7AED2796" w14:textId="77777777" w:rsidR="004A66F0" w:rsidRPr="004A66F0" w:rsidRDefault="004A66F0" w:rsidP="008D7BB4">
      <w:pPr>
        <w:spacing w:line="276" w:lineRule="auto"/>
        <w:ind w:left="709"/>
        <w:contextualSpacing/>
        <w:jc w:val="both"/>
        <w:rPr>
          <w:rFonts w:ascii="Times New Roman" w:eastAsia="Times New Roman" w:hAnsi="Times New Roman" w:cs="Times New Roman"/>
          <w:b/>
          <w:bCs/>
          <w:sz w:val="22"/>
          <w:szCs w:val="26"/>
          <w:lang w:val="es-ES_tradnl" w:eastAsia="es-ES"/>
        </w:rPr>
      </w:pPr>
    </w:p>
    <w:p w14:paraId="771495F5" w14:textId="77777777" w:rsidR="004A66F0" w:rsidRPr="004A66F0" w:rsidRDefault="004A66F0" w:rsidP="008D7BB4">
      <w:pPr>
        <w:spacing w:line="276" w:lineRule="auto"/>
        <w:ind w:left="709"/>
        <w:contextualSpacing/>
        <w:jc w:val="both"/>
        <w:rPr>
          <w:rFonts w:ascii="Times New Roman" w:eastAsia="Times New Roman" w:hAnsi="Times New Roman" w:cs="Times New Roman"/>
          <w:b/>
          <w:bCs/>
          <w:sz w:val="22"/>
          <w:szCs w:val="26"/>
          <w:lang w:val="es-ES_tradnl" w:eastAsia="es-ES"/>
        </w:rPr>
      </w:pPr>
    </w:p>
    <w:p w14:paraId="6BC9CA91" w14:textId="77777777" w:rsidR="004A66F0" w:rsidRPr="004A66F0" w:rsidRDefault="004A66F0" w:rsidP="008D7BB4">
      <w:pPr>
        <w:spacing w:line="276" w:lineRule="auto"/>
        <w:ind w:left="709"/>
        <w:contextualSpacing/>
        <w:jc w:val="both"/>
        <w:rPr>
          <w:rFonts w:ascii="Times New Roman" w:eastAsia="Times New Roman" w:hAnsi="Times New Roman" w:cs="Times New Roman"/>
          <w:b/>
          <w:bCs/>
          <w:sz w:val="22"/>
          <w:szCs w:val="26"/>
          <w:lang w:val="es-ES_tradnl" w:eastAsia="es-ES"/>
        </w:rPr>
      </w:pPr>
    </w:p>
    <w:p w14:paraId="6E6D0754" w14:textId="77777777" w:rsidR="004A66F0" w:rsidRPr="004A66F0" w:rsidRDefault="004A66F0" w:rsidP="008D7BB4">
      <w:pPr>
        <w:spacing w:line="276" w:lineRule="auto"/>
        <w:ind w:left="709"/>
        <w:contextualSpacing/>
        <w:jc w:val="both"/>
        <w:rPr>
          <w:rFonts w:ascii="Times New Roman" w:eastAsia="Times New Roman" w:hAnsi="Times New Roman" w:cs="Times New Roman"/>
          <w:b/>
          <w:bCs/>
          <w:sz w:val="22"/>
          <w:szCs w:val="26"/>
          <w:lang w:val="es-ES_tradnl" w:eastAsia="es-ES"/>
        </w:rPr>
      </w:pPr>
    </w:p>
    <w:p w14:paraId="67BF217E" w14:textId="77777777" w:rsidR="004A66F0" w:rsidRPr="004A66F0" w:rsidRDefault="004A66F0" w:rsidP="008D7BB4">
      <w:pPr>
        <w:spacing w:line="276" w:lineRule="auto"/>
        <w:ind w:left="709"/>
        <w:contextualSpacing/>
        <w:jc w:val="both"/>
        <w:rPr>
          <w:rFonts w:ascii="Times New Roman" w:eastAsia="Times New Roman" w:hAnsi="Times New Roman" w:cs="Times New Roman"/>
          <w:b/>
          <w:bCs/>
          <w:sz w:val="22"/>
          <w:szCs w:val="26"/>
          <w:lang w:val="es-ES_tradnl" w:eastAsia="es-ES"/>
        </w:rPr>
      </w:pPr>
    </w:p>
    <w:p w14:paraId="2A74C1E8" w14:textId="77777777" w:rsidR="004A66F0" w:rsidRPr="004A66F0" w:rsidRDefault="004A66F0" w:rsidP="008D7BB4">
      <w:pPr>
        <w:spacing w:line="276" w:lineRule="auto"/>
        <w:ind w:left="709"/>
        <w:contextualSpacing/>
        <w:jc w:val="both"/>
        <w:rPr>
          <w:rFonts w:ascii="Times New Roman" w:eastAsia="Times New Roman" w:hAnsi="Times New Roman" w:cs="Times New Roman"/>
          <w:b/>
          <w:bCs/>
          <w:sz w:val="22"/>
          <w:szCs w:val="26"/>
          <w:lang w:val="es-ES_tradnl" w:eastAsia="es-ES"/>
        </w:rPr>
      </w:pPr>
    </w:p>
    <w:p w14:paraId="5C3FA0AB" w14:textId="77777777" w:rsidR="004A66F0" w:rsidRPr="004A66F0" w:rsidRDefault="004A66F0" w:rsidP="008D7BB4">
      <w:pPr>
        <w:spacing w:line="276" w:lineRule="auto"/>
        <w:ind w:left="709"/>
        <w:contextualSpacing/>
        <w:jc w:val="both"/>
        <w:rPr>
          <w:rFonts w:ascii="Times New Roman" w:eastAsia="Times New Roman" w:hAnsi="Times New Roman" w:cs="Times New Roman"/>
          <w:b/>
          <w:bCs/>
          <w:sz w:val="22"/>
          <w:szCs w:val="26"/>
          <w:lang w:val="es-ES_tradnl" w:eastAsia="es-ES"/>
        </w:rPr>
      </w:pPr>
    </w:p>
    <w:p w14:paraId="1003B397" w14:textId="77777777" w:rsidR="004A66F0" w:rsidRPr="004A66F0" w:rsidRDefault="004A66F0" w:rsidP="008D7BB4">
      <w:pPr>
        <w:spacing w:line="276" w:lineRule="auto"/>
        <w:ind w:left="709"/>
        <w:contextualSpacing/>
        <w:jc w:val="both"/>
        <w:rPr>
          <w:rFonts w:ascii="Times New Roman" w:eastAsia="Times New Roman" w:hAnsi="Times New Roman" w:cs="Times New Roman"/>
          <w:b/>
          <w:bCs/>
          <w:sz w:val="22"/>
          <w:szCs w:val="26"/>
          <w:lang w:val="es-ES_tradnl" w:eastAsia="es-ES"/>
        </w:rPr>
      </w:pPr>
    </w:p>
    <w:p w14:paraId="790D57CE" w14:textId="77777777" w:rsidR="004A66F0" w:rsidRPr="004A66F0" w:rsidRDefault="004A66F0" w:rsidP="008D7BB4">
      <w:pPr>
        <w:spacing w:line="276" w:lineRule="auto"/>
        <w:ind w:left="709"/>
        <w:contextualSpacing/>
        <w:jc w:val="both"/>
        <w:rPr>
          <w:rFonts w:ascii="Times New Roman" w:eastAsia="Times New Roman" w:hAnsi="Times New Roman" w:cs="Times New Roman"/>
          <w:b/>
          <w:bCs/>
          <w:sz w:val="22"/>
          <w:szCs w:val="26"/>
          <w:lang w:val="es-ES_tradnl" w:eastAsia="es-ES"/>
        </w:rPr>
      </w:pPr>
    </w:p>
    <w:p w14:paraId="0FEE83A2" w14:textId="77777777" w:rsidR="004A66F0" w:rsidRPr="004A66F0" w:rsidRDefault="004A66F0" w:rsidP="008D7BB4">
      <w:pPr>
        <w:spacing w:line="276" w:lineRule="auto"/>
        <w:ind w:left="709"/>
        <w:contextualSpacing/>
        <w:jc w:val="both"/>
        <w:rPr>
          <w:rFonts w:ascii="Times New Roman" w:eastAsia="Times New Roman" w:hAnsi="Times New Roman" w:cs="Times New Roman"/>
          <w:b/>
          <w:bCs/>
          <w:sz w:val="22"/>
          <w:szCs w:val="26"/>
          <w:lang w:val="es-ES_tradnl" w:eastAsia="es-ES"/>
        </w:rPr>
      </w:pPr>
    </w:p>
    <w:p w14:paraId="17D9F1A5" w14:textId="77777777" w:rsidR="004A66F0" w:rsidRPr="004A66F0" w:rsidRDefault="004A66F0" w:rsidP="008D7BB4">
      <w:pPr>
        <w:spacing w:line="276" w:lineRule="auto"/>
        <w:ind w:left="709"/>
        <w:contextualSpacing/>
        <w:jc w:val="both"/>
        <w:rPr>
          <w:rFonts w:ascii="Times New Roman" w:eastAsia="Times New Roman" w:hAnsi="Times New Roman" w:cs="Times New Roman"/>
          <w:b/>
          <w:bCs/>
          <w:sz w:val="22"/>
          <w:szCs w:val="26"/>
          <w:lang w:val="es-ES_tradnl" w:eastAsia="es-ES"/>
        </w:rPr>
      </w:pPr>
    </w:p>
    <w:p w14:paraId="1F17F64C" w14:textId="77777777" w:rsidR="004A66F0" w:rsidRPr="004A66F0" w:rsidRDefault="004A66F0" w:rsidP="008D7BB4">
      <w:pPr>
        <w:spacing w:line="276" w:lineRule="auto"/>
        <w:ind w:left="709"/>
        <w:contextualSpacing/>
        <w:jc w:val="both"/>
        <w:rPr>
          <w:rFonts w:ascii="Times New Roman" w:eastAsia="Times New Roman" w:hAnsi="Times New Roman" w:cs="Times New Roman"/>
          <w:b/>
          <w:bCs/>
          <w:sz w:val="22"/>
          <w:szCs w:val="26"/>
          <w:lang w:val="es-ES_tradnl" w:eastAsia="es-ES"/>
        </w:rPr>
      </w:pPr>
    </w:p>
    <w:p w14:paraId="755093A7" w14:textId="77777777" w:rsidR="004A66F0" w:rsidRPr="004A66F0" w:rsidRDefault="004A66F0" w:rsidP="008D7BB4">
      <w:pPr>
        <w:spacing w:line="276" w:lineRule="auto"/>
        <w:ind w:left="709"/>
        <w:contextualSpacing/>
        <w:jc w:val="both"/>
        <w:rPr>
          <w:rFonts w:ascii="Times New Roman" w:eastAsia="Times New Roman" w:hAnsi="Times New Roman" w:cs="Times New Roman"/>
          <w:b/>
          <w:bCs/>
          <w:sz w:val="22"/>
          <w:szCs w:val="26"/>
          <w:lang w:val="es-ES_tradnl" w:eastAsia="es-ES"/>
        </w:rPr>
      </w:pPr>
    </w:p>
    <w:p w14:paraId="2F3D69E7" w14:textId="77777777" w:rsidR="004A66F0" w:rsidRPr="004A66F0" w:rsidRDefault="004A66F0" w:rsidP="008D7BB4">
      <w:pPr>
        <w:spacing w:line="276" w:lineRule="auto"/>
        <w:ind w:left="709"/>
        <w:contextualSpacing/>
        <w:jc w:val="both"/>
        <w:rPr>
          <w:rFonts w:ascii="Times New Roman" w:eastAsia="Times New Roman" w:hAnsi="Times New Roman" w:cs="Times New Roman"/>
          <w:b/>
          <w:bCs/>
          <w:sz w:val="22"/>
          <w:szCs w:val="26"/>
          <w:lang w:val="es-ES_tradnl" w:eastAsia="es-ES"/>
        </w:rPr>
      </w:pPr>
    </w:p>
    <w:p w14:paraId="62147CB0" w14:textId="77777777" w:rsidR="004A66F0" w:rsidRPr="004A66F0" w:rsidRDefault="004A66F0" w:rsidP="008D7BB4">
      <w:pPr>
        <w:spacing w:line="276" w:lineRule="auto"/>
        <w:ind w:left="709"/>
        <w:contextualSpacing/>
        <w:jc w:val="both"/>
        <w:rPr>
          <w:rFonts w:ascii="Times New Roman" w:eastAsia="Times New Roman" w:hAnsi="Times New Roman" w:cs="Times New Roman"/>
          <w:b/>
          <w:bCs/>
          <w:sz w:val="22"/>
          <w:szCs w:val="26"/>
          <w:lang w:val="es-ES_tradnl" w:eastAsia="es-ES"/>
        </w:rPr>
      </w:pPr>
    </w:p>
    <w:p w14:paraId="47004780" w14:textId="77777777" w:rsidR="004A66F0" w:rsidRPr="004A66F0" w:rsidRDefault="004A66F0" w:rsidP="008D7BB4">
      <w:pPr>
        <w:spacing w:line="276" w:lineRule="auto"/>
        <w:ind w:left="709"/>
        <w:contextualSpacing/>
        <w:jc w:val="both"/>
        <w:rPr>
          <w:rFonts w:ascii="Times New Roman" w:eastAsia="Times New Roman" w:hAnsi="Times New Roman" w:cs="Times New Roman"/>
          <w:b/>
          <w:bCs/>
          <w:sz w:val="22"/>
          <w:szCs w:val="26"/>
          <w:lang w:val="es-ES_tradnl" w:eastAsia="es-ES"/>
        </w:rPr>
      </w:pPr>
    </w:p>
    <w:p w14:paraId="70C3D1FD" w14:textId="77777777" w:rsidR="004A66F0" w:rsidRPr="004A66F0" w:rsidRDefault="004A66F0" w:rsidP="008D7BB4">
      <w:pPr>
        <w:spacing w:line="276" w:lineRule="auto"/>
        <w:ind w:left="709"/>
        <w:contextualSpacing/>
        <w:jc w:val="both"/>
        <w:rPr>
          <w:rFonts w:ascii="Times New Roman" w:eastAsia="Times New Roman" w:hAnsi="Times New Roman" w:cs="Times New Roman"/>
          <w:b/>
          <w:bCs/>
          <w:sz w:val="22"/>
          <w:szCs w:val="26"/>
          <w:lang w:val="es-ES_tradnl" w:eastAsia="es-ES"/>
        </w:rPr>
      </w:pPr>
    </w:p>
    <w:p w14:paraId="235BC49B" w14:textId="77777777" w:rsidR="004A66F0" w:rsidRPr="004A66F0" w:rsidRDefault="004A66F0" w:rsidP="008D7BB4">
      <w:pPr>
        <w:spacing w:line="276" w:lineRule="auto"/>
        <w:ind w:left="709"/>
        <w:contextualSpacing/>
        <w:jc w:val="both"/>
        <w:rPr>
          <w:rFonts w:ascii="Times New Roman" w:eastAsia="Times New Roman" w:hAnsi="Times New Roman" w:cs="Times New Roman"/>
          <w:b/>
          <w:bCs/>
          <w:sz w:val="22"/>
          <w:szCs w:val="26"/>
          <w:lang w:val="es-ES_tradnl" w:eastAsia="es-ES"/>
        </w:rPr>
      </w:pPr>
    </w:p>
    <w:p w14:paraId="12924527" w14:textId="77777777" w:rsidR="004A66F0" w:rsidRPr="004A66F0" w:rsidRDefault="004A66F0" w:rsidP="008D7BB4">
      <w:pPr>
        <w:spacing w:line="276" w:lineRule="auto"/>
        <w:ind w:left="709"/>
        <w:contextualSpacing/>
        <w:jc w:val="both"/>
        <w:rPr>
          <w:rFonts w:ascii="Times New Roman" w:eastAsia="Times New Roman" w:hAnsi="Times New Roman" w:cs="Times New Roman"/>
          <w:b/>
          <w:bCs/>
          <w:sz w:val="22"/>
          <w:szCs w:val="26"/>
          <w:lang w:val="es-ES_tradnl" w:eastAsia="es-ES"/>
        </w:rPr>
      </w:pPr>
    </w:p>
    <w:p w14:paraId="2F14B67A" w14:textId="4D37C4B1" w:rsidR="004A66F0" w:rsidRDefault="004A66F0" w:rsidP="004C205D">
      <w:pPr>
        <w:spacing w:line="276" w:lineRule="auto"/>
        <w:ind w:left="709"/>
        <w:contextualSpacing/>
        <w:jc w:val="center"/>
        <w:rPr>
          <w:rFonts w:ascii="Times New Roman" w:eastAsia="Times New Roman" w:hAnsi="Times New Roman" w:cs="Times New Roman"/>
          <w:b/>
          <w:bCs/>
          <w:sz w:val="22"/>
          <w:szCs w:val="26"/>
          <w:lang w:val="es-ES_tradnl" w:eastAsia="es-ES"/>
        </w:rPr>
      </w:pPr>
      <w:r w:rsidRPr="004A66F0">
        <w:rPr>
          <w:rFonts w:ascii="Times New Roman" w:eastAsia="Times New Roman" w:hAnsi="Times New Roman" w:cs="Times New Roman"/>
          <w:b/>
          <w:bCs/>
          <w:sz w:val="22"/>
          <w:szCs w:val="26"/>
          <w:lang w:val="es-ES_tradnl" w:eastAsia="es-ES"/>
        </w:rPr>
        <w:t>Guatemala, enero 2023</w:t>
      </w:r>
    </w:p>
    <w:sdt>
      <w:sdtPr>
        <w:rPr>
          <w:rFonts w:asciiTheme="minorHAnsi" w:eastAsiaTheme="minorEastAsia" w:hAnsiTheme="minorHAnsi" w:cstheme="minorBidi"/>
          <w:b/>
          <w:bCs/>
          <w:noProof/>
          <w:color w:val="auto"/>
          <w:sz w:val="24"/>
          <w:szCs w:val="24"/>
          <w:lang w:val="es-ES" w:eastAsia="en-US"/>
        </w:rPr>
        <w:id w:val="1527361351"/>
        <w:docPartObj>
          <w:docPartGallery w:val="Table of Contents"/>
          <w:docPartUnique/>
        </w:docPartObj>
      </w:sdtPr>
      <w:sdtEndPr>
        <w:rPr>
          <w:rFonts w:ascii="Times New Roman" w:eastAsia="Times New Roman" w:hAnsi="Times New Roman" w:cs="Calibri"/>
          <w:sz w:val="22"/>
          <w:szCs w:val="22"/>
          <w:lang w:val="es-ES_tradnl" w:eastAsia="es-ES"/>
        </w:rPr>
      </w:sdtEndPr>
      <w:sdtContent>
        <w:p w14:paraId="4C380C74" w14:textId="3D15EBC1" w:rsidR="00CD728D" w:rsidRPr="00580E0E" w:rsidRDefault="00CD728D" w:rsidP="008D7BB4">
          <w:pPr>
            <w:pStyle w:val="TtuloTDC"/>
            <w:spacing w:line="276" w:lineRule="auto"/>
            <w:contextualSpacing/>
            <w:jc w:val="center"/>
            <w:rPr>
              <w:rFonts w:ascii="Times New Roman" w:hAnsi="Times New Roman"/>
              <w:b/>
              <w:bCs/>
              <w:color w:val="auto"/>
              <w:sz w:val="24"/>
              <w:szCs w:val="24"/>
            </w:rPr>
          </w:pPr>
          <w:r w:rsidRPr="00580E0E">
            <w:rPr>
              <w:rFonts w:ascii="Times New Roman" w:hAnsi="Times New Roman"/>
              <w:b/>
              <w:bCs/>
              <w:color w:val="auto"/>
              <w:sz w:val="24"/>
              <w:szCs w:val="24"/>
              <w:lang w:val="es-ES"/>
            </w:rPr>
            <w:t>Contenido</w:t>
          </w:r>
        </w:p>
        <w:p w14:paraId="63A08B10" w14:textId="3BE241E8" w:rsidR="00196A75" w:rsidRPr="00720946" w:rsidRDefault="00CD728D" w:rsidP="00720946">
          <w:pPr>
            <w:pStyle w:val="TDC1"/>
            <w:rPr>
              <w:rFonts w:eastAsiaTheme="minorEastAsia"/>
              <w:lang w:val="es-GT" w:eastAsia="es-GT"/>
            </w:rPr>
          </w:pPr>
          <w:r w:rsidRPr="00580E0E">
            <w:rPr>
              <w:lang w:val="es-GT"/>
            </w:rPr>
            <w:fldChar w:fldCharType="begin"/>
          </w:r>
          <w:r w:rsidRPr="00580E0E">
            <w:instrText xml:space="preserve"> TOC \o "1-3" \h \z \u </w:instrText>
          </w:r>
          <w:r w:rsidRPr="00580E0E">
            <w:rPr>
              <w:lang w:val="es-GT"/>
            </w:rPr>
            <w:fldChar w:fldCharType="separate"/>
          </w:r>
          <w:hyperlink w:anchor="_Toc125723274" w:history="1">
            <w:r w:rsidR="00196A75" w:rsidRPr="00720946">
              <w:rPr>
                <w:rStyle w:val="Hipervnculo"/>
              </w:rPr>
              <w:t>Introducción</w:t>
            </w:r>
            <w:r w:rsidR="00196A75" w:rsidRPr="00720946">
              <w:rPr>
                <w:webHidden/>
              </w:rPr>
              <w:tab/>
            </w:r>
            <w:r w:rsidR="00196A75" w:rsidRPr="00720946">
              <w:rPr>
                <w:webHidden/>
              </w:rPr>
              <w:fldChar w:fldCharType="begin"/>
            </w:r>
            <w:r w:rsidR="00196A75" w:rsidRPr="00720946">
              <w:rPr>
                <w:webHidden/>
              </w:rPr>
              <w:instrText xml:space="preserve"> PAGEREF _Toc125723274 \h </w:instrText>
            </w:r>
            <w:r w:rsidR="00196A75" w:rsidRPr="00720946">
              <w:rPr>
                <w:webHidden/>
              </w:rPr>
            </w:r>
            <w:r w:rsidR="00196A75" w:rsidRPr="00720946">
              <w:rPr>
                <w:webHidden/>
              </w:rPr>
              <w:fldChar w:fldCharType="separate"/>
            </w:r>
            <w:r w:rsidR="006F4BE5">
              <w:rPr>
                <w:webHidden/>
              </w:rPr>
              <w:t>5</w:t>
            </w:r>
            <w:r w:rsidR="00196A75" w:rsidRPr="00720946">
              <w:rPr>
                <w:webHidden/>
              </w:rPr>
              <w:fldChar w:fldCharType="end"/>
            </w:r>
          </w:hyperlink>
        </w:p>
        <w:p w14:paraId="2103C001" w14:textId="7AAD7FBC" w:rsidR="00196A75" w:rsidRPr="00720946" w:rsidRDefault="00F30D99" w:rsidP="00720946">
          <w:pPr>
            <w:pStyle w:val="TDC1"/>
            <w:rPr>
              <w:rFonts w:eastAsiaTheme="minorEastAsia"/>
              <w:lang w:val="es-GT" w:eastAsia="es-GT"/>
            </w:rPr>
          </w:pPr>
          <w:hyperlink w:anchor="_Toc125723275" w:history="1">
            <w:r w:rsidR="00196A75" w:rsidRPr="00720946">
              <w:rPr>
                <w:rStyle w:val="Hipervnculo"/>
                <w:rFonts w:eastAsiaTheme="majorEastAsia"/>
              </w:rPr>
              <w:t>I.</w:t>
            </w:r>
            <w:r w:rsidR="00196A75" w:rsidRPr="00720946">
              <w:rPr>
                <w:rFonts w:eastAsiaTheme="minorEastAsia"/>
                <w:lang w:val="es-GT" w:eastAsia="es-GT"/>
              </w:rPr>
              <w:t xml:space="preserve"> </w:t>
            </w:r>
            <w:r w:rsidR="00196A75" w:rsidRPr="00720946">
              <w:rPr>
                <w:rStyle w:val="Hipervnculo"/>
                <w:rFonts w:eastAsiaTheme="majorEastAsia"/>
              </w:rPr>
              <w:t>Ingresos Fiscales</w:t>
            </w:r>
            <w:r w:rsidR="00196A75" w:rsidRPr="00720946">
              <w:rPr>
                <w:webHidden/>
              </w:rPr>
              <w:tab/>
            </w:r>
            <w:r w:rsidR="00196A75" w:rsidRPr="00720946">
              <w:rPr>
                <w:webHidden/>
              </w:rPr>
              <w:fldChar w:fldCharType="begin"/>
            </w:r>
            <w:r w:rsidR="00196A75" w:rsidRPr="00720946">
              <w:rPr>
                <w:webHidden/>
              </w:rPr>
              <w:instrText xml:space="preserve"> PAGEREF _Toc125723275 \h </w:instrText>
            </w:r>
            <w:r w:rsidR="00196A75" w:rsidRPr="00720946">
              <w:rPr>
                <w:webHidden/>
              </w:rPr>
            </w:r>
            <w:r w:rsidR="00196A75" w:rsidRPr="00720946">
              <w:rPr>
                <w:webHidden/>
              </w:rPr>
              <w:fldChar w:fldCharType="separate"/>
            </w:r>
            <w:r w:rsidR="006F4BE5">
              <w:rPr>
                <w:webHidden/>
              </w:rPr>
              <w:t>7</w:t>
            </w:r>
            <w:r w:rsidR="00196A75" w:rsidRPr="00720946">
              <w:rPr>
                <w:webHidden/>
              </w:rPr>
              <w:fldChar w:fldCharType="end"/>
            </w:r>
          </w:hyperlink>
        </w:p>
        <w:p w14:paraId="27E99C04" w14:textId="3ED25C3F" w:rsidR="00196A75" w:rsidRPr="00196A75" w:rsidRDefault="00F30D99">
          <w:pPr>
            <w:pStyle w:val="TDC2"/>
            <w:rPr>
              <w:rFonts w:eastAsiaTheme="minorEastAsia" w:cs="Times New Roman"/>
              <w:b w:val="0"/>
              <w:bCs w:val="0"/>
              <w:lang w:eastAsia="es-GT"/>
            </w:rPr>
          </w:pPr>
          <w:hyperlink w:anchor="_Toc125723276" w:history="1">
            <w:r w:rsidR="00196A75" w:rsidRPr="00196A75">
              <w:rPr>
                <w:rStyle w:val="Hipervnculo"/>
                <w:b w:val="0"/>
                <w:bCs w:val="0"/>
              </w:rPr>
              <w:t>1.1</w:t>
            </w:r>
            <w:r w:rsidR="00196A75" w:rsidRPr="00196A75">
              <w:rPr>
                <w:rFonts w:eastAsiaTheme="minorEastAsia" w:cs="Times New Roman"/>
                <w:b w:val="0"/>
                <w:bCs w:val="0"/>
                <w:lang w:eastAsia="es-GT"/>
              </w:rPr>
              <w:tab/>
            </w:r>
            <w:r w:rsidR="00196A75">
              <w:rPr>
                <w:rFonts w:eastAsiaTheme="minorEastAsia" w:cs="Times New Roman"/>
                <w:b w:val="0"/>
                <w:bCs w:val="0"/>
                <w:lang w:eastAsia="es-GT"/>
              </w:rPr>
              <w:t xml:space="preserve"> </w:t>
            </w:r>
            <w:r w:rsidR="00196A75" w:rsidRPr="00196A75">
              <w:rPr>
                <w:rStyle w:val="Hipervnculo"/>
                <w:b w:val="0"/>
                <w:bCs w:val="0"/>
              </w:rPr>
              <w:t>Recaudación tributaria de 2022 mantuvo el dinamismo observado en 2021</w:t>
            </w:r>
            <w:r w:rsidR="00196A75" w:rsidRPr="00196A75">
              <w:rPr>
                <w:rFonts w:cs="Times New Roman"/>
                <w:b w:val="0"/>
                <w:bCs w:val="0"/>
                <w:webHidden/>
              </w:rPr>
              <w:tab/>
            </w:r>
            <w:r w:rsidR="00196A75" w:rsidRPr="00196A75">
              <w:rPr>
                <w:rFonts w:cs="Times New Roman"/>
                <w:b w:val="0"/>
                <w:bCs w:val="0"/>
                <w:webHidden/>
              </w:rPr>
              <w:fldChar w:fldCharType="begin"/>
            </w:r>
            <w:r w:rsidR="00196A75" w:rsidRPr="00196A75">
              <w:rPr>
                <w:rFonts w:cs="Times New Roman"/>
                <w:b w:val="0"/>
                <w:bCs w:val="0"/>
                <w:webHidden/>
              </w:rPr>
              <w:instrText xml:space="preserve"> PAGEREF _Toc125723276 \h </w:instrText>
            </w:r>
            <w:r w:rsidR="00196A75" w:rsidRPr="00196A75">
              <w:rPr>
                <w:rFonts w:cs="Times New Roman"/>
                <w:b w:val="0"/>
                <w:bCs w:val="0"/>
                <w:webHidden/>
              </w:rPr>
            </w:r>
            <w:r w:rsidR="00196A75" w:rsidRPr="00196A75">
              <w:rPr>
                <w:rFonts w:cs="Times New Roman"/>
                <w:b w:val="0"/>
                <w:bCs w:val="0"/>
                <w:webHidden/>
              </w:rPr>
              <w:fldChar w:fldCharType="separate"/>
            </w:r>
            <w:r w:rsidR="006F4BE5">
              <w:rPr>
                <w:rFonts w:cs="Times New Roman"/>
                <w:b w:val="0"/>
                <w:bCs w:val="0"/>
                <w:webHidden/>
              </w:rPr>
              <w:t>7</w:t>
            </w:r>
            <w:r w:rsidR="00196A75" w:rsidRPr="00196A75">
              <w:rPr>
                <w:rFonts w:cs="Times New Roman"/>
                <w:b w:val="0"/>
                <w:bCs w:val="0"/>
                <w:webHidden/>
              </w:rPr>
              <w:fldChar w:fldCharType="end"/>
            </w:r>
          </w:hyperlink>
        </w:p>
        <w:p w14:paraId="4812FB07" w14:textId="04FADEC4" w:rsidR="00196A75" w:rsidRPr="00196A75" w:rsidRDefault="00F30D99">
          <w:pPr>
            <w:pStyle w:val="TDC2"/>
            <w:rPr>
              <w:rFonts w:eastAsiaTheme="minorEastAsia" w:cs="Times New Roman"/>
              <w:b w:val="0"/>
              <w:bCs w:val="0"/>
              <w:lang w:eastAsia="es-GT"/>
            </w:rPr>
          </w:pPr>
          <w:hyperlink w:anchor="_Toc125723277" w:history="1">
            <w:r w:rsidR="00196A75" w:rsidRPr="00196A75">
              <w:rPr>
                <w:rStyle w:val="Hipervnculo"/>
                <w:b w:val="0"/>
                <w:bCs w:val="0"/>
              </w:rPr>
              <w:t>1.2</w:t>
            </w:r>
            <w:r w:rsidR="00196A75" w:rsidRPr="00196A75">
              <w:rPr>
                <w:rFonts w:eastAsiaTheme="minorEastAsia" w:cs="Times New Roman"/>
                <w:b w:val="0"/>
                <w:bCs w:val="0"/>
                <w:lang w:eastAsia="es-GT"/>
              </w:rPr>
              <w:tab/>
            </w:r>
            <w:r w:rsidR="00196A75">
              <w:rPr>
                <w:rFonts w:eastAsiaTheme="minorEastAsia" w:cs="Times New Roman"/>
                <w:b w:val="0"/>
                <w:bCs w:val="0"/>
                <w:lang w:eastAsia="es-GT"/>
              </w:rPr>
              <w:t xml:space="preserve"> </w:t>
            </w:r>
            <w:r w:rsidR="00196A75" w:rsidRPr="00196A75">
              <w:rPr>
                <w:rStyle w:val="Hipervnculo"/>
                <w:b w:val="0"/>
                <w:bCs w:val="0"/>
              </w:rPr>
              <w:t>Impuesto Sobre la Renta -ISR- y el Impuesto de Solidaridad -ISO-</w:t>
            </w:r>
            <w:r w:rsidR="00196A75" w:rsidRPr="00196A75">
              <w:rPr>
                <w:rFonts w:cs="Times New Roman"/>
                <w:b w:val="0"/>
                <w:bCs w:val="0"/>
                <w:webHidden/>
              </w:rPr>
              <w:tab/>
            </w:r>
            <w:r w:rsidR="00196A75" w:rsidRPr="00196A75">
              <w:rPr>
                <w:rFonts w:cs="Times New Roman"/>
                <w:b w:val="0"/>
                <w:bCs w:val="0"/>
                <w:webHidden/>
              </w:rPr>
              <w:fldChar w:fldCharType="begin"/>
            </w:r>
            <w:r w:rsidR="00196A75" w:rsidRPr="00196A75">
              <w:rPr>
                <w:rFonts w:cs="Times New Roman"/>
                <w:b w:val="0"/>
                <w:bCs w:val="0"/>
                <w:webHidden/>
              </w:rPr>
              <w:instrText xml:space="preserve"> PAGEREF _Toc125723277 \h </w:instrText>
            </w:r>
            <w:r w:rsidR="00196A75" w:rsidRPr="00196A75">
              <w:rPr>
                <w:rFonts w:cs="Times New Roman"/>
                <w:b w:val="0"/>
                <w:bCs w:val="0"/>
                <w:webHidden/>
              </w:rPr>
            </w:r>
            <w:r w:rsidR="00196A75" w:rsidRPr="00196A75">
              <w:rPr>
                <w:rFonts w:cs="Times New Roman"/>
                <w:b w:val="0"/>
                <w:bCs w:val="0"/>
                <w:webHidden/>
              </w:rPr>
              <w:fldChar w:fldCharType="separate"/>
            </w:r>
            <w:r w:rsidR="006F4BE5">
              <w:rPr>
                <w:rFonts w:cs="Times New Roman"/>
                <w:b w:val="0"/>
                <w:bCs w:val="0"/>
                <w:webHidden/>
              </w:rPr>
              <w:t>10</w:t>
            </w:r>
            <w:r w:rsidR="00196A75" w:rsidRPr="00196A75">
              <w:rPr>
                <w:rFonts w:cs="Times New Roman"/>
                <w:b w:val="0"/>
                <w:bCs w:val="0"/>
                <w:webHidden/>
              </w:rPr>
              <w:fldChar w:fldCharType="end"/>
            </w:r>
          </w:hyperlink>
        </w:p>
        <w:p w14:paraId="1B351084" w14:textId="784784E6" w:rsidR="00196A75" w:rsidRPr="00196A75" w:rsidRDefault="00F30D99">
          <w:pPr>
            <w:pStyle w:val="TDC2"/>
            <w:rPr>
              <w:rFonts w:eastAsiaTheme="minorEastAsia" w:cs="Times New Roman"/>
              <w:b w:val="0"/>
              <w:bCs w:val="0"/>
              <w:lang w:eastAsia="es-GT"/>
            </w:rPr>
          </w:pPr>
          <w:hyperlink w:anchor="_Toc125723278" w:history="1">
            <w:r w:rsidR="00196A75" w:rsidRPr="00196A75">
              <w:rPr>
                <w:rStyle w:val="Hipervnculo"/>
                <w:b w:val="0"/>
                <w:bCs w:val="0"/>
              </w:rPr>
              <w:t>1.3</w:t>
            </w:r>
            <w:r w:rsidR="00196A75" w:rsidRPr="00196A75">
              <w:rPr>
                <w:rFonts w:eastAsiaTheme="minorEastAsia" w:cs="Times New Roman"/>
                <w:b w:val="0"/>
                <w:bCs w:val="0"/>
                <w:lang w:eastAsia="es-GT"/>
              </w:rPr>
              <w:tab/>
            </w:r>
            <w:r w:rsidR="00196A75">
              <w:rPr>
                <w:rFonts w:eastAsiaTheme="minorEastAsia" w:cs="Times New Roman"/>
                <w:b w:val="0"/>
                <w:bCs w:val="0"/>
                <w:lang w:eastAsia="es-GT"/>
              </w:rPr>
              <w:t xml:space="preserve"> </w:t>
            </w:r>
            <w:r w:rsidR="00196A75" w:rsidRPr="00196A75">
              <w:rPr>
                <w:rStyle w:val="Hipervnculo"/>
                <w:b w:val="0"/>
                <w:bCs w:val="0"/>
              </w:rPr>
              <w:t>Impuesto al Valor Agregado -IVA-</w:t>
            </w:r>
            <w:r w:rsidR="00196A75" w:rsidRPr="00196A75">
              <w:rPr>
                <w:rFonts w:cs="Times New Roman"/>
                <w:b w:val="0"/>
                <w:bCs w:val="0"/>
                <w:webHidden/>
              </w:rPr>
              <w:tab/>
            </w:r>
            <w:r w:rsidR="00196A75" w:rsidRPr="00196A75">
              <w:rPr>
                <w:rFonts w:cs="Times New Roman"/>
                <w:b w:val="0"/>
                <w:bCs w:val="0"/>
                <w:webHidden/>
              </w:rPr>
              <w:fldChar w:fldCharType="begin"/>
            </w:r>
            <w:r w:rsidR="00196A75" w:rsidRPr="00196A75">
              <w:rPr>
                <w:rFonts w:cs="Times New Roman"/>
                <w:b w:val="0"/>
                <w:bCs w:val="0"/>
                <w:webHidden/>
              </w:rPr>
              <w:instrText xml:space="preserve"> PAGEREF _Toc125723278 \h </w:instrText>
            </w:r>
            <w:r w:rsidR="00196A75" w:rsidRPr="00196A75">
              <w:rPr>
                <w:rFonts w:cs="Times New Roman"/>
                <w:b w:val="0"/>
                <w:bCs w:val="0"/>
                <w:webHidden/>
              </w:rPr>
            </w:r>
            <w:r w:rsidR="00196A75" w:rsidRPr="00196A75">
              <w:rPr>
                <w:rFonts w:cs="Times New Roman"/>
                <w:b w:val="0"/>
                <w:bCs w:val="0"/>
                <w:webHidden/>
              </w:rPr>
              <w:fldChar w:fldCharType="separate"/>
            </w:r>
            <w:r w:rsidR="006F4BE5">
              <w:rPr>
                <w:rFonts w:cs="Times New Roman"/>
                <w:b w:val="0"/>
                <w:bCs w:val="0"/>
                <w:webHidden/>
              </w:rPr>
              <w:t>11</w:t>
            </w:r>
            <w:r w:rsidR="00196A75" w:rsidRPr="00196A75">
              <w:rPr>
                <w:rFonts w:cs="Times New Roman"/>
                <w:b w:val="0"/>
                <w:bCs w:val="0"/>
                <w:webHidden/>
              </w:rPr>
              <w:fldChar w:fldCharType="end"/>
            </w:r>
          </w:hyperlink>
        </w:p>
        <w:p w14:paraId="5DC74AAE" w14:textId="3DA75A81" w:rsidR="00196A75" w:rsidRPr="00196A75" w:rsidRDefault="00F30D99">
          <w:pPr>
            <w:pStyle w:val="TDC2"/>
            <w:rPr>
              <w:rFonts w:eastAsiaTheme="minorEastAsia" w:cs="Times New Roman"/>
              <w:b w:val="0"/>
              <w:bCs w:val="0"/>
              <w:lang w:eastAsia="es-GT"/>
            </w:rPr>
          </w:pPr>
          <w:hyperlink w:anchor="_Toc125723279" w:history="1">
            <w:r w:rsidR="00196A75" w:rsidRPr="00196A75">
              <w:rPr>
                <w:rStyle w:val="Hipervnculo"/>
                <w:b w:val="0"/>
                <w:bCs w:val="0"/>
              </w:rPr>
              <w:t>1.4</w:t>
            </w:r>
            <w:r w:rsidR="00196A75" w:rsidRPr="00196A75">
              <w:rPr>
                <w:rFonts w:eastAsiaTheme="minorEastAsia" w:cs="Times New Roman"/>
                <w:b w:val="0"/>
                <w:bCs w:val="0"/>
                <w:lang w:eastAsia="es-GT"/>
              </w:rPr>
              <w:tab/>
            </w:r>
            <w:r w:rsidR="00196A75">
              <w:rPr>
                <w:rFonts w:eastAsiaTheme="minorEastAsia" w:cs="Times New Roman"/>
                <w:b w:val="0"/>
                <w:bCs w:val="0"/>
                <w:lang w:eastAsia="es-GT"/>
              </w:rPr>
              <w:t xml:space="preserve"> </w:t>
            </w:r>
            <w:r w:rsidR="00196A75" w:rsidRPr="00196A75">
              <w:rPr>
                <w:rStyle w:val="Hipervnculo"/>
                <w:b w:val="0"/>
                <w:bCs w:val="0"/>
              </w:rPr>
              <w:t>Crecimiento económico y esfuerzos administrativos logran cambiar la tendencia de la carga tributaria</w:t>
            </w:r>
            <w:r w:rsidR="00196A75">
              <w:rPr>
                <w:rStyle w:val="Hipervnculo"/>
                <w:b w:val="0"/>
                <w:bCs w:val="0"/>
              </w:rPr>
              <w:t>……….</w:t>
            </w:r>
            <w:r w:rsidR="00196A75" w:rsidRPr="00196A75">
              <w:rPr>
                <w:rFonts w:cs="Times New Roman"/>
                <w:b w:val="0"/>
                <w:bCs w:val="0"/>
                <w:webHidden/>
              </w:rPr>
              <w:tab/>
            </w:r>
            <w:r w:rsidR="00196A75" w:rsidRPr="00196A75">
              <w:rPr>
                <w:rFonts w:cs="Times New Roman"/>
                <w:b w:val="0"/>
                <w:bCs w:val="0"/>
                <w:webHidden/>
              </w:rPr>
              <w:fldChar w:fldCharType="begin"/>
            </w:r>
            <w:r w:rsidR="00196A75" w:rsidRPr="00196A75">
              <w:rPr>
                <w:rFonts w:cs="Times New Roman"/>
                <w:b w:val="0"/>
                <w:bCs w:val="0"/>
                <w:webHidden/>
              </w:rPr>
              <w:instrText xml:space="preserve"> PAGEREF _Toc125723279 \h </w:instrText>
            </w:r>
            <w:r w:rsidR="00196A75" w:rsidRPr="00196A75">
              <w:rPr>
                <w:rFonts w:cs="Times New Roman"/>
                <w:b w:val="0"/>
                <w:bCs w:val="0"/>
                <w:webHidden/>
              </w:rPr>
            </w:r>
            <w:r w:rsidR="00196A75" w:rsidRPr="00196A75">
              <w:rPr>
                <w:rFonts w:cs="Times New Roman"/>
                <w:b w:val="0"/>
                <w:bCs w:val="0"/>
                <w:webHidden/>
              </w:rPr>
              <w:fldChar w:fldCharType="separate"/>
            </w:r>
            <w:r w:rsidR="006F4BE5">
              <w:rPr>
                <w:rFonts w:cs="Times New Roman"/>
                <w:b w:val="0"/>
                <w:bCs w:val="0"/>
                <w:webHidden/>
              </w:rPr>
              <w:t>13</w:t>
            </w:r>
            <w:r w:rsidR="00196A75" w:rsidRPr="00196A75">
              <w:rPr>
                <w:rFonts w:cs="Times New Roman"/>
                <w:b w:val="0"/>
                <w:bCs w:val="0"/>
                <w:webHidden/>
              </w:rPr>
              <w:fldChar w:fldCharType="end"/>
            </w:r>
          </w:hyperlink>
        </w:p>
        <w:p w14:paraId="4188CDED" w14:textId="55ACEBC8" w:rsidR="00196A75" w:rsidRPr="00196A75" w:rsidRDefault="00F30D99">
          <w:pPr>
            <w:pStyle w:val="TDC2"/>
            <w:rPr>
              <w:rFonts w:eastAsiaTheme="minorEastAsia" w:cs="Times New Roman"/>
              <w:b w:val="0"/>
              <w:bCs w:val="0"/>
              <w:lang w:eastAsia="es-GT"/>
            </w:rPr>
          </w:pPr>
          <w:hyperlink w:anchor="_Toc125723280" w:history="1">
            <w:r w:rsidR="00196A75" w:rsidRPr="00196A75">
              <w:rPr>
                <w:rStyle w:val="Hipervnculo"/>
                <w:b w:val="0"/>
                <w:bCs w:val="0"/>
              </w:rPr>
              <w:t>1.5</w:t>
            </w:r>
            <w:r w:rsidR="00196A75" w:rsidRPr="00196A75">
              <w:rPr>
                <w:rFonts w:eastAsiaTheme="minorEastAsia" w:cs="Times New Roman"/>
                <w:b w:val="0"/>
                <w:bCs w:val="0"/>
                <w:lang w:eastAsia="es-GT"/>
              </w:rPr>
              <w:tab/>
            </w:r>
            <w:r w:rsidR="00196A75">
              <w:rPr>
                <w:rFonts w:eastAsiaTheme="minorEastAsia" w:cs="Times New Roman"/>
                <w:b w:val="0"/>
                <w:bCs w:val="0"/>
                <w:lang w:eastAsia="es-GT"/>
              </w:rPr>
              <w:t xml:space="preserve"> </w:t>
            </w:r>
            <w:r w:rsidR="00196A75" w:rsidRPr="00196A75">
              <w:rPr>
                <w:rStyle w:val="Hipervnculo"/>
                <w:b w:val="0"/>
                <w:bCs w:val="0"/>
              </w:rPr>
              <w:t>Recaudación no tributaria</w:t>
            </w:r>
            <w:r w:rsidR="00196A75" w:rsidRPr="00196A75">
              <w:rPr>
                <w:rFonts w:cs="Times New Roman"/>
                <w:b w:val="0"/>
                <w:bCs w:val="0"/>
                <w:webHidden/>
              </w:rPr>
              <w:tab/>
            </w:r>
            <w:r w:rsidR="00196A75" w:rsidRPr="00196A75">
              <w:rPr>
                <w:rFonts w:cs="Times New Roman"/>
                <w:b w:val="0"/>
                <w:bCs w:val="0"/>
                <w:webHidden/>
              </w:rPr>
              <w:fldChar w:fldCharType="begin"/>
            </w:r>
            <w:r w:rsidR="00196A75" w:rsidRPr="00196A75">
              <w:rPr>
                <w:rFonts w:cs="Times New Roman"/>
                <w:b w:val="0"/>
                <w:bCs w:val="0"/>
                <w:webHidden/>
              </w:rPr>
              <w:instrText xml:space="preserve"> PAGEREF _Toc125723280 \h </w:instrText>
            </w:r>
            <w:r w:rsidR="00196A75" w:rsidRPr="00196A75">
              <w:rPr>
                <w:rFonts w:cs="Times New Roman"/>
                <w:b w:val="0"/>
                <w:bCs w:val="0"/>
                <w:webHidden/>
              </w:rPr>
            </w:r>
            <w:r w:rsidR="00196A75" w:rsidRPr="00196A75">
              <w:rPr>
                <w:rFonts w:cs="Times New Roman"/>
                <w:b w:val="0"/>
                <w:bCs w:val="0"/>
                <w:webHidden/>
              </w:rPr>
              <w:fldChar w:fldCharType="separate"/>
            </w:r>
            <w:r w:rsidR="006F4BE5">
              <w:rPr>
                <w:rFonts w:cs="Times New Roman"/>
                <w:b w:val="0"/>
                <w:bCs w:val="0"/>
                <w:webHidden/>
              </w:rPr>
              <w:t>15</w:t>
            </w:r>
            <w:r w:rsidR="00196A75" w:rsidRPr="00196A75">
              <w:rPr>
                <w:rFonts w:cs="Times New Roman"/>
                <w:b w:val="0"/>
                <w:bCs w:val="0"/>
                <w:webHidden/>
              </w:rPr>
              <w:fldChar w:fldCharType="end"/>
            </w:r>
          </w:hyperlink>
        </w:p>
        <w:p w14:paraId="3850D956" w14:textId="1911FBD2" w:rsidR="00196A75" w:rsidRPr="00720946" w:rsidRDefault="00F30D99" w:rsidP="00720946">
          <w:pPr>
            <w:pStyle w:val="TDC1"/>
            <w:rPr>
              <w:rFonts w:eastAsiaTheme="minorEastAsia"/>
              <w:lang w:val="es-GT" w:eastAsia="es-GT"/>
            </w:rPr>
          </w:pPr>
          <w:hyperlink w:anchor="_Toc125723281" w:history="1">
            <w:r w:rsidR="00196A75" w:rsidRPr="00720946">
              <w:rPr>
                <w:rStyle w:val="Hipervnculo"/>
                <w:rFonts w:eastAsiaTheme="majorEastAsia"/>
              </w:rPr>
              <w:t>II.</w:t>
            </w:r>
            <w:r w:rsidR="00196A75" w:rsidRPr="00720946">
              <w:rPr>
                <w:rFonts w:eastAsiaTheme="minorEastAsia"/>
                <w:lang w:val="es-GT" w:eastAsia="es-GT"/>
              </w:rPr>
              <w:t xml:space="preserve"> </w:t>
            </w:r>
            <w:r w:rsidR="00196A75" w:rsidRPr="00720946">
              <w:rPr>
                <w:rStyle w:val="Hipervnculo"/>
                <w:rFonts w:eastAsiaTheme="majorEastAsia"/>
              </w:rPr>
              <w:t>Gasto Público</w:t>
            </w:r>
            <w:r w:rsidR="00196A75" w:rsidRPr="00720946">
              <w:rPr>
                <w:webHidden/>
              </w:rPr>
              <w:tab/>
            </w:r>
            <w:r w:rsidR="00196A75" w:rsidRPr="00720946">
              <w:rPr>
                <w:webHidden/>
              </w:rPr>
              <w:fldChar w:fldCharType="begin"/>
            </w:r>
            <w:r w:rsidR="00196A75" w:rsidRPr="00720946">
              <w:rPr>
                <w:webHidden/>
              </w:rPr>
              <w:instrText xml:space="preserve"> PAGEREF _Toc125723281 \h </w:instrText>
            </w:r>
            <w:r w:rsidR="00196A75" w:rsidRPr="00720946">
              <w:rPr>
                <w:webHidden/>
              </w:rPr>
            </w:r>
            <w:r w:rsidR="00196A75" w:rsidRPr="00720946">
              <w:rPr>
                <w:webHidden/>
              </w:rPr>
              <w:fldChar w:fldCharType="separate"/>
            </w:r>
            <w:r w:rsidR="006F4BE5">
              <w:rPr>
                <w:webHidden/>
              </w:rPr>
              <w:t>16</w:t>
            </w:r>
            <w:r w:rsidR="00196A75" w:rsidRPr="00720946">
              <w:rPr>
                <w:webHidden/>
              </w:rPr>
              <w:fldChar w:fldCharType="end"/>
            </w:r>
          </w:hyperlink>
        </w:p>
        <w:p w14:paraId="10AE82B9" w14:textId="42330C51" w:rsidR="00196A75" w:rsidRPr="00196A75" w:rsidRDefault="00F30D99">
          <w:pPr>
            <w:pStyle w:val="TDC2"/>
            <w:rPr>
              <w:rFonts w:eastAsiaTheme="minorEastAsia" w:cs="Times New Roman"/>
              <w:b w:val="0"/>
              <w:bCs w:val="0"/>
              <w:lang w:eastAsia="es-GT"/>
            </w:rPr>
          </w:pPr>
          <w:hyperlink w:anchor="_Toc125723282" w:history="1">
            <w:r w:rsidR="00196A75" w:rsidRPr="00196A75">
              <w:rPr>
                <w:rStyle w:val="Hipervnculo"/>
                <w:b w:val="0"/>
                <w:bCs w:val="0"/>
              </w:rPr>
              <w:t>2.1</w:t>
            </w:r>
            <w:r w:rsidR="00196A75" w:rsidRPr="00196A75">
              <w:rPr>
                <w:rFonts w:eastAsiaTheme="minorEastAsia" w:cs="Times New Roman"/>
                <w:b w:val="0"/>
                <w:bCs w:val="0"/>
                <w:lang w:eastAsia="es-GT"/>
              </w:rPr>
              <w:tab/>
            </w:r>
            <w:r w:rsidR="00196A75">
              <w:rPr>
                <w:rFonts w:eastAsiaTheme="minorEastAsia" w:cs="Times New Roman"/>
                <w:b w:val="0"/>
                <w:bCs w:val="0"/>
                <w:lang w:eastAsia="es-GT"/>
              </w:rPr>
              <w:t xml:space="preserve"> </w:t>
            </w:r>
            <w:r w:rsidR="00196A75" w:rsidRPr="00196A75">
              <w:rPr>
                <w:rStyle w:val="Hipervnculo"/>
                <w:b w:val="0"/>
                <w:bCs w:val="0"/>
              </w:rPr>
              <w:t>El 2022 arrancó con un presupuesto aprobado facilitando el manejo de la política fiscal</w:t>
            </w:r>
            <w:r w:rsidR="00196A75" w:rsidRPr="00196A75">
              <w:rPr>
                <w:rFonts w:cs="Times New Roman"/>
                <w:b w:val="0"/>
                <w:bCs w:val="0"/>
                <w:webHidden/>
              </w:rPr>
              <w:tab/>
            </w:r>
            <w:r w:rsidR="00196A75" w:rsidRPr="00196A75">
              <w:rPr>
                <w:rFonts w:cs="Times New Roman"/>
                <w:b w:val="0"/>
                <w:bCs w:val="0"/>
                <w:webHidden/>
              </w:rPr>
              <w:fldChar w:fldCharType="begin"/>
            </w:r>
            <w:r w:rsidR="00196A75" w:rsidRPr="00196A75">
              <w:rPr>
                <w:rFonts w:cs="Times New Roman"/>
                <w:b w:val="0"/>
                <w:bCs w:val="0"/>
                <w:webHidden/>
              </w:rPr>
              <w:instrText xml:space="preserve"> PAGEREF _Toc125723282 \h </w:instrText>
            </w:r>
            <w:r w:rsidR="00196A75" w:rsidRPr="00196A75">
              <w:rPr>
                <w:rFonts w:cs="Times New Roman"/>
                <w:b w:val="0"/>
                <w:bCs w:val="0"/>
                <w:webHidden/>
              </w:rPr>
            </w:r>
            <w:r w:rsidR="00196A75" w:rsidRPr="00196A75">
              <w:rPr>
                <w:rFonts w:cs="Times New Roman"/>
                <w:b w:val="0"/>
                <w:bCs w:val="0"/>
                <w:webHidden/>
              </w:rPr>
              <w:fldChar w:fldCharType="separate"/>
            </w:r>
            <w:r w:rsidR="006F4BE5">
              <w:rPr>
                <w:rFonts w:cs="Times New Roman"/>
                <w:b w:val="0"/>
                <w:bCs w:val="0"/>
                <w:webHidden/>
              </w:rPr>
              <w:t>16</w:t>
            </w:r>
            <w:r w:rsidR="00196A75" w:rsidRPr="00196A75">
              <w:rPr>
                <w:rFonts w:cs="Times New Roman"/>
                <w:b w:val="0"/>
                <w:bCs w:val="0"/>
                <w:webHidden/>
              </w:rPr>
              <w:fldChar w:fldCharType="end"/>
            </w:r>
          </w:hyperlink>
        </w:p>
        <w:p w14:paraId="11D9BBD1" w14:textId="45AF42A0" w:rsidR="00196A75" w:rsidRPr="00196A75" w:rsidRDefault="00F30D99">
          <w:pPr>
            <w:pStyle w:val="TDC2"/>
            <w:rPr>
              <w:rFonts w:eastAsiaTheme="minorEastAsia" w:cs="Times New Roman"/>
              <w:b w:val="0"/>
              <w:bCs w:val="0"/>
              <w:lang w:eastAsia="es-GT"/>
            </w:rPr>
          </w:pPr>
          <w:hyperlink w:anchor="_Toc125723283" w:history="1">
            <w:r w:rsidR="00196A75" w:rsidRPr="00196A75">
              <w:rPr>
                <w:rStyle w:val="Hipervnculo"/>
                <w:b w:val="0"/>
                <w:bCs w:val="0"/>
              </w:rPr>
              <w:t>2.2</w:t>
            </w:r>
            <w:r w:rsidR="00196A75" w:rsidRPr="00196A75">
              <w:rPr>
                <w:rFonts w:eastAsiaTheme="minorEastAsia" w:cs="Times New Roman"/>
                <w:b w:val="0"/>
                <w:bCs w:val="0"/>
                <w:lang w:eastAsia="es-GT"/>
              </w:rPr>
              <w:tab/>
            </w:r>
            <w:r w:rsidR="00196A75">
              <w:rPr>
                <w:rFonts w:eastAsiaTheme="minorEastAsia" w:cs="Times New Roman"/>
                <w:b w:val="0"/>
                <w:bCs w:val="0"/>
                <w:lang w:eastAsia="es-GT"/>
              </w:rPr>
              <w:t xml:space="preserve"> </w:t>
            </w:r>
            <w:r w:rsidR="00196A75" w:rsidRPr="00196A75">
              <w:rPr>
                <w:rStyle w:val="Hipervnculo"/>
                <w:b w:val="0"/>
                <w:bCs w:val="0"/>
              </w:rPr>
              <w:t>Alto dinamismo en la ejecución del gasto 2022</w:t>
            </w:r>
            <w:r w:rsidR="00196A75" w:rsidRPr="00196A75">
              <w:rPr>
                <w:rFonts w:cs="Times New Roman"/>
                <w:b w:val="0"/>
                <w:bCs w:val="0"/>
                <w:webHidden/>
              </w:rPr>
              <w:tab/>
            </w:r>
            <w:r w:rsidR="00196A75" w:rsidRPr="00196A75">
              <w:rPr>
                <w:rFonts w:cs="Times New Roman"/>
                <w:b w:val="0"/>
                <w:bCs w:val="0"/>
                <w:webHidden/>
              </w:rPr>
              <w:fldChar w:fldCharType="begin"/>
            </w:r>
            <w:r w:rsidR="00196A75" w:rsidRPr="00196A75">
              <w:rPr>
                <w:rFonts w:cs="Times New Roman"/>
                <w:b w:val="0"/>
                <w:bCs w:val="0"/>
                <w:webHidden/>
              </w:rPr>
              <w:instrText xml:space="preserve"> PAGEREF _Toc125723283 \h </w:instrText>
            </w:r>
            <w:r w:rsidR="00196A75" w:rsidRPr="00196A75">
              <w:rPr>
                <w:rFonts w:cs="Times New Roman"/>
                <w:b w:val="0"/>
                <w:bCs w:val="0"/>
                <w:webHidden/>
              </w:rPr>
            </w:r>
            <w:r w:rsidR="00196A75" w:rsidRPr="00196A75">
              <w:rPr>
                <w:rFonts w:cs="Times New Roman"/>
                <w:b w:val="0"/>
                <w:bCs w:val="0"/>
                <w:webHidden/>
              </w:rPr>
              <w:fldChar w:fldCharType="separate"/>
            </w:r>
            <w:r w:rsidR="006F4BE5">
              <w:rPr>
                <w:rFonts w:cs="Times New Roman"/>
                <w:b w:val="0"/>
                <w:bCs w:val="0"/>
                <w:webHidden/>
              </w:rPr>
              <w:t>16</w:t>
            </w:r>
            <w:r w:rsidR="00196A75" w:rsidRPr="00196A75">
              <w:rPr>
                <w:rFonts w:cs="Times New Roman"/>
                <w:b w:val="0"/>
                <w:bCs w:val="0"/>
                <w:webHidden/>
              </w:rPr>
              <w:fldChar w:fldCharType="end"/>
            </w:r>
          </w:hyperlink>
        </w:p>
        <w:p w14:paraId="6906F4C6" w14:textId="4924D84A" w:rsidR="00196A75" w:rsidRPr="00196A75" w:rsidRDefault="00F30D99">
          <w:pPr>
            <w:pStyle w:val="TDC2"/>
            <w:rPr>
              <w:rFonts w:eastAsiaTheme="minorEastAsia" w:cs="Times New Roman"/>
              <w:b w:val="0"/>
              <w:bCs w:val="0"/>
              <w:lang w:eastAsia="es-GT"/>
            </w:rPr>
          </w:pPr>
          <w:hyperlink w:anchor="_Toc125723284" w:history="1">
            <w:r w:rsidR="00196A75" w:rsidRPr="00196A75">
              <w:rPr>
                <w:rStyle w:val="Hipervnculo"/>
                <w:b w:val="0"/>
                <w:bCs w:val="0"/>
              </w:rPr>
              <w:t>2.3</w:t>
            </w:r>
            <w:r w:rsidR="00196A75" w:rsidRPr="00196A75">
              <w:rPr>
                <w:rFonts w:eastAsiaTheme="minorEastAsia" w:cs="Times New Roman"/>
                <w:b w:val="0"/>
                <w:bCs w:val="0"/>
                <w:lang w:eastAsia="es-GT"/>
              </w:rPr>
              <w:tab/>
            </w:r>
            <w:r w:rsidR="00196A75">
              <w:rPr>
                <w:rFonts w:eastAsiaTheme="minorEastAsia" w:cs="Times New Roman"/>
                <w:b w:val="0"/>
                <w:bCs w:val="0"/>
                <w:lang w:eastAsia="es-GT"/>
              </w:rPr>
              <w:t xml:space="preserve"> </w:t>
            </w:r>
            <w:r w:rsidR="00196A75" w:rsidRPr="00196A75">
              <w:rPr>
                <w:rStyle w:val="Hipervnculo"/>
                <w:b w:val="0"/>
                <w:bCs w:val="0"/>
              </w:rPr>
              <w:t>Gastos no esenciales se mantienen en un nivel prudente.</w:t>
            </w:r>
            <w:r w:rsidR="00196A75" w:rsidRPr="00196A75">
              <w:rPr>
                <w:rFonts w:cs="Times New Roman"/>
                <w:b w:val="0"/>
                <w:bCs w:val="0"/>
                <w:webHidden/>
              </w:rPr>
              <w:tab/>
            </w:r>
            <w:r w:rsidR="00196A75" w:rsidRPr="00196A75">
              <w:rPr>
                <w:rFonts w:cs="Times New Roman"/>
                <w:b w:val="0"/>
                <w:bCs w:val="0"/>
                <w:webHidden/>
              </w:rPr>
              <w:fldChar w:fldCharType="begin"/>
            </w:r>
            <w:r w:rsidR="00196A75" w:rsidRPr="00196A75">
              <w:rPr>
                <w:rFonts w:cs="Times New Roman"/>
                <w:b w:val="0"/>
                <w:bCs w:val="0"/>
                <w:webHidden/>
              </w:rPr>
              <w:instrText xml:space="preserve"> PAGEREF _Toc125723284 \h </w:instrText>
            </w:r>
            <w:r w:rsidR="00196A75" w:rsidRPr="00196A75">
              <w:rPr>
                <w:rFonts w:cs="Times New Roman"/>
                <w:b w:val="0"/>
                <w:bCs w:val="0"/>
                <w:webHidden/>
              </w:rPr>
            </w:r>
            <w:r w:rsidR="00196A75" w:rsidRPr="00196A75">
              <w:rPr>
                <w:rFonts w:cs="Times New Roman"/>
                <w:b w:val="0"/>
                <w:bCs w:val="0"/>
                <w:webHidden/>
              </w:rPr>
              <w:fldChar w:fldCharType="separate"/>
            </w:r>
            <w:r w:rsidR="006F4BE5">
              <w:rPr>
                <w:rFonts w:cs="Times New Roman"/>
                <w:b w:val="0"/>
                <w:bCs w:val="0"/>
                <w:webHidden/>
              </w:rPr>
              <w:t>21</w:t>
            </w:r>
            <w:r w:rsidR="00196A75" w:rsidRPr="00196A75">
              <w:rPr>
                <w:rFonts w:cs="Times New Roman"/>
                <w:b w:val="0"/>
                <w:bCs w:val="0"/>
                <w:webHidden/>
              </w:rPr>
              <w:fldChar w:fldCharType="end"/>
            </w:r>
          </w:hyperlink>
        </w:p>
        <w:p w14:paraId="4AE94471" w14:textId="47B2ABF8" w:rsidR="00196A75" w:rsidRPr="00196A75" w:rsidRDefault="00F30D99">
          <w:pPr>
            <w:pStyle w:val="TDC2"/>
            <w:rPr>
              <w:rFonts w:eastAsiaTheme="minorEastAsia" w:cs="Times New Roman"/>
              <w:b w:val="0"/>
              <w:bCs w:val="0"/>
              <w:lang w:eastAsia="es-GT"/>
            </w:rPr>
          </w:pPr>
          <w:hyperlink w:anchor="_Toc125723285" w:history="1">
            <w:r w:rsidR="00196A75" w:rsidRPr="00196A75">
              <w:rPr>
                <w:rStyle w:val="Hipervnculo"/>
                <w:b w:val="0"/>
                <w:bCs w:val="0"/>
              </w:rPr>
              <w:t>2.4</w:t>
            </w:r>
            <w:r w:rsidR="00196A75" w:rsidRPr="00196A75">
              <w:rPr>
                <w:rFonts w:eastAsiaTheme="minorEastAsia" w:cs="Times New Roman"/>
                <w:b w:val="0"/>
                <w:bCs w:val="0"/>
                <w:lang w:eastAsia="es-GT"/>
              </w:rPr>
              <w:tab/>
            </w:r>
            <w:r w:rsidR="00196A75">
              <w:rPr>
                <w:rFonts w:eastAsiaTheme="minorEastAsia" w:cs="Times New Roman"/>
                <w:b w:val="0"/>
                <w:bCs w:val="0"/>
                <w:lang w:eastAsia="es-GT"/>
              </w:rPr>
              <w:t xml:space="preserve"> </w:t>
            </w:r>
            <w:r w:rsidR="00196A75" w:rsidRPr="00196A75">
              <w:rPr>
                <w:rStyle w:val="Hipervnculo"/>
                <w:b w:val="0"/>
                <w:bCs w:val="0"/>
              </w:rPr>
              <w:t>Los sectores de justicia tuvieron el mayor repunte en el gasto de los Acuerdo de Paz durante 2022</w:t>
            </w:r>
            <w:r w:rsidR="00196A75">
              <w:rPr>
                <w:rStyle w:val="Hipervnculo"/>
                <w:b w:val="0"/>
                <w:bCs w:val="0"/>
              </w:rPr>
              <w:t>…………………..</w:t>
            </w:r>
            <w:r w:rsidR="00196A75" w:rsidRPr="00196A75">
              <w:rPr>
                <w:rFonts w:cs="Times New Roman"/>
                <w:b w:val="0"/>
                <w:bCs w:val="0"/>
                <w:webHidden/>
              </w:rPr>
              <w:tab/>
            </w:r>
            <w:r w:rsidR="00196A75" w:rsidRPr="00196A75">
              <w:rPr>
                <w:rFonts w:cs="Times New Roman"/>
                <w:b w:val="0"/>
                <w:bCs w:val="0"/>
                <w:webHidden/>
              </w:rPr>
              <w:fldChar w:fldCharType="begin"/>
            </w:r>
            <w:r w:rsidR="00196A75" w:rsidRPr="00196A75">
              <w:rPr>
                <w:rFonts w:cs="Times New Roman"/>
                <w:b w:val="0"/>
                <w:bCs w:val="0"/>
                <w:webHidden/>
              </w:rPr>
              <w:instrText xml:space="preserve"> PAGEREF _Toc125723285 \h </w:instrText>
            </w:r>
            <w:r w:rsidR="00196A75" w:rsidRPr="00196A75">
              <w:rPr>
                <w:rFonts w:cs="Times New Roman"/>
                <w:b w:val="0"/>
                <w:bCs w:val="0"/>
                <w:webHidden/>
              </w:rPr>
            </w:r>
            <w:r w:rsidR="00196A75" w:rsidRPr="00196A75">
              <w:rPr>
                <w:rFonts w:cs="Times New Roman"/>
                <w:b w:val="0"/>
                <w:bCs w:val="0"/>
                <w:webHidden/>
              </w:rPr>
              <w:fldChar w:fldCharType="separate"/>
            </w:r>
            <w:r w:rsidR="006F4BE5">
              <w:rPr>
                <w:rFonts w:cs="Times New Roman"/>
                <w:b w:val="0"/>
                <w:bCs w:val="0"/>
                <w:webHidden/>
              </w:rPr>
              <w:t>25</w:t>
            </w:r>
            <w:r w:rsidR="00196A75" w:rsidRPr="00196A75">
              <w:rPr>
                <w:rFonts w:cs="Times New Roman"/>
                <w:b w:val="0"/>
                <w:bCs w:val="0"/>
                <w:webHidden/>
              </w:rPr>
              <w:fldChar w:fldCharType="end"/>
            </w:r>
          </w:hyperlink>
        </w:p>
        <w:p w14:paraId="71F38E32" w14:textId="305807E1" w:rsidR="00196A75" w:rsidRPr="00196A75" w:rsidRDefault="00F30D99">
          <w:pPr>
            <w:pStyle w:val="TDC2"/>
            <w:rPr>
              <w:rFonts w:eastAsiaTheme="minorEastAsia" w:cs="Times New Roman"/>
              <w:b w:val="0"/>
              <w:bCs w:val="0"/>
              <w:lang w:eastAsia="es-GT"/>
            </w:rPr>
          </w:pPr>
          <w:hyperlink w:anchor="_Toc125723286" w:history="1">
            <w:r w:rsidR="00196A75" w:rsidRPr="00196A75">
              <w:rPr>
                <w:rStyle w:val="Hipervnculo"/>
                <w:b w:val="0"/>
                <w:bCs w:val="0"/>
              </w:rPr>
              <w:t>2.5</w:t>
            </w:r>
            <w:r w:rsidR="00196A75" w:rsidRPr="00196A75">
              <w:rPr>
                <w:rFonts w:eastAsiaTheme="minorEastAsia" w:cs="Times New Roman"/>
                <w:b w:val="0"/>
                <w:bCs w:val="0"/>
                <w:lang w:eastAsia="es-GT"/>
              </w:rPr>
              <w:tab/>
            </w:r>
            <w:r w:rsidR="00196A75">
              <w:rPr>
                <w:rFonts w:eastAsiaTheme="minorEastAsia" w:cs="Times New Roman"/>
                <w:b w:val="0"/>
                <w:bCs w:val="0"/>
                <w:lang w:eastAsia="es-GT"/>
              </w:rPr>
              <w:t xml:space="preserve"> </w:t>
            </w:r>
            <w:r w:rsidR="00196A75" w:rsidRPr="00196A75">
              <w:rPr>
                <w:rStyle w:val="Hipervnculo"/>
                <w:b w:val="0"/>
                <w:bCs w:val="0"/>
              </w:rPr>
              <w:t>Ejecución institucional</w:t>
            </w:r>
            <w:r w:rsidR="00196A75" w:rsidRPr="00196A75">
              <w:rPr>
                <w:rFonts w:cs="Times New Roman"/>
                <w:b w:val="0"/>
                <w:bCs w:val="0"/>
                <w:webHidden/>
              </w:rPr>
              <w:tab/>
            </w:r>
            <w:r w:rsidR="00196A75" w:rsidRPr="00196A75">
              <w:rPr>
                <w:rFonts w:cs="Times New Roman"/>
                <w:b w:val="0"/>
                <w:bCs w:val="0"/>
                <w:webHidden/>
              </w:rPr>
              <w:fldChar w:fldCharType="begin"/>
            </w:r>
            <w:r w:rsidR="00196A75" w:rsidRPr="00196A75">
              <w:rPr>
                <w:rFonts w:cs="Times New Roman"/>
                <w:b w:val="0"/>
                <w:bCs w:val="0"/>
                <w:webHidden/>
              </w:rPr>
              <w:instrText xml:space="preserve"> PAGEREF _Toc125723286 \h </w:instrText>
            </w:r>
            <w:r w:rsidR="00196A75" w:rsidRPr="00196A75">
              <w:rPr>
                <w:rFonts w:cs="Times New Roman"/>
                <w:b w:val="0"/>
                <w:bCs w:val="0"/>
                <w:webHidden/>
              </w:rPr>
            </w:r>
            <w:r w:rsidR="00196A75" w:rsidRPr="00196A75">
              <w:rPr>
                <w:rFonts w:cs="Times New Roman"/>
                <w:b w:val="0"/>
                <w:bCs w:val="0"/>
                <w:webHidden/>
              </w:rPr>
              <w:fldChar w:fldCharType="separate"/>
            </w:r>
            <w:r w:rsidR="006F4BE5">
              <w:rPr>
                <w:rFonts w:cs="Times New Roman"/>
                <w:b w:val="0"/>
                <w:bCs w:val="0"/>
                <w:webHidden/>
              </w:rPr>
              <w:t>27</w:t>
            </w:r>
            <w:r w:rsidR="00196A75" w:rsidRPr="00196A75">
              <w:rPr>
                <w:rFonts w:cs="Times New Roman"/>
                <w:b w:val="0"/>
                <w:bCs w:val="0"/>
                <w:webHidden/>
              </w:rPr>
              <w:fldChar w:fldCharType="end"/>
            </w:r>
          </w:hyperlink>
        </w:p>
        <w:p w14:paraId="27A30AA1" w14:textId="0CA6106E" w:rsidR="00196A75" w:rsidRPr="00196A75" w:rsidRDefault="00F30D99">
          <w:pPr>
            <w:pStyle w:val="TDC2"/>
            <w:rPr>
              <w:rFonts w:eastAsiaTheme="minorEastAsia" w:cs="Times New Roman"/>
              <w:b w:val="0"/>
              <w:bCs w:val="0"/>
              <w:lang w:eastAsia="es-GT"/>
            </w:rPr>
          </w:pPr>
          <w:hyperlink w:anchor="_Toc125723287" w:history="1">
            <w:r w:rsidR="00196A75" w:rsidRPr="00196A75">
              <w:rPr>
                <w:rStyle w:val="Hipervnculo"/>
                <w:b w:val="0"/>
                <w:bCs w:val="0"/>
              </w:rPr>
              <w:t>2.6</w:t>
            </w:r>
            <w:r w:rsidR="00196A75" w:rsidRPr="00196A75">
              <w:rPr>
                <w:rFonts w:eastAsiaTheme="minorEastAsia" w:cs="Times New Roman"/>
                <w:b w:val="0"/>
                <w:bCs w:val="0"/>
                <w:lang w:eastAsia="es-GT"/>
              </w:rPr>
              <w:tab/>
            </w:r>
            <w:r w:rsidR="00196A75">
              <w:rPr>
                <w:rFonts w:eastAsiaTheme="minorEastAsia" w:cs="Times New Roman"/>
                <w:b w:val="0"/>
                <w:bCs w:val="0"/>
                <w:lang w:eastAsia="es-GT"/>
              </w:rPr>
              <w:t xml:space="preserve"> </w:t>
            </w:r>
            <w:r w:rsidR="00196A75" w:rsidRPr="00196A75">
              <w:rPr>
                <w:rStyle w:val="Hipervnculo"/>
                <w:b w:val="0"/>
                <w:bCs w:val="0"/>
              </w:rPr>
              <w:t>Seguimiento del gasto asociado al COVID-19</w:t>
            </w:r>
            <w:r w:rsidR="00196A75" w:rsidRPr="00196A75">
              <w:rPr>
                <w:rFonts w:cs="Times New Roman"/>
                <w:b w:val="0"/>
                <w:bCs w:val="0"/>
                <w:webHidden/>
              </w:rPr>
              <w:tab/>
            </w:r>
            <w:r w:rsidR="00196A75" w:rsidRPr="00196A75">
              <w:rPr>
                <w:rFonts w:cs="Times New Roman"/>
                <w:b w:val="0"/>
                <w:bCs w:val="0"/>
                <w:webHidden/>
              </w:rPr>
              <w:fldChar w:fldCharType="begin"/>
            </w:r>
            <w:r w:rsidR="00196A75" w:rsidRPr="00196A75">
              <w:rPr>
                <w:rFonts w:cs="Times New Roman"/>
                <w:b w:val="0"/>
                <w:bCs w:val="0"/>
                <w:webHidden/>
              </w:rPr>
              <w:instrText xml:space="preserve"> PAGEREF _Toc125723287 \h </w:instrText>
            </w:r>
            <w:r w:rsidR="00196A75" w:rsidRPr="00196A75">
              <w:rPr>
                <w:rFonts w:cs="Times New Roman"/>
                <w:b w:val="0"/>
                <w:bCs w:val="0"/>
                <w:webHidden/>
              </w:rPr>
            </w:r>
            <w:r w:rsidR="00196A75" w:rsidRPr="00196A75">
              <w:rPr>
                <w:rFonts w:cs="Times New Roman"/>
                <w:b w:val="0"/>
                <w:bCs w:val="0"/>
                <w:webHidden/>
              </w:rPr>
              <w:fldChar w:fldCharType="separate"/>
            </w:r>
            <w:r w:rsidR="006F4BE5">
              <w:rPr>
                <w:rFonts w:cs="Times New Roman"/>
                <w:b w:val="0"/>
                <w:bCs w:val="0"/>
                <w:webHidden/>
              </w:rPr>
              <w:t>31</w:t>
            </w:r>
            <w:r w:rsidR="00196A75" w:rsidRPr="00196A75">
              <w:rPr>
                <w:rFonts w:cs="Times New Roman"/>
                <w:b w:val="0"/>
                <w:bCs w:val="0"/>
                <w:webHidden/>
              </w:rPr>
              <w:fldChar w:fldCharType="end"/>
            </w:r>
          </w:hyperlink>
        </w:p>
        <w:p w14:paraId="34DB7CB5" w14:textId="403AD080" w:rsidR="00196A75" w:rsidRPr="00196A75" w:rsidRDefault="00F30D99">
          <w:pPr>
            <w:pStyle w:val="TDC2"/>
            <w:rPr>
              <w:rFonts w:eastAsiaTheme="minorEastAsia" w:cs="Times New Roman"/>
              <w:b w:val="0"/>
              <w:bCs w:val="0"/>
              <w:lang w:eastAsia="es-GT"/>
            </w:rPr>
          </w:pPr>
          <w:hyperlink w:anchor="_Toc125723288" w:history="1">
            <w:r w:rsidR="00196A75" w:rsidRPr="00196A75">
              <w:rPr>
                <w:rStyle w:val="Hipervnculo"/>
                <w:b w:val="0"/>
                <w:bCs w:val="0"/>
              </w:rPr>
              <w:t>2.7</w:t>
            </w:r>
            <w:r w:rsidR="00196A75" w:rsidRPr="00196A75">
              <w:rPr>
                <w:rFonts w:eastAsiaTheme="minorEastAsia" w:cs="Times New Roman"/>
                <w:b w:val="0"/>
                <w:bCs w:val="0"/>
                <w:lang w:eastAsia="es-GT"/>
              </w:rPr>
              <w:tab/>
            </w:r>
            <w:r w:rsidR="00196A75">
              <w:rPr>
                <w:rFonts w:eastAsiaTheme="minorEastAsia" w:cs="Times New Roman"/>
                <w:b w:val="0"/>
                <w:bCs w:val="0"/>
                <w:lang w:eastAsia="es-GT"/>
              </w:rPr>
              <w:t xml:space="preserve"> </w:t>
            </w:r>
            <w:r w:rsidR="00196A75" w:rsidRPr="00196A75">
              <w:rPr>
                <w:rStyle w:val="Hipervnculo"/>
                <w:b w:val="0"/>
                <w:bCs w:val="0"/>
              </w:rPr>
              <w:t>Intervenciones realizadas para la atención de los Estados de Calamidad Pública por lluvias</w:t>
            </w:r>
            <w:r w:rsidR="00196A75" w:rsidRPr="00196A75">
              <w:rPr>
                <w:rFonts w:cs="Times New Roman"/>
                <w:b w:val="0"/>
                <w:bCs w:val="0"/>
                <w:webHidden/>
              </w:rPr>
              <w:tab/>
            </w:r>
            <w:r w:rsidR="00196A75" w:rsidRPr="00196A75">
              <w:rPr>
                <w:rFonts w:cs="Times New Roman"/>
                <w:b w:val="0"/>
                <w:bCs w:val="0"/>
                <w:webHidden/>
              </w:rPr>
              <w:fldChar w:fldCharType="begin"/>
            </w:r>
            <w:r w:rsidR="00196A75" w:rsidRPr="00196A75">
              <w:rPr>
                <w:rFonts w:cs="Times New Roman"/>
                <w:b w:val="0"/>
                <w:bCs w:val="0"/>
                <w:webHidden/>
              </w:rPr>
              <w:instrText xml:space="preserve"> PAGEREF _Toc125723288 \h </w:instrText>
            </w:r>
            <w:r w:rsidR="00196A75" w:rsidRPr="00196A75">
              <w:rPr>
                <w:rFonts w:cs="Times New Roman"/>
                <w:b w:val="0"/>
                <w:bCs w:val="0"/>
                <w:webHidden/>
              </w:rPr>
            </w:r>
            <w:r w:rsidR="00196A75" w:rsidRPr="00196A75">
              <w:rPr>
                <w:rFonts w:cs="Times New Roman"/>
                <w:b w:val="0"/>
                <w:bCs w:val="0"/>
                <w:webHidden/>
              </w:rPr>
              <w:fldChar w:fldCharType="separate"/>
            </w:r>
            <w:r w:rsidR="006F4BE5">
              <w:rPr>
                <w:rFonts w:cs="Times New Roman"/>
                <w:b w:val="0"/>
                <w:bCs w:val="0"/>
                <w:webHidden/>
              </w:rPr>
              <w:t>33</w:t>
            </w:r>
            <w:r w:rsidR="00196A75" w:rsidRPr="00196A75">
              <w:rPr>
                <w:rFonts w:cs="Times New Roman"/>
                <w:b w:val="0"/>
                <w:bCs w:val="0"/>
                <w:webHidden/>
              </w:rPr>
              <w:fldChar w:fldCharType="end"/>
            </w:r>
          </w:hyperlink>
        </w:p>
        <w:p w14:paraId="634C0AC3" w14:textId="40035AC7" w:rsidR="00196A75" w:rsidRPr="00720946" w:rsidRDefault="00F30D99" w:rsidP="00720946">
          <w:pPr>
            <w:pStyle w:val="TDC1"/>
            <w:rPr>
              <w:rFonts w:eastAsiaTheme="minorEastAsia"/>
              <w:lang w:val="es-GT" w:eastAsia="es-GT"/>
            </w:rPr>
          </w:pPr>
          <w:hyperlink w:anchor="_Toc125723289" w:history="1">
            <w:r w:rsidR="00196A75" w:rsidRPr="00720946">
              <w:rPr>
                <w:rStyle w:val="Hipervnculo"/>
                <w:rFonts w:eastAsiaTheme="majorEastAsia"/>
              </w:rPr>
              <w:t>III.</w:t>
            </w:r>
            <w:r w:rsidR="00196A75" w:rsidRPr="00720946">
              <w:rPr>
                <w:rFonts w:eastAsiaTheme="minorEastAsia"/>
                <w:lang w:val="es-GT" w:eastAsia="es-GT"/>
              </w:rPr>
              <w:t xml:space="preserve"> </w:t>
            </w:r>
            <w:r w:rsidR="00196A75" w:rsidRPr="00720946">
              <w:rPr>
                <w:rStyle w:val="Hipervnculo"/>
                <w:rFonts w:eastAsiaTheme="majorEastAsia"/>
              </w:rPr>
              <w:t>Resultado Fiscal y Financiamiento</w:t>
            </w:r>
            <w:r w:rsidR="00196A75" w:rsidRPr="00720946">
              <w:rPr>
                <w:webHidden/>
              </w:rPr>
              <w:tab/>
            </w:r>
            <w:r w:rsidR="00196A75" w:rsidRPr="00720946">
              <w:rPr>
                <w:webHidden/>
              </w:rPr>
              <w:fldChar w:fldCharType="begin"/>
            </w:r>
            <w:r w:rsidR="00196A75" w:rsidRPr="00720946">
              <w:rPr>
                <w:webHidden/>
              </w:rPr>
              <w:instrText xml:space="preserve"> PAGEREF _Toc125723289 \h </w:instrText>
            </w:r>
            <w:r w:rsidR="00196A75" w:rsidRPr="00720946">
              <w:rPr>
                <w:webHidden/>
              </w:rPr>
            </w:r>
            <w:r w:rsidR="00196A75" w:rsidRPr="00720946">
              <w:rPr>
                <w:webHidden/>
              </w:rPr>
              <w:fldChar w:fldCharType="separate"/>
            </w:r>
            <w:r w:rsidR="006F4BE5">
              <w:rPr>
                <w:webHidden/>
              </w:rPr>
              <w:t>35</w:t>
            </w:r>
            <w:r w:rsidR="00196A75" w:rsidRPr="00720946">
              <w:rPr>
                <w:webHidden/>
              </w:rPr>
              <w:fldChar w:fldCharType="end"/>
            </w:r>
          </w:hyperlink>
        </w:p>
        <w:p w14:paraId="7745C0F7" w14:textId="3270018A" w:rsidR="00196A75" w:rsidRPr="00196A75" w:rsidRDefault="00F30D99">
          <w:pPr>
            <w:pStyle w:val="TDC2"/>
            <w:rPr>
              <w:rFonts w:eastAsiaTheme="minorEastAsia" w:cs="Times New Roman"/>
              <w:b w:val="0"/>
              <w:bCs w:val="0"/>
              <w:lang w:eastAsia="es-GT"/>
            </w:rPr>
          </w:pPr>
          <w:hyperlink w:anchor="_Toc125723290" w:history="1">
            <w:r w:rsidR="00196A75" w:rsidRPr="00196A75">
              <w:rPr>
                <w:rStyle w:val="Hipervnculo"/>
                <w:b w:val="0"/>
                <w:bCs w:val="0"/>
              </w:rPr>
              <w:t>3.1</w:t>
            </w:r>
            <w:r w:rsidR="00196A75" w:rsidRPr="00196A75">
              <w:rPr>
                <w:rFonts w:eastAsiaTheme="minorEastAsia" w:cs="Times New Roman"/>
                <w:b w:val="0"/>
                <w:bCs w:val="0"/>
                <w:lang w:eastAsia="es-GT"/>
              </w:rPr>
              <w:tab/>
            </w:r>
            <w:r w:rsidR="00196A75">
              <w:rPr>
                <w:rFonts w:eastAsiaTheme="minorEastAsia" w:cs="Times New Roman"/>
                <w:b w:val="0"/>
                <w:bCs w:val="0"/>
                <w:lang w:eastAsia="es-GT"/>
              </w:rPr>
              <w:t xml:space="preserve"> </w:t>
            </w:r>
            <w:r w:rsidR="00196A75" w:rsidRPr="00196A75">
              <w:rPr>
                <w:rStyle w:val="Hipervnculo"/>
                <w:b w:val="0"/>
                <w:bCs w:val="0"/>
              </w:rPr>
              <w:t>Importante crecimiento de ingresos tributarios mantiene el déficit fiscal en nivel bajo.</w:t>
            </w:r>
            <w:r w:rsidR="00196A75" w:rsidRPr="00196A75">
              <w:rPr>
                <w:rFonts w:cs="Times New Roman"/>
                <w:b w:val="0"/>
                <w:bCs w:val="0"/>
                <w:webHidden/>
              </w:rPr>
              <w:tab/>
            </w:r>
            <w:r w:rsidR="00196A75" w:rsidRPr="00196A75">
              <w:rPr>
                <w:rFonts w:cs="Times New Roman"/>
                <w:b w:val="0"/>
                <w:bCs w:val="0"/>
                <w:webHidden/>
              </w:rPr>
              <w:fldChar w:fldCharType="begin"/>
            </w:r>
            <w:r w:rsidR="00196A75" w:rsidRPr="00196A75">
              <w:rPr>
                <w:rFonts w:cs="Times New Roman"/>
                <w:b w:val="0"/>
                <w:bCs w:val="0"/>
                <w:webHidden/>
              </w:rPr>
              <w:instrText xml:space="preserve"> PAGEREF _Toc125723290 \h </w:instrText>
            </w:r>
            <w:r w:rsidR="00196A75" w:rsidRPr="00196A75">
              <w:rPr>
                <w:rFonts w:cs="Times New Roman"/>
                <w:b w:val="0"/>
                <w:bCs w:val="0"/>
                <w:webHidden/>
              </w:rPr>
            </w:r>
            <w:r w:rsidR="00196A75" w:rsidRPr="00196A75">
              <w:rPr>
                <w:rFonts w:cs="Times New Roman"/>
                <w:b w:val="0"/>
                <w:bCs w:val="0"/>
                <w:webHidden/>
              </w:rPr>
              <w:fldChar w:fldCharType="separate"/>
            </w:r>
            <w:r w:rsidR="006F4BE5">
              <w:rPr>
                <w:rFonts w:cs="Times New Roman"/>
                <w:b w:val="0"/>
                <w:bCs w:val="0"/>
                <w:webHidden/>
              </w:rPr>
              <w:t>35</w:t>
            </w:r>
            <w:r w:rsidR="00196A75" w:rsidRPr="00196A75">
              <w:rPr>
                <w:rFonts w:cs="Times New Roman"/>
                <w:b w:val="0"/>
                <w:bCs w:val="0"/>
                <w:webHidden/>
              </w:rPr>
              <w:fldChar w:fldCharType="end"/>
            </w:r>
          </w:hyperlink>
        </w:p>
        <w:p w14:paraId="4A08B3AC" w14:textId="79D8B8F9" w:rsidR="00196A75" w:rsidRPr="00196A75" w:rsidRDefault="00F30D99">
          <w:pPr>
            <w:pStyle w:val="TDC2"/>
            <w:rPr>
              <w:rFonts w:eastAsiaTheme="minorEastAsia" w:cs="Times New Roman"/>
              <w:b w:val="0"/>
              <w:bCs w:val="0"/>
              <w:lang w:eastAsia="es-GT"/>
            </w:rPr>
          </w:pPr>
          <w:hyperlink w:anchor="_Toc125723291" w:history="1">
            <w:r w:rsidR="00196A75" w:rsidRPr="00196A75">
              <w:rPr>
                <w:rStyle w:val="Hipervnculo"/>
                <w:b w:val="0"/>
                <w:bCs w:val="0"/>
              </w:rPr>
              <w:t>3.2</w:t>
            </w:r>
            <w:r w:rsidR="00196A75" w:rsidRPr="00196A75">
              <w:rPr>
                <w:rFonts w:eastAsiaTheme="minorEastAsia" w:cs="Times New Roman"/>
                <w:b w:val="0"/>
                <w:bCs w:val="0"/>
                <w:lang w:eastAsia="es-GT"/>
              </w:rPr>
              <w:tab/>
            </w:r>
            <w:r w:rsidR="00196A75">
              <w:rPr>
                <w:rFonts w:eastAsiaTheme="minorEastAsia" w:cs="Times New Roman"/>
                <w:b w:val="0"/>
                <w:bCs w:val="0"/>
                <w:lang w:eastAsia="es-GT"/>
              </w:rPr>
              <w:t xml:space="preserve"> </w:t>
            </w:r>
            <w:r w:rsidR="00196A75" w:rsidRPr="00196A75">
              <w:rPr>
                <w:rStyle w:val="Hipervnculo"/>
                <w:b w:val="0"/>
                <w:bCs w:val="0"/>
              </w:rPr>
              <w:t>Disminución relativa de la deuda pública en 2022</w:t>
            </w:r>
            <w:r w:rsidR="00196A75" w:rsidRPr="00196A75">
              <w:rPr>
                <w:rFonts w:cs="Times New Roman"/>
                <w:b w:val="0"/>
                <w:bCs w:val="0"/>
                <w:webHidden/>
              </w:rPr>
              <w:tab/>
            </w:r>
            <w:r w:rsidR="00196A75" w:rsidRPr="00196A75">
              <w:rPr>
                <w:rFonts w:cs="Times New Roman"/>
                <w:b w:val="0"/>
                <w:bCs w:val="0"/>
                <w:webHidden/>
              </w:rPr>
              <w:fldChar w:fldCharType="begin"/>
            </w:r>
            <w:r w:rsidR="00196A75" w:rsidRPr="00196A75">
              <w:rPr>
                <w:rFonts w:cs="Times New Roman"/>
                <w:b w:val="0"/>
                <w:bCs w:val="0"/>
                <w:webHidden/>
              </w:rPr>
              <w:instrText xml:space="preserve"> PAGEREF _Toc125723291 \h </w:instrText>
            </w:r>
            <w:r w:rsidR="00196A75" w:rsidRPr="00196A75">
              <w:rPr>
                <w:rFonts w:cs="Times New Roman"/>
                <w:b w:val="0"/>
                <w:bCs w:val="0"/>
                <w:webHidden/>
              </w:rPr>
            </w:r>
            <w:r w:rsidR="00196A75" w:rsidRPr="00196A75">
              <w:rPr>
                <w:rFonts w:cs="Times New Roman"/>
                <w:b w:val="0"/>
                <w:bCs w:val="0"/>
                <w:webHidden/>
              </w:rPr>
              <w:fldChar w:fldCharType="separate"/>
            </w:r>
            <w:r w:rsidR="006F4BE5">
              <w:rPr>
                <w:rFonts w:cs="Times New Roman"/>
                <w:b w:val="0"/>
                <w:bCs w:val="0"/>
                <w:webHidden/>
              </w:rPr>
              <w:t>39</w:t>
            </w:r>
            <w:r w:rsidR="00196A75" w:rsidRPr="00196A75">
              <w:rPr>
                <w:rFonts w:cs="Times New Roman"/>
                <w:b w:val="0"/>
                <w:bCs w:val="0"/>
                <w:webHidden/>
              </w:rPr>
              <w:fldChar w:fldCharType="end"/>
            </w:r>
          </w:hyperlink>
        </w:p>
        <w:p w14:paraId="4AE1B5B6" w14:textId="63935813" w:rsidR="00196A75" w:rsidRPr="00196A75" w:rsidRDefault="00F30D99">
          <w:pPr>
            <w:pStyle w:val="TDC2"/>
            <w:rPr>
              <w:rFonts w:eastAsiaTheme="minorEastAsia" w:cs="Times New Roman"/>
              <w:b w:val="0"/>
              <w:bCs w:val="0"/>
              <w:lang w:eastAsia="es-GT"/>
            </w:rPr>
          </w:pPr>
          <w:hyperlink w:anchor="_Toc125723292" w:history="1">
            <w:r w:rsidR="00196A75" w:rsidRPr="00196A75">
              <w:rPr>
                <w:rStyle w:val="Hipervnculo"/>
                <w:b w:val="0"/>
                <w:bCs w:val="0"/>
              </w:rPr>
              <w:t>3.3</w:t>
            </w:r>
            <w:r w:rsidR="00196A75" w:rsidRPr="00196A75">
              <w:rPr>
                <w:rFonts w:eastAsiaTheme="minorEastAsia" w:cs="Times New Roman"/>
                <w:b w:val="0"/>
                <w:bCs w:val="0"/>
                <w:lang w:eastAsia="es-GT"/>
              </w:rPr>
              <w:tab/>
            </w:r>
            <w:r w:rsidR="00196A75">
              <w:rPr>
                <w:rFonts w:eastAsiaTheme="minorEastAsia" w:cs="Times New Roman"/>
                <w:b w:val="0"/>
                <w:bCs w:val="0"/>
                <w:lang w:eastAsia="es-GT"/>
              </w:rPr>
              <w:t xml:space="preserve"> </w:t>
            </w:r>
            <w:r w:rsidR="00196A75" w:rsidRPr="00196A75">
              <w:rPr>
                <w:rStyle w:val="Hipervnculo"/>
                <w:b w:val="0"/>
                <w:bCs w:val="0"/>
              </w:rPr>
              <w:t>Metas establecidas en el Marco Fiscal de Mediano Plazo 2022-2026</w:t>
            </w:r>
            <w:r w:rsidR="00196A75" w:rsidRPr="00196A75">
              <w:rPr>
                <w:rFonts w:cs="Times New Roman"/>
                <w:b w:val="0"/>
                <w:bCs w:val="0"/>
                <w:webHidden/>
              </w:rPr>
              <w:tab/>
            </w:r>
            <w:r w:rsidR="00196A75" w:rsidRPr="00196A75">
              <w:rPr>
                <w:rFonts w:cs="Times New Roman"/>
                <w:b w:val="0"/>
                <w:bCs w:val="0"/>
                <w:webHidden/>
              </w:rPr>
              <w:fldChar w:fldCharType="begin"/>
            </w:r>
            <w:r w:rsidR="00196A75" w:rsidRPr="00196A75">
              <w:rPr>
                <w:rFonts w:cs="Times New Roman"/>
                <w:b w:val="0"/>
                <w:bCs w:val="0"/>
                <w:webHidden/>
              </w:rPr>
              <w:instrText xml:space="preserve"> PAGEREF _Toc125723292 \h </w:instrText>
            </w:r>
            <w:r w:rsidR="00196A75" w:rsidRPr="00196A75">
              <w:rPr>
                <w:rFonts w:cs="Times New Roman"/>
                <w:b w:val="0"/>
                <w:bCs w:val="0"/>
                <w:webHidden/>
              </w:rPr>
            </w:r>
            <w:r w:rsidR="00196A75" w:rsidRPr="00196A75">
              <w:rPr>
                <w:rFonts w:cs="Times New Roman"/>
                <w:b w:val="0"/>
                <w:bCs w:val="0"/>
                <w:webHidden/>
              </w:rPr>
              <w:fldChar w:fldCharType="separate"/>
            </w:r>
            <w:r w:rsidR="006F4BE5">
              <w:rPr>
                <w:rFonts w:cs="Times New Roman"/>
                <w:b w:val="0"/>
                <w:bCs w:val="0"/>
                <w:webHidden/>
              </w:rPr>
              <w:t>40</w:t>
            </w:r>
            <w:r w:rsidR="00196A75" w:rsidRPr="00196A75">
              <w:rPr>
                <w:rFonts w:cs="Times New Roman"/>
                <w:b w:val="0"/>
                <w:bCs w:val="0"/>
                <w:webHidden/>
              </w:rPr>
              <w:fldChar w:fldCharType="end"/>
            </w:r>
          </w:hyperlink>
        </w:p>
        <w:p w14:paraId="5004D3FE" w14:textId="67BC7579" w:rsidR="00196A75" w:rsidRPr="00196A75" w:rsidRDefault="00F30D99">
          <w:pPr>
            <w:pStyle w:val="TDC2"/>
            <w:rPr>
              <w:rFonts w:eastAsiaTheme="minorEastAsia" w:cs="Times New Roman"/>
              <w:b w:val="0"/>
              <w:bCs w:val="0"/>
              <w:lang w:eastAsia="es-GT"/>
            </w:rPr>
          </w:pPr>
          <w:hyperlink w:anchor="_Toc125723293" w:history="1">
            <w:r w:rsidR="00196A75" w:rsidRPr="00196A75">
              <w:rPr>
                <w:rStyle w:val="Hipervnculo"/>
                <w:b w:val="0"/>
                <w:bCs w:val="0"/>
              </w:rPr>
              <w:t>3.4</w:t>
            </w:r>
            <w:r w:rsidR="00196A75" w:rsidRPr="00196A75">
              <w:rPr>
                <w:rFonts w:eastAsiaTheme="minorEastAsia" w:cs="Times New Roman"/>
                <w:b w:val="0"/>
                <w:bCs w:val="0"/>
                <w:lang w:eastAsia="es-GT"/>
              </w:rPr>
              <w:tab/>
            </w:r>
            <w:r w:rsidR="00196A75">
              <w:rPr>
                <w:rFonts w:eastAsiaTheme="minorEastAsia" w:cs="Times New Roman"/>
                <w:b w:val="0"/>
                <w:bCs w:val="0"/>
                <w:lang w:eastAsia="es-GT"/>
              </w:rPr>
              <w:t xml:space="preserve"> </w:t>
            </w:r>
            <w:r w:rsidR="00196A75" w:rsidRPr="00196A75">
              <w:rPr>
                <w:rStyle w:val="Hipervnculo"/>
                <w:b w:val="0"/>
                <w:bCs w:val="0"/>
              </w:rPr>
              <w:t>Orientación de la política fiscal en 2022</w:t>
            </w:r>
            <w:r w:rsidR="00196A75" w:rsidRPr="00196A75">
              <w:rPr>
                <w:rFonts w:cs="Times New Roman"/>
                <w:b w:val="0"/>
                <w:bCs w:val="0"/>
                <w:webHidden/>
              </w:rPr>
              <w:tab/>
            </w:r>
            <w:r w:rsidR="00196A75" w:rsidRPr="00196A75">
              <w:rPr>
                <w:rFonts w:cs="Times New Roman"/>
                <w:b w:val="0"/>
                <w:bCs w:val="0"/>
                <w:webHidden/>
              </w:rPr>
              <w:fldChar w:fldCharType="begin"/>
            </w:r>
            <w:r w:rsidR="00196A75" w:rsidRPr="00196A75">
              <w:rPr>
                <w:rFonts w:cs="Times New Roman"/>
                <w:b w:val="0"/>
                <w:bCs w:val="0"/>
                <w:webHidden/>
              </w:rPr>
              <w:instrText xml:space="preserve"> PAGEREF _Toc125723293 \h </w:instrText>
            </w:r>
            <w:r w:rsidR="00196A75" w:rsidRPr="00196A75">
              <w:rPr>
                <w:rFonts w:cs="Times New Roman"/>
                <w:b w:val="0"/>
                <w:bCs w:val="0"/>
                <w:webHidden/>
              </w:rPr>
            </w:r>
            <w:r w:rsidR="00196A75" w:rsidRPr="00196A75">
              <w:rPr>
                <w:rFonts w:cs="Times New Roman"/>
                <w:b w:val="0"/>
                <w:bCs w:val="0"/>
                <w:webHidden/>
              </w:rPr>
              <w:fldChar w:fldCharType="separate"/>
            </w:r>
            <w:r w:rsidR="006F4BE5">
              <w:rPr>
                <w:rFonts w:cs="Times New Roman"/>
                <w:b w:val="0"/>
                <w:bCs w:val="0"/>
                <w:webHidden/>
              </w:rPr>
              <w:t>41</w:t>
            </w:r>
            <w:r w:rsidR="00196A75" w:rsidRPr="00196A75">
              <w:rPr>
                <w:rFonts w:cs="Times New Roman"/>
                <w:b w:val="0"/>
                <w:bCs w:val="0"/>
                <w:webHidden/>
              </w:rPr>
              <w:fldChar w:fldCharType="end"/>
            </w:r>
          </w:hyperlink>
        </w:p>
        <w:p w14:paraId="64459F0C" w14:textId="6FB6C7E4" w:rsidR="00196A75" w:rsidRPr="00720946" w:rsidRDefault="00F30D99" w:rsidP="00720946">
          <w:pPr>
            <w:pStyle w:val="TDC1"/>
            <w:rPr>
              <w:rFonts w:eastAsiaTheme="minorEastAsia"/>
              <w:lang w:val="es-GT" w:eastAsia="es-GT"/>
            </w:rPr>
          </w:pPr>
          <w:hyperlink w:anchor="_Toc125723294" w:history="1">
            <w:r w:rsidR="00196A75" w:rsidRPr="00720946">
              <w:rPr>
                <w:rStyle w:val="Hipervnculo"/>
                <w:rFonts w:eastAsiaTheme="majorEastAsia"/>
              </w:rPr>
              <w:t>IV.</w:t>
            </w:r>
            <w:r w:rsidR="00196A75" w:rsidRPr="00720946">
              <w:rPr>
                <w:rFonts w:eastAsiaTheme="minorEastAsia"/>
                <w:lang w:val="es-GT" w:eastAsia="es-GT"/>
              </w:rPr>
              <w:t xml:space="preserve"> </w:t>
            </w:r>
            <w:r w:rsidR="00196A75" w:rsidRPr="00720946">
              <w:rPr>
                <w:rStyle w:val="Hipervnculo"/>
                <w:rFonts w:eastAsiaTheme="majorEastAsia"/>
              </w:rPr>
              <w:t>Supuestos económicos y previsiones fiscales para 2023</w:t>
            </w:r>
            <w:r w:rsidR="00196A75" w:rsidRPr="00720946">
              <w:rPr>
                <w:webHidden/>
              </w:rPr>
              <w:tab/>
            </w:r>
            <w:r w:rsidR="00196A75" w:rsidRPr="00720946">
              <w:rPr>
                <w:webHidden/>
              </w:rPr>
              <w:fldChar w:fldCharType="begin"/>
            </w:r>
            <w:r w:rsidR="00196A75" w:rsidRPr="00720946">
              <w:rPr>
                <w:webHidden/>
              </w:rPr>
              <w:instrText xml:space="preserve"> PAGEREF _Toc125723294 \h </w:instrText>
            </w:r>
            <w:r w:rsidR="00196A75" w:rsidRPr="00720946">
              <w:rPr>
                <w:webHidden/>
              </w:rPr>
            </w:r>
            <w:r w:rsidR="00196A75" w:rsidRPr="00720946">
              <w:rPr>
                <w:webHidden/>
              </w:rPr>
              <w:fldChar w:fldCharType="separate"/>
            </w:r>
            <w:r w:rsidR="006F4BE5">
              <w:rPr>
                <w:webHidden/>
              </w:rPr>
              <w:t>43</w:t>
            </w:r>
            <w:r w:rsidR="00196A75" w:rsidRPr="00720946">
              <w:rPr>
                <w:webHidden/>
              </w:rPr>
              <w:fldChar w:fldCharType="end"/>
            </w:r>
          </w:hyperlink>
        </w:p>
        <w:p w14:paraId="5DF37F27" w14:textId="18C1281B" w:rsidR="00196A75" w:rsidRPr="00196A75" w:rsidRDefault="00F30D99">
          <w:pPr>
            <w:pStyle w:val="TDC2"/>
            <w:rPr>
              <w:rFonts w:eastAsiaTheme="minorEastAsia" w:cs="Times New Roman"/>
              <w:b w:val="0"/>
              <w:bCs w:val="0"/>
              <w:lang w:eastAsia="es-GT"/>
            </w:rPr>
          </w:pPr>
          <w:hyperlink w:anchor="_Toc125723295" w:history="1">
            <w:r w:rsidR="00196A75" w:rsidRPr="00196A75">
              <w:rPr>
                <w:rStyle w:val="Hipervnculo"/>
                <w:b w:val="0"/>
                <w:bCs w:val="0"/>
              </w:rPr>
              <w:t>4.1</w:t>
            </w:r>
            <w:r w:rsidR="00196A75" w:rsidRPr="00196A75">
              <w:rPr>
                <w:rFonts w:eastAsiaTheme="minorEastAsia" w:cs="Times New Roman"/>
                <w:b w:val="0"/>
                <w:bCs w:val="0"/>
                <w:lang w:eastAsia="es-GT"/>
              </w:rPr>
              <w:tab/>
            </w:r>
            <w:r w:rsidR="00196A75">
              <w:rPr>
                <w:rFonts w:eastAsiaTheme="minorEastAsia" w:cs="Times New Roman"/>
                <w:b w:val="0"/>
                <w:bCs w:val="0"/>
                <w:lang w:eastAsia="es-GT"/>
              </w:rPr>
              <w:t xml:space="preserve"> </w:t>
            </w:r>
            <w:r w:rsidR="00196A75" w:rsidRPr="00196A75">
              <w:rPr>
                <w:rStyle w:val="Hipervnculo"/>
                <w:b w:val="0"/>
                <w:bCs w:val="0"/>
              </w:rPr>
              <w:t>Supuestos de la economía mundial</w:t>
            </w:r>
            <w:r w:rsidR="00196A75" w:rsidRPr="00196A75">
              <w:rPr>
                <w:rFonts w:cs="Times New Roman"/>
                <w:b w:val="0"/>
                <w:bCs w:val="0"/>
                <w:webHidden/>
              </w:rPr>
              <w:tab/>
            </w:r>
            <w:r w:rsidR="00196A75" w:rsidRPr="00196A75">
              <w:rPr>
                <w:rFonts w:cs="Times New Roman"/>
                <w:b w:val="0"/>
                <w:bCs w:val="0"/>
                <w:webHidden/>
              </w:rPr>
              <w:fldChar w:fldCharType="begin"/>
            </w:r>
            <w:r w:rsidR="00196A75" w:rsidRPr="00196A75">
              <w:rPr>
                <w:rFonts w:cs="Times New Roman"/>
                <w:b w:val="0"/>
                <w:bCs w:val="0"/>
                <w:webHidden/>
              </w:rPr>
              <w:instrText xml:space="preserve"> PAGEREF _Toc125723295 \h </w:instrText>
            </w:r>
            <w:r w:rsidR="00196A75" w:rsidRPr="00196A75">
              <w:rPr>
                <w:rFonts w:cs="Times New Roman"/>
                <w:b w:val="0"/>
                <w:bCs w:val="0"/>
                <w:webHidden/>
              </w:rPr>
            </w:r>
            <w:r w:rsidR="00196A75" w:rsidRPr="00196A75">
              <w:rPr>
                <w:rFonts w:cs="Times New Roman"/>
                <w:b w:val="0"/>
                <w:bCs w:val="0"/>
                <w:webHidden/>
              </w:rPr>
              <w:fldChar w:fldCharType="separate"/>
            </w:r>
            <w:r w:rsidR="006F4BE5">
              <w:rPr>
                <w:rFonts w:cs="Times New Roman"/>
                <w:b w:val="0"/>
                <w:bCs w:val="0"/>
                <w:webHidden/>
              </w:rPr>
              <w:t>43</w:t>
            </w:r>
            <w:r w:rsidR="00196A75" w:rsidRPr="00196A75">
              <w:rPr>
                <w:rFonts w:cs="Times New Roman"/>
                <w:b w:val="0"/>
                <w:bCs w:val="0"/>
                <w:webHidden/>
              </w:rPr>
              <w:fldChar w:fldCharType="end"/>
            </w:r>
          </w:hyperlink>
        </w:p>
        <w:p w14:paraId="6161D54E" w14:textId="50FF12F0" w:rsidR="00196A75" w:rsidRPr="00196A75" w:rsidRDefault="00F30D99">
          <w:pPr>
            <w:pStyle w:val="TDC2"/>
            <w:rPr>
              <w:rFonts w:eastAsiaTheme="minorEastAsia" w:cs="Times New Roman"/>
              <w:b w:val="0"/>
              <w:bCs w:val="0"/>
              <w:lang w:eastAsia="es-GT"/>
            </w:rPr>
          </w:pPr>
          <w:hyperlink w:anchor="_Toc125723296" w:history="1">
            <w:r w:rsidR="00196A75" w:rsidRPr="00196A75">
              <w:rPr>
                <w:rStyle w:val="Hipervnculo"/>
                <w:b w:val="0"/>
                <w:bCs w:val="0"/>
              </w:rPr>
              <w:t>4.2</w:t>
            </w:r>
            <w:r w:rsidR="00196A75" w:rsidRPr="00196A75">
              <w:rPr>
                <w:rFonts w:eastAsiaTheme="minorEastAsia" w:cs="Times New Roman"/>
                <w:b w:val="0"/>
                <w:bCs w:val="0"/>
                <w:lang w:eastAsia="es-GT"/>
              </w:rPr>
              <w:tab/>
            </w:r>
            <w:r w:rsidR="00196A75">
              <w:rPr>
                <w:rFonts w:eastAsiaTheme="minorEastAsia" w:cs="Times New Roman"/>
                <w:b w:val="0"/>
                <w:bCs w:val="0"/>
                <w:lang w:eastAsia="es-GT"/>
              </w:rPr>
              <w:t xml:space="preserve"> </w:t>
            </w:r>
            <w:r w:rsidR="00196A75" w:rsidRPr="00196A75">
              <w:rPr>
                <w:rStyle w:val="Hipervnculo"/>
                <w:b w:val="0"/>
                <w:bCs w:val="0"/>
              </w:rPr>
              <w:t>Supuestos del comercio mundial</w:t>
            </w:r>
            <w:r w:rsidR="00196A75" w:rsidRPr="00196A75">
              <w:rPr>
                <w:rFonts w:cs="Times New Roman"/>
                <w:b w:val="0"/>
                <w:bCs w:val="0"/>
                <w:webHidden/>
              </w:rPr>
              <w:tab/>
            </w:r>
            <w:r w:rsidR="00196A75" w:rsidRPr="00196A75">
              <w:rPr>
                <w:rFonts w:cs="Times New Roman"/>
                <w:b w:val="0"/>
                <w:bCs w:val="0"/>
                <w:webHidden/>
              </w:rPr>
              <w:fldChar w:fldCharType="begin"/>
            </w:r>
            <w:r w:rsidR="00196A75" w:rsidRPr="00196A75">
              <w:rPr>
                <w:rFonts w:cs="Times New Roman"/>
                <w:b w:val="0"/>
                <w:bCs w:val="0"/>
                <w:webHidden/>
              </w:rPr>
              <w:instrText xml:space="preserve"> PAGEREF _Toc125723296 \h </w:instrText>
            </w:r>
            <w:r w:rsidR="00196A75" w:rsidRPr="00196A75">
              <w:rPr>
                <w:rFonts w:cs="Times New Roman"/>
                <w:b w:val="0"/>
                <w:bCs w:val="0"/>
                <w:webHidden/>
              </w:rPr>
            </w:r>
            <w:r w:rsidR="00196A75" w:rsidRPr="00196A75">
              <w:rPr>
                <w:rFonts w:cs="Times New Roman"/>
                <w:b w:val="0"/>
                <w:bCs w:val="0"/>
                <w:webHidden/>
              </w:rPr>
              <w:fldChar w:fldCharType="separate"/>
            </w:r>
            <w:r w:rsidR="006F4BE5">
              <w:rPr>
                <w:rFonts w:cs="Times New Roman"/>
                <w:b w:val="0"/>
                <w:bCs w:val="0"/>
                <w:webHidden/>
              </w:rPr>
              <w:t>44</w:t>
            </w:r>
            <w:r w:rsidR="00196A75" w:rsidRPr="00196A75">
              <w:rPr>
                <w:rFonts w:cs="Times New Roman"/>
                <w:b w:val="0"/>
                <w:bCs w:val="0"/>
                <w:webHidden/>
              </w:rPr>
              <w:fldChar w:fldCharType="end"/>
            </w:r>
          </w:hyperlink>
        </w:p>
        <w:p w14:paraId="0140FEE3" w14:textId="126A4131" w:rsidR="00196A75" w:rsidRPr="00196A75" w:rsidRDefault="00F30D99">
          <w:pPr>
            <w:pStyle w:val="TDC2"/>
            <w:rPr>
              <w:rFonts w:eastAsiaTheme="minorEastAsia" w:cs="Times New Roman"/>
              <w:b w:val="0"/>
              <w:bCs w:val="0"/>
              <w:lang w:eastAsia="es-GT"/>
            </w:rPr>
          </w:pPr>
          <w:hyperlink w:anchor="_Toc125723297" w:history="1">
            <w:r w:rsidR="00196A75" w:rsidRPr="00196A75">
              <w:rPr>
                <w:rStyle w:val="Hipervnculo"/>
                <w:b w:val="0"/>
                <w:bCs w:val="0"/>
              </w:rPr>
              <w:t>4.3</w:t>
            </w:r>
            <w:r w:rsidR="00196A75" w:rsidRPr="00196A75">
              <w:rPr>
                <w:rFonts w:eastAsiaTheme="minorEastAsia" w:cs="Times New Roman"/>
                <w:b w:val="0"/>
                <w:bCs w:val="0"/>
                <w:lang w:eastAsia="es-GT"/>
              </w:rPr>
              <w:tab/>
            </w:r>
            <w:r w:rsidR="00196A75">
              <w:rPr>
                <w:rFonts w:eastAsiaTheme="minorEastAsia" w:cs="Times New Roman"/>
                <w:b w:val="0"/>
                <w:bCs w:val="0"/>
                <w:lang w:eastAsia="es-GT"/>
              </w:rPr>
              <w:t xml:space="preserve"> </w:t>
            </w:r>
            <w:r w:rsidR="00196A75" w:rsidRPr="00196A75">
              <w:rPr>
                <w:rStyle w:val="Hipervnculo"/>
                <w:b w:val="0"/>
                <w:bCs w:val="0"/>
              </w:rPr>
              <w:t>Supuestos de los precios de las materias prima (</w:t>
            </w:r>
            <w:r w:rsidR="00196A75" w:rsidRPr="00196A75">
              <w:rPr>
                <w:rStyle w:val="Hipervnculo"/>
                <w:b w:val="0"/>
                <w:bCs w:val="0"/>
                <w:i/>
                <w:iCs/>
              </w:rPr>
              <w:t>commodities</w:t>
            </w:r>
            <w:r w:rsidR="00196A75" w:rsidRPr="00196A75">
              <w:rPr>
                <w:rStyle w:val="Hipervnculo"/>
                <w:b w:val="0"/>
                <w:bCs w:val="0"/>
              </w:rPr>
              <w:t>)</w:t>
            </w:r>
            <w:r w:rsidR="00196A75" w:rsidRPr="00196A75">
              <w:rPr>
                <w:rFonts w:cs="Times New Roman"/>
                <w:b w:val="0"/>
                <w:bCs w:val="0"/>
                <w:webHidden/>
              </w:rPr>
              <w:tab/>
            </w:r>
            <w:r w:rsidR="00196A75" w:rsidRPr="00196A75">
              <w:rPr>
                <w:rFonts w:cs="Times New Roman"/>
                <w:b w:val="0"/>
                <w:bCs w:val="0"/>
                <w:webHidden/>
              </w:rPr>
              <w:fldChar w:fldCharType="begin"/>
            </w:r>
            <w:r w:rsidR="00196A75" w:rsidRPr="00196A75">
              <w:rPr>
                <w:rFonts w:cs="Times New Roman"/>
                <w:b w:val="0"/>
                <w:bCs w:val="0"/>
                <w:webHidden/>
              </w:rPr>
              <w:instrText xml:space="preserve"> PAGEREF _Toc125723297 \h </w:instrText>
            </w:r>
            <w:r w:rsidR="00196A75" w:rsidRPr="00196A75">
              <w:rPr>
                <w:rFonts w:cs="Times New Roman"/>
                <w:b w:val="0"/>
                <w:bCs w:val="0"/>
                <w:webHidden/>
              </w:rPr>
            </w:r>
            <w:r w:rsidR="00196A75" w:rsidRPr="00196A75">
              <w:rPr>
                <w:rFonts w:cs="Times New Roman"/>
                <w:b w:val="0"/>
                <w:bCs w:val="0"/>
                <w:webHidden/>
              </w:rPr>
              <w:fldChar w:fldCharType="separate"/>
            </w:r>
            <w:r w:rsidR="006F4BE5">
              <w:rPr>
                <w:rFonts w:cs="Times New Roman"/>
                <w:b w:val="0"/>
                <w:bCs w:val="0"/>
                <w:webHidden/>
              </w:rPr>
              <w:t>45</w:t>
            </w:r>
            <w:r w:rsidR="00196A75" w:rsidRPr="00196A75">
              <w:rPr>
                <w:rFonts w:cs="Times New Roman"/>
                <w:b w:val="0"/>
                <w:bCs w:val="0"/>
                <w:webHidden/>
              </w:rPr>
              <w:fldChar w:fldCharType="end"/>
            </w:r>
          </w:hyperlink>
        </w:p>
        <w:p w14:paraId="357EED02" w14:textId="51689D98" w:rsidR="00196A75" w:rsidRPr="00196A75" w:rsidRDefault="00F30D99">
          <w:pPr>
            <w:pStyle w:val="TDC2"/>
            <w:rPr>
              <w:rFonts w:eastAsiaTheme="minorEastAsia" w:cs="Times New Roman"/>
              <w:b w:val="0"/>
              <w:bCs w:val="0"/>
              <w:lang w:eastAsia="es-GT"/>
            </w:rPr>
          </w:pPr>
          <w:hyperlink w:anchor="_Toc125723298" w:history="1">
            <w:r w:rsidR="00196A75" w:rsidRPr="00196A75">
              <w:rPr>
                <w:rStyle w:val="Hipervnculo"/>
                <w:b w:val="0"/>
                <w:bCs w:val="0"/>
              </w:rPr>
              <w:t>4.4</w:t>
            </w:r>
            <w:r w:rsidR="00196A75" w:rsidRPr="00196A75">
              <w:rPr>
                <w:rFonts w:eastAsiaTheme="minorEastAsia" w:cs="Times New Roman"/>
                <w:b w:val="0"/>
                <w:bCs w:val="0"/>
                <w:lang w:eastAsia="es-GT"/>
              </w:rPr>
              <w:tab/>
            </w:r>
            <w:r w:rsidR="00196A75">
              <w:rPr>
                <w:rFonts w:eastAsiaTheme="minorEastAsia" w:cs="Times New Roman"/>
                <w:b w:val="0"/>
                <w:bCs w:val="0"/>
                <w:lang w:eastAsia="es-GT"/>
              </w:rPr>
              <w:t xml:space="preserve"> </w:t>
            </w:r>
            <w:r w:rsidR="00196A75" w:rsidRPr="00196A75">
              <w:rPr>
                <w:rStyle w:val="Hipervnculo"/>
                <w:b w:val="0"/>
                <w:bCs w:val="0"/>
              </w:rPr>
              <w:t>Supuestos para la economía interna</w:t>
            </w:r>
            <w:r w:rsidR="00196A75" w:rsidRPr="00196A75">
              <w:rPr>
                <w:rFonts w:cs="Times New Roman"/>
                <w:b w:val="0"/>
                <w:bCs w:val="0"/>
                <w:webHidden/>
              </w:rPr>
              <w:tab/>
            </w:r>
            <w:r w:rsidR="00196A75" w:rsidRPr="00196A75">
              <w:rPr>
                <w:rFonts w:cs="Times New Roman"/>
                <w:b w:val="0"/>
                <w:bCs w:val="0"/>
                <w:webHidden/>
              </w:rPr>
              <w:fldChar w:fldCharType="begin"/>
            </w:r>
            <w:r w:rsidR="00196A75" w:rsidRPr="00196A75">
              <w:rPr>
                <w:rFonts w:cs="Times New Roman"/>
                <w:b w:val="0"/>
                <w:bCs w:val="0"/>
                <w:webHidden/>
              </w:rPr>
              <w:instrText xml:space="preserve"> PAGEREF _Toc125723298 \h </w:instrText>
            </w:r>
            <w:r w:rsidR="00196A75" w:rsidRPr="00196A75">
              <w:rPr>
                <w:rFonts w:cs="Times New Roman"/>
                <w:b w:val="0"/>
                <w:bCs w:val="0"/>
                <w:webHidden/>
              </w:rPr>
            </w:r>
            <w:r w:rsidR="00196A75" w:rsidRPr="00196A75">
              <w:rPr>
                <w:rFonts w:cs="Times New Roman"/>
                <w:b w:val="0"/>
                <w:bCs w:val="0"/>
                <w:webHidden/>
              </w:rPr>
              <w:fldChar w:fldCharType="separate"/>
            </w:r>
            <w:r w:rsidR="006F4BE5">
              <w:rPr>
                <w:rFonts w:cs="Times New Roman"/>
                <w:b w:val="0"/>
                <w:bCs w:val="0"/>
                <w:webHidden/>
              </w:rPr>
              <w:t>46</w:t>
            </w:r>
            <w:r w:rsidR="00196A75" w:rsidRPr="00196A75">
              <w:rPr>
                <w:rFonts w:cs="Times New Roman"/>
                <w:b w:val="0"/>
                <w:bCs w:val="0"/>
                <w:webHidden/>
              </w:rPr>
              <w:fldChar w:fldCharType="end"/>
            </w:r>
          </w:hyperlink>
        </w:p>
        <w:p w14:paraId="61573573" w14:textId="0B7FACCA" w:rsidR="00196A75" w:rsidRPr="00196A75" w:rsidRDefault="00F30D99">
          <w:pPr>
            <w:pStyle w:val="TDC2"/>
            <w:rPr>
              <w:rFonts w:eastAsiaTheme="minorEastAsia" w:cs="Times New Roman"/>
              <w:b w:val="0"/>
              <w:bCs w:val="0"/>
              <w:lang w:eastAsia="es-GT"/>
            </w:rPr>
          </w:pPr>
          <w:hyperlink w:anchor="_Toc125723299" w:history="1">
            <w:r w:rsidR="00196A75" w:rsidRPr="00196A75">
              <w:rPr>
                <w:rStyle w:val="Hipervnculo"/>
                <w:b w:val="0"/>
                <w:bCs w:val="0"/>
              </w:rPr>
              <w:t>4.5</w:t>
            </w:r>
            <w:r w:rsidR="00196A75" w:rsidRPr="00196A75">
              <w:rPr>
                <w:rFonts w:eastAsiaTheme="minorEastAsia" w:cs="Times New Roman"/>
                <w:b w:val="0"/>
                <w:bCs w:val="0"/>
                <w:lang w:eastAsia="es-GT"/>
              </w:rPr>
              <w:tab/>
            </w:r>
            <w:r w:rsidR="00196A75">
              <w:rPr>
                <w:rFonts w:eastAsiaTheme="minorEastAsia" w:cs="Times New Roman"/>
                <w:b w:val="0"/>
                <w:bCs w:val="0"/>
                <w:lang w:eastAsia="es-GT"/>
              </w:rPr>
              <w:t xml:space="preserve"> </w:t>
            </w:r>
            <w:r w:rsidR="00196A75" w:rsidRPr="00196A75">
              <w:rPr>
                <w:rStyle w:val="Hipervnculo"/>
                <w:b w:val="0"/>
                <w:bCs w:val="0"/>
              </w:rPr>
              <w:t>Perspectivas fiscales para 2023</w:t>
            </w:r>
            <w:r w:rsidR="00196A75" w:rsidRPr="00196A75">
              <w:rPr>
                <w:rFonts w:cs="Times New Roman"/>
                <w:b w:val="0"/>
                <w:bCs w:val="0"/>
                <w:webHidden/>
              </w:rPr>
              <w:tab/>
            </w:r>
            <w:r w:rsidR="00196A75" w:rsidRPr="00196A75">
              <w:rPr>
                <w:rFonts w:cs="Times New Roman"/>
                <w:b w:val="0"/>
                <w:bCs w:val="0"/>
                <w:webHidden/>
              </w:rPr>
              <w:fldChar w:fldCharType="begin"/>
            </w:r>
            <w:r w:rsidR="00196A75" w:rsidRPr="00196A75">
              <w:rPr>
                <w:rFonts w:cs="Times New Roman"/>
                <w:b w:val="0"/>
                <w:bCs w:val="0"/>
                <w:webHidden/>
              </w:rPr>
              <w:instrText xml:space="preserve"> PAGEREF _Toc125723299 \h </w:instrText>
            </w:r>
            <w:r w:rsidR="00196A75" w:rsidRPr="00196A75">
              <w:rPr>
                <w:rFonts w:cs="Times New Roman"/>
                <w:b w:val="0"/>
                <w:bCs w:val="0"/>
                <w:webHidden/>
              </w:rPr>
            </w:r>
            <w:r w:rsidR="00196A75" w:rsidRPr="00196A75">
              <w:rPr>
                <w:rFonts w:cs="Times New Roman"/>
                <w:b w:val="0"/>
                <w:bCs w:val="0"/>
                <w:webHidden/>
              </w:rPr>
              <w:fldChar w:fldCharType="separate"/>
            </w:r>
            <w:r w:rsidR="006F4BE5">
              <w:rPr>
                <w:rFonts w:cs="Times New Roman"/>
                <w:b w:val="0"/>
                <w:bCs w:val="0"/>
                <w:webHidden/>
              </w:rPr>
              <w:t>50</w:t>
            </w:r>
            <w:r w:rsidR="00196A75" w:rsidRPr="00196A75">
              <w:rPr>
                <w:rFonts w:cs="Times New Roman"/>
                <w:b w:val="0"/>
                <w:bCs w:val="0"/>
                <w:webHidden/>
              </w:rPr>
              <w:fldChar w:fldCharType="end"/>
            </w:r>
          </w:hyperlink>
        </w:p>
        <w:p w14:paraId="69AA6C45" w14:textId="763E9FD3" w:rsidR="00196A75" w:rsidRPr="00720946" w:rsidRDefault="00F30D99" w:rsidP="00720946">
          <w:pPr>
            <w:pStyle w:val="TDC1"/>
            <w:rPr>
              <w:rFonts w:eastAsiaTheme="minorEastAsia"/>
              <w:lang w:val="es-GT" w:eastAsia="es-GT"/>
            </w:rPr>
          </w:pPr>
          <w:hyperlink w:anchor="_Toc125723300" w:history="1">
            <w:r w:rsidR="00196A75" w:rsidRPr="00720946">
              <w:rPr>
                <w:rStyle w:val="Hipervnculo"/>
              </w:rPr>
              <w:t>V.</w:t>
            </w:r>
            <w:r w:rsidR="00196A75" w:rsidRPr="00720946">
              <w:rPr>
                <w:rFonts w:eastAsiaTheme="minorEastAsia"/>
                <w:lang w:val="es-GT" w:eastAsia="es-GT"/>
              </w:rPr>
              <w:t xml:space="preserve"> </w:t>
            </w:r>
            <w:r w:rsidR="00196A75" w:rsidRPr="00720946">
              <w:rPr>
                <w:rStyle w:val="Hipervnculo"/>
                <w:rFonts w:eastAsiaTheme="majorEastAsia"/>
              </w:rPr>
              <w:t>Apéndice</w:t>
            </w:r>
            <w:r w:rsidR="00196A75" w:rsidRPr="00720946">
              <w:rPr>
                <w:webHidden/>
              </w:rPr>
              <w:tab/>
            </w:r>
            <w:r w:rsidR="00196A75" w:rsidRPr="00720946">
              <w:rPr>
                <w:webHidden/>
              </w:rPr>
              <w:fldChar w:fldCharType="begin"/>
            </w:r>
            <w:r w:rsidR="00196A75" w:rsidRPr="00720946">
              <w:rPr>
                <w:webHidden/>
              </w:rPr>
              <w:instrText xml:space="preserve"> PAGEREF _Toc125723300 \h </w:instrText>
            </w:r>
            <w:r w:rsidR="00196A75" w:rsidRPr="00720946">
              <w:rPr>
                <w:webHidden/>
              </w:rPr>
            </w:r>
            <w:r w:rsidR="00196A75" w:rsidRPr="00720946">
              <w:rPr>
                <w:webHidden/>
              </w:rPr>
              <w:fldChar w:fldCharType="separate"/>
            </w:r>
            <w:r w:rsidR="006F4BE5">
              <w:rPr>
                <w:webHidden/>
              </w:rPr>
              <w:t>56</w:t>
            </w:r>
            <w:r w:rsidR="00196A75" w:rsidRPr="00720946">
              <w:rPr>
                <w:webHidden/>
              </w:rPr>
              <w:fldChar w:fldCharType="end"/>
            </w:r>
          </w:hyperlink>
        </w:p>
        <w:p w14:paraId="4A0877B2" w14:textId="4E2B374E" w:rsidR="00196A75" w:rsidRPr="00196A75" w:rsidRDefault="00F30D99">
          <w:pPr>
            <w:pStyle w:val="TDC2"/>
            <w:rPr>
              <w:rFonts w:eastAsiaTheme="minorEastAsia" w:cs="Times New Roman"/>
              <w:b w:val="0"/>
              <w:bCs w:val="0"/>
              <w:lang w:eastAsia="es-GT"/>
            </w:rPr>
          </w:pPr>
          <w:hyperlink w:anchor="_Toc125723301" w:history="1">
            <w:r w:rsidR="00196A75" w:rsidRPr="00196A75">
              <w:rPr>
                <w:rStyle w:val="Hipervnculo"/>
                <w:rFonts w:eastAsia="Times New Roman"/>
                <w:b w:val="0"/>
                <w:bCs w:val="0"/>
              </w:rPr>
              <w:t>5.1</w:t>
            </w:r>
            <w:r w:rsidR="00196A75" w:rsidRPr="00196A75">
              <w:rPr>
                <w:rFonts w:eastAsiaTheme="minorEastAsia" w:cs="Times New Roman"/>
                <w:b w:val="0"/>
                <w:bCs w:val="0"/>
                <w:lang w:eastAsia="es-GT"/>
              </w:rPr>
              <w:tab/>
            </w:r>
            <w:r w:rsidR="00196A75">
              <w:rPr>
                <w:rFonts w:eastAsiaTheme="minorEastAsia" w:cs="Times New Roman"/>
                <w:b w:val="0"/>
                <w:bCs w:val="0"/>
                <w:lang w:eastAsia="es-GT"/>
              </w:rPr>
              <w:t xml:space="preserve"> </w:t>
            </w:r>
            <w:r w:rsidR="00196A75" w:rsidRPr="00196A75">
              <w:rPr>
                <w:rStyle w:val="Hipervnculo"/>
                <w:b w:val="0"/>
                <w:bCs w:val="0"/>
              </w:rPr>
              <w:t>Contexto macroeconómico externo e interno en 2022</w:t>
            </w:r>
            <w:r w:rsidR="00196A75" w:rsidRPr="00196A75">
              <w:rPr>
                <w:rFonts w:cs="Times New Roman"/>
                <w:b w:val="0"/>
                <w:bCs w:val="0"/>
                <w:webHidden/>
              </w:rPr>
              <w:tab/>
            </w:r>
            <w:r w:rsidR="00196A75" w:rsidRPr="00196A75">
              <w:rPr>
                <w:rFonts w:cs="Times New Roman"/>
                <w:b w:val="0"/>
                <w:bCs w:val="0"/>
                <w:webHidden/>
              </w:rPr>
              <w:fldChar w:fldCharType="begin"/>
            </w:r>
            <w:r w:rsidR="00196A75" w:rsidRPr="00196A75">
              <w:rPr>
                <w:rFonts w:cs="Times New Roman"/>
                <w:b w:val="0"/>
                <w:bCs w:val="0"/>
                <w:webHidden/>
              </w:rPr>
              <w:instrText xml:space="preserve"> PAGEREF _Toc125723301 \h </w:instrText>
            </w:r>
            <w:r w:rsidR="00196A75" w:rsidRPr="00196A75">
              <w:rPr>
                <w:rFonts w:cs="Times New Roman"/>
                <w:b w:val="0"/>
                <w:bCs w:val="0"/>
                <w:webHidden/>
              </w:rPr>
            </w:r>
            <w:r w:rsidR="00196A75" w:rsidRPr="00196A75">
              <w:rPr>
                <w:rFonts w:cs="Times New Roman"/>
                <w:b w:val="0"/>
                <w:bCs w:val="0"/>
                <w:webHidden/>
              </w:rPr>
              <w:fldChar w:fldCharType="separate"/>
            </w:r>
            <w:r w:rsidR="006F4BE5">
              <w:rPr>
                <w:rFonts w:cs="Times New Roman"/>
                <w:b w:val="0"/>
                <w:bCs w:val="0"/>
                <w:webHidden/>
              </w:rPr>
              <w:t>56</w:t>
            </w:r>
            <w:r w:rsidR="00196A75" w:rsidRPr="00196A75">
              <w:rPr>
                <w:rFonts w:cs="Times New Roman"/>
                <w:b w:val="0"/>
                <w:bCs w:val="0"/>
                <w:webHidden/>
              </w:rPr>
              <w:fldChar w:fldCharType="end"/>
            </w:r>
          </w:hyperlink>
        </w:p>
        <w:p w14:paraId="41E4BF55" w14:textId="6B52DADE" w:rsidR="00196A75" w:rsidRPr="00196A75" w:rsidRDefault="00F30D99">
          <w:pPr>
            <w:pStyle w:val="TDC2"/>
            <w:rPr>
              <w:rFonts w:eastAsiaTheme="minorEastAsia" w:cs="Times New Roman"/>
              <w:b w:val="0"/>
              <w:bCs w:val="0"/>
              <w:lang w:eastAsia="es-GT"/>
            </w:rPr>
          </w:pPr>
          <w:hyperlink w:anchor="_Toc125723302" w:history="1">
            <w:r w:rsidR="00196A75" w:rsidRPr="00196A75">
              <w:rPr>
                <w:rStyle w:val="Hipervnculo"/>
                <w:b w:val="0"/>
                <w:bCs w:val="0"/>
              </w:rPr>
              <w:t>5.1.1</w:t>
            </w:r>
            <w:r w:rsidR="00196A75">
              <w:rPr>
                <w:rFonts w:eastAsiaTheme="minorEastAsia" w:cs="Times New Roman"/>
                <w:b w:val="0"/>
                <w:bCs w:val="0"/>
                <w:lang w:eastAsia="es-GT"/>
              </w:rPr>
              <w:t xml:space="preserve"> </w:t>
            </w:r>
            <w:r w:rsidR="00196A75" w:rsidRPr="00196A75">
              <w:rPr>
                <w:rStyle w:val="Hipervnculo"/>
                <w:b w:val="0"/>
                <w:bCs w:val="0"/>
              </w:rPr>
              <w:t>Entorno Externo</w:t>
            </w:r>
            <w:r w:rsidR="00196A75" w:rsidRPr="00196A75">
              <w:rPr>
                <w:rFonts w:cs="Times New Roman"/>
                <w:b w:val="0"/>
                <w:bCs w:val="0"/>
                <w:webHidden/>
              </w:rPr>
              <w:tab/>
            </w:r>
            <w:r w:rsidR="00196A75" w:rsidRPr="00196A75">
              <w:rPr>
                <w:rFonts w:cs="Times New Roman"/>
                <w:b w:val="0"/>
                <w:bCs w:val="0"/>
                <w:webHidden/>
              </w:rPr>
              <w:fldChar w:fldCharType="begin"/>
            </w:r>
            <w:r w:rsidR="00196A75" w:rsidRPr="00196A75">
              <w:rPr>
                <w:rFonts w:cs="Times New Roman"/>
                <w:b w:val="0"/>
                <w:bCs w:val="0"/>
                <w:webHidden/>
              </w:rPr>
              <w:instrText xml:space="preserve"> PAGEREF _Toc125723302 \h </w:instrText>
            </w:r>
            <w:r w:rsidR="00196A75" w:rsidRPr="00196A75">
              <w:rPr>
                <w:rFonts w:cs="Times New Roman"/>
                <w:b w:val="0"/>
                <w:bCs w:val="0"/>
                <w:webHidden/>
              </w:rPr>
            </w:r>
            <w:r w:rsidR="00196A75" w:rsidRPr="00196A75">
              <w:rPr>
                <w:rFonts w:cs="Times New Roman"/>
                <w:b w:val="0"/>
                <w:bCs w:val="0"/>
                <w:webHidden/>
              </w:rPr>
              <w:fldChar w:fldCharType="separate"/>
            </w:r>
            <w:r w:rsidR="006F4BE5">
              <w:rPr>
                <w:rFonts w:cs="Times New Roman"/>
                <w:b w:val="0"/>
                <w:bCs w:val="0"/>
                <w:webHidden/>
              </w:rPr>
              <w:t>56</w:t>
            </w:r>
            <w:r w:rsidR="00196A75" w:rsidRPr="00196A75">
              <w:rPr>
                <w:rFonts w:cs="Times New Roman"/>
                <w:b w:val="0"/>
                <w:bCs w:val="0"/>
                <w:webHidden/>
              </w:rPr>
              <w:fldChar w:fldCharType="end"/>
            </w:r>
          </w:hyperlink>
        </w:p>
        <w:p w14:paraId="7F8CE748" w14:textId="6A0E493D" w:rsidR="00196A75" w:rsidRPr="00196A75" w:rsidRDefault="00F30D99">
          <w:pPr>
            <w:pStyle w:val="TDC2"/>
            <w:rPr>
              <w:rFonts w:eastAsiaTheme="minorEastAsia" w:cs="Times New Roman"/>
              <w:b w:val="0"/>
              <w:bCs w:val="0"/>
              <w:lang w:eastAsia="es-GT"/>
            </w:rPr>
          </w:pPr>
          <w:hyperlink w:anchor="_Toc125723303" w:history="1">
            <w:r w:rsidR="00196A75" w:rsidRPr="00196A75">
              <w:rPr>
                <w:rStyle w:val="Hipervnculo"/>
                <w:b w:val="0"/>
                <w:bCs w:val="0"/>
              </w:rPr>
              <w:t>5.1.2</w:t>
            </w:r>
            <w:r w:rsidR="00196A75">
              <w:rPr>
                <w:rFonts w:eastAsiaTheme="minorEastAsia" w:cs="Times New Roman"/>
                <w:b w:val="0"/>
                <w:bCs w:val="0"/>
                <w:lang w:eastAsia="es-GT"/>
              </w:rPr>
              <w:t xml:space="preserve"> </w:t>
            </w:r>
            <w:r w:rsidR="00196A75" w:rsidRPr="00196A75">
              <w:rPr>
                <w:rStyle w:val="Hipervnculo"/>
                <w:b w:val="0"/>
                <w:bCs w:val="0"/>
              </w:rPr>
              <w:t>Entorno Interno</w:t>
            </w:r>
            <w:r w:rsidR="00196A75" w:rsidRPr="00196A75">
              <w:rPr>
                <w:rFonts w:cs="Times New Roman"/>
                <w:b w:val="0"/>
                <w:bCs w:val="0"/>
                <w:webHidden/>
              </w:rPr>
              <w:tab/>
            </w:r>
            <w:r w:rsidR="00196A75" w:rsidRPr="00196A75">
              <w:rPr>
                <w:rFonts w:cs="Times New Roman"/>
                <w:b w:val="0"/>
                <w:bCs w:val="0"/>
                <w:webHidden/>
              </w:rPr>
              <w:fldChar w:fldCharType="begin"/>
            </w:r>
            <w:r w:rsidR="00196A75" w:rsidRPr="00196A75">
              <w:rPr>
                <w:rFonts w:cs="Times New Roman"/>
                <w:b w:val="0"/>
                <w:bCs w:val="0"/>
                <w:webHidden/>
              </w:rPr>
              <w:instrText xml:space="preserve"> PAGEREF _Toc125723303 \h </w:instrText>
            </w:r>
            <w:r w:rsidR="00196A75" w:rsidRPr="00196A75">
              <w:rPr>
                <w:rFonts w:cs="Times New Roman"/>
                <w:b w:val="0"/>
                <w:bCs w:val="0"/>
                <w:webHidden/>
              </w:rPr>
            </w:r>
            <w:r w:rsidR="00196A75" w:rsidRPr="00196A75">
              <w:rPr>
                <w:rFonts w:cs="Times New Roman"/>
                <w:b w:val="0"/>
                <w:bCs w:val="0"/>
                <w:webHidden/>
              </w:rPr>
              <w:fldChar w:fldCharType="separate"/>
            </w:r>
            <w:r w:rsidR="006F4BE5">
              <w:rPr>
                <w:rFonts w:cs="Times New Roman"/>
                <w:b w:val="0"/>
                <w:bCs w:val="0"/>
                <w:webHidden/>
              </w:rPr>
              <w:t>60</w:t>
            </w:r>
            <w:r w:rsidR="00196A75" w:rsidRPr="00196A75">
              <w:rPr>
                <w:rFonts w:cs="Times New Roman"/>
                <w:b w:val="0"/>
                <w:bCs w:val="0"/>
                <w:webHidden/>
              </w:rPr>
              <w:fldChar w:fldCharType="end"/>
            </w:r>
          </w:hyperlink>
        </w:p>
        <w:p w14:paraId="5B91B954" w14:textId="01751F2A" w:rsidR="00196A75" w:rsidRPr="00196A75" w:rsidRDefault="00F30D99">
          <w:pPr>
            <w:pStyle w:val="TDC2"/>
            <w:rPr>
              <w:rFonts w:eastAsiaTheme="minorEastAsia" w:cs="Times New Roman"/>
              <w:b w:val="0"/>
              <w:bCs w:val="0"/>
              <w:lang w:eastAsia="es-GT"/>
            </w:rPr>
          </w:pPr>
          <w:hyperlink w:anchor="_Toc125723304" w:history="1">
            <w:r w:rsidR="00196A75" w:rsidRPr="00196A75">
              <w:rPr>
                <w:rStyle w:val="Hipervnculo"/>
                <w:b w:val="0"/>
                <w:bCs w:val="0"/>
              </w:rPr>
              <w:t>5.2</w:t>
            </w:r>
            <w:r w:rsidR="00196A75" w:rsidRPr="00196A75">
              <w:rPr>
                <w:rFonts w:eastAsiaTheme="minorEastAsia" w:cs="Times New Roman"/>
                <w:b w:val="0"/>
                <w:bCs w:val="0"/>
                <w:lang w:eastAsia="es-GT"/>
              </w:rPr>
              <w:tab/>
            </w:r>
            <w:r w:rsidR="00196A75">
              <w:rPr>
                <w:rFonts w:eastAsiaTheme="minorEastAsia" w:cs="Times New Roman"/>
                <w:b w:val="0"/>
                <w:bCs w:val="0"/>
                <w:lang w:eastAsia="es-GT"/>
              </w:rPr>
              <w:t xml:space="preserve"> </w:t>
            </w:r>
            <w:r w:rsidR="00196A75" w:rsidRPr="00196A75">
              <w:rPr>
                <w:rStyle w:val="Hipervnculo"/>
                <w:b w:val="0"/>
                <w:bCs w:val="0"/>
              </w:rPr>
              <w:t>Estadísticas de las Finanzas Públicas (estándar internacional del FMI)</w:t>
            </w:r>
            <w:r w:rsidR="00196A75" w:rsidRPr="00196A75">
              <w:rPr>
                <w:rFonts w:cs="Times New Roman"/>
                <w:b w:val="0"/>
                <w:bCs w:val="0"/>
                <w:webHidden/>
              </w:rPr>
              <w:tab/>
            </w:r>
            <w:r w:rsidR="00196A75" w:rsidRPr="00196A75">
              <w:rPr>
                <w:rFonts w:cs="Times New Roman"/>
                <w:b w:val="0"/>
                <w:bCs w:val="0"/>
                <w:webHidden/>
              </w:rPr>
              <w:fldChar w:fldCharType="begin"/>
            </w:r>
            <w:r w:rsidR="00196A75" w:rsidRPr="00196A75">
              <w:rPr>
                <w:rFonts w:cs="Times New Roman"/>
                <w:b w:val="0"/>
                <w:bCs w:val="0"/>
                <w:webHidden/>
              </w:rPr>
              <w:instrText xml:space="preserve"> PAGEREF _Toc125723304 \h </w:instrText>
            </w:r>
            <w:r w:rsidR="00196A75" w:rsidRPr="00196A75">
              <w:rPr>
                <w:rFonts w:cs="Times New Roman"/>
                <w:b w:val="0"/>
                <w:bCs w:val="0"/>
                <w:webHidden/>
              </w:rPr>
            </w:r>
            <w:r w:rsidR="00196A75" w:rsidRPr="00196A75">
              <w:rPr>
                <w:rFonts w:cs="Times New Roman"/>
                <w:b w:val="0"/>
                <w:bCs w:val="0"/>
                <w:webHidden/>
              </w:rPr>
              <w:fldChar w:fldCharType="separate"/>
            </w:r>
            <w:r w:rsidR="006F4BE5">
              <w:rPr>
                <w:rFonts w:cs="Times New Roman"/>
                <w:b w:val="0"/>
                <w:bCs w:val="0"/>
                <w:webHidden/>
              </w:rPr>
              <w:t>63</w:t>
            </w:r>
            <w:r w:rsidR="00196A75" w:rsidRPr="00196A75">
              <w:rPr>
                <w:rFonts w:cs="Times New Roman"/>
                <w:b w:val="0"/>
                <w:bCs w:val="0"/>
                <w:webHidden/>
              </w:rPr>
              <w:fldChar w:fldCharType="end"/>
            </w:r>
          </w:hyperlink>
        </w:p>
        <w:p w14:paraId="007FB53E" w14:textId="7DC45BB0" w:rsidR="00196A75" w:rsidRPr="00196A75" w:rsidRDefault="00F30D99">
          <w:pPr>
            <w:pStyle w:val="TDC2"/>
            <w:rPr>
              <w:rFonts w:eastAsiaTheme="minorEastAsia" w:cs="Times New Roman"/>
              <w:b w:val="0"/>
              <w:bCs w:val="0"/>
              <w:lang w:eastAsia="es-GT"/>
            </w:rPr>
          </w:pPr>
          <w:hyperlink w:anchor="_Toc125723305" w:history="1">
            <w:r w:rsidR="00196A75" w:rsidRPr="00196A75">
              <w:rPr>
                <w:rStyle w:val="Hipervnculo"/>
                <w:b w:val="0"/>
                <w:bCs w:val="0"/>
              </w:rPr>
              <w:t>5.2.1</w:t>
            </w:r>
            <w:r w:rsidR="00196A75">
              <w:rPr>
                <w:rFonts w:eastAsiaTheme="minorEastAsia" w:cs="Times New Roman"/>
                <w:b w:val="0"/>
                <w:bCs w:val="0"/>
                <w:lang w:eastAsia="es-GT"/>
              </w:rPr>
              <w:t xml:space="preserve"> </w:t>
            </w:r>
            <w:r w:rsidR="00196A75" w:rsidRPr="00196A75">
              <w:rPr>
                <w:rStyle w:val="Hipervnculo"/>
                <w:b w:val="0"/>
                <w:bCs w:val="0"/>
              </w:rPr>
              <w:t>Estado de Operaciones del Gobierno Central Presupuestario</w:t>
            </w:r>
            <w:r w:rsidR="00196A75" w:rsidRPr="00196A75">
              <w:rPr>
                <w:rFonts w:cs="Times New Roman"/>
                <w:b w:val="0"/>
                <w:bCs w:val="0"/>
                <w:webHidden/>
              </w:rPr>
              <w:tab/>
            </w:r>
            <w:r w:rsidR="00196A75" w:rsidRPr="00196A75">
              <w:rPr>
                <w:rFonts w:cs="Times New Roman"/>
                <w:b w:val="0"/>
                <w:bCs w:val="0"/>
                <w:webHidden/>
              </w:rPr>
              <w:fldChar w:fldCharType="begin"/>
            </w:r>
            <w:r w:rsidR="00196A75" w:rsidRPr="00196A75">
              <w:rPr>
                <w:rFonts w:cs="Times New Roman"/>
                <w:b w:val="0"/>
                <w:bCs w:val="0"/>
                <w:webHidden/>
              </w:rPr>
              <w:instrText xml:space="preserve"> PAGEREF _Toc125723305 \h </w:instrText>
            </w:r>
            <w:r w:rsidR="00196A75" w:rsidRPr="00196A75">
              <w:rPr>
                <w:rFonts w:cs="Times New Roman"/>
                <w:b w:val="0"/>
                <w:bCs w:val="0"/>
                <w:webHidden/>
              </w:rPr>
            </w:r>
            <w:r w:rsidR="00196A75" w:rsidRPr="00196A75">
              <w:rPr>
                <w:rFonts w:cs="Times New Roman"/>
                <w:b w:val="0"/>
                <w:bCs w:val="0"/>
                <w:webHidden/>
              </w:rPr>
              <w:fldChar w:fldCharType="separate"/>
            </w:r>
            <w:r w:rsidR="006F4BE5">
              <w:rPr>
                <w:rFonts w:cs="Times New Roman"/>
                <w:b w:val="0"/>
                <w:bCs w:val="0"/>
                <w:webHidden/>
              </w:rPr>
              <w:t>63</w:t>
            </w:r>
            <w:r w:rsidR="00196A75" w:rsidRPr="00196A75">
              <w:rPr>
                <w:rFonts w:cs="Times New Roman"/>
                <w:b w:val="0"/>
                <w:bCs w:val="0"/>
                <w:webHidden/>
              </w:rPr>
              <w:fldChar w:fldCharType="end"/>
            </w:r>
          </w:hyperlink>
        </w:p>
        <w:p w14:paraId="3E58CA50" w14:textId="68E82F26" w:rsidR="00196A75" w:rsidRPr="00196A75" w:rsidRDefault="00F30D99">
          <w:pPr>
            <w:pStyle w:val="TDC2"/>
            <w:rPr>
              <w:rFonts w:eastAsiaTheme="minorEastAsia" w:cs="Times New Roman"/>
              <w:b w:val="0"/>
              <w:bCs w:val="0"/>
              <w:lang w:eastAsia="es-GT"/>
            </w:rPr>
          </w:pPr>
          <w:hyperlink w:anchor="_Toc125723306" w:history="1">
            <w:r w:rsidR="00196A75" w:rsidRPr="00196A75">
              <w:rPr>
                <w:rStyle w:val="Hipervnculo"/>
                <w:b w:val="0"/>
                <w:bCs w:val="0"/>
              </w:rPr>
              <w:t>5.2.2</w:t>
            </w:r>
            <w:r w:rsidR="00196A75">
              <w:rPr>
                <w:rFonts w:eastAsiaTheme="minorEastAsia" w:cs="Times New Roman"/>
                <w:b w:val="0"/>
                <w:bCs w:val="0"/>
                <w:lang w:eastAsia="es-GT"/>
              </w:rPr>
              <w:t xml:space="preserve"> </w:t>
            </w:r>
            <w:r w:rsidR="00196A75" w:rsidRPr="00196A75">
              <w:rPr>
                <w:rStyle w:val="Hipervnculo"/>
                <w:b w:val="0"/>
                <w:bCs w:val="0"/>
              </w:rPr>
              <w:t>Estado de operaciones del Gobierno General Consolidado</w:t>
            </w:r>
            <w:r w:rsidR="00196A75" w:rsidRPr="00196A75">
              <w:rPr>
                <w:rFonts w:cs="Times New Roman"/>
                <w:b w:val="0"/>
                <w:bCs w:val="0"/>
                <w:webHidden/>
              </w:rPr>
              <w:tab/>
            </w:r>
            <w:r w:rsidR="00196A75" w:rsidRPr="00196A75">
              <w:rPr>
                <w:rFonts w:cs="Times New Roman"/>
                <w:b w:val="0"/>
                <w:bCs w:val="0"/>
                <w:webHidden/>
              </w:rPr>
              <w:fldChar w:fldCharType="begin"/>
            </w:r>
            <w:r w:rsidR="00196A75" w:rsidRPr="00196A75">
              <w:rPr>
                <w:rFonts w:cs="Times New Roman"/>
                <w:b w:val="0"/>
                <w:bCs w:val="0"/>
                <w:webHidden/>
              </w:rPr>
              <w:instrText xml:space="preserve"> PAGEREF _Toc125723306 \h </w:instrText>
            </w:r>
            <w:r w:rsidR="00196A75" w:rsidRPr="00196A75">
              <w:rPr>
                <w:rFonts w:cs="Times New Roman"/>
                <w:b w:val="0"/>
                <w:bCs w:val="0"/>
                <w:webHidden/>
              </w:rPr>
            </w:r>
            <w:r w:rsidR="00196A75" w:rsidRPr="00196A75">
              <w:rPr>
                <w:rFonts w:cs="Times New Roman"/>
                <w:b w:val="0"/>
                <w:bCs w:val="0"/>
                <w:webHidden/>
              </w:rPr>
              <w:fldChar w:fldCharType="separate"/>
            </w:r>
            <w:r w:rsidR="006F4BE5">
              <w:rPr>
                <w:rFonts w:cs="Times New Roman"/>
                <w:b w:val="0"/>
                <w:bCs w:val="0"/>
                <w:webHidden/>
              </w:rPr>
              <w:t>66</w:t>
            </w:r>
            <w:r w:rsidR="00196A75" w:rsidRPr="00196A75">
              <w:rPr>
                <w:rFonts w:cs="Times New Roman"/>
                <w:b w:val="0"/>
                <w:bCs w:val="0"/>
                <w:webHidden/>
              </w:rPr>
              <w:fldChar w:fldCharType="end"/>
            </w:r>
          </w:hyperlink>
        </w:p>
        <w:p w14:paraId="6F564124" w14:textId="10E1F3CC" w:rsidR="00196A75" w:rsidRPr="00196A75" w:rsidRDefault="00F30D99">
          <w:pPr>
            <w:pStyle w:val="TDC2"/>
            <w:rPr>
              <w:rFonts w:eastAsiaTheme="minorEastAsia" w:cs="Times New Roman"/>
              <w:b w:val="0"/>
              <w:bCs w:val="0"/>
              <w:lang w:eastAsia="es-GT"/>
            </w:rPr>
          </w:pPr>
          <w:hyperlink w:anchor="_Toc125723307" w:history="1">
            <w:r w:rsidR="00196A75" w:rsidRPr="00196A75">
              <w:rPr>
                <w:rStyle w:val="Hipervnculo"/>
                <w:b w:val="0"/>
                <w:bCs w:val="0"/>
              </w:rPr>
              <w:t>5.2.3</w:t>
            </w:r>
            <w:r w:rsidR="00196A75">
              <w:rPr>
                <w:rFonts w:eastAsiaTheme="minorEastAsia" w:cs="Times New Roman"/>
                <w:b w:val="0"/>
                <w:bCs w:val="0"/>
                <w:lang w:eastAsia="es-GT"/>
              </w:rPr>
              <w:t xml:space="preserve"> </w:t>
            </w:r>
            <w:r w:rsidR="00196A75" w:rsidRPr="00196A75">
              <w:rPr>
                <w:rStyle w:val="Hipervnculo"/>
                <w:b w:val="0"/>
                <w:bCs w:val="0"/>
              </w:rPr>
              <w:t>Estado de operaciones del Sector Público No Financiero</w:t>
            </w:r>
            <w:r w:rsidR="00196A75" w:rsidRPr="00196A75">
              <w:rPr>
                <w:rFonts w:cs="Times New Roman"/>
                <w:b w:val="0"/>
                <w:bCs w:val="0"/>
                <w:webHidden/>
              </w:rPr>
              <w:tab/>
            </w:r>
            <w:r w:rsidR="00196A75" w:rsidRPr="00196A75">
              <w:rPr>
                <w:rFonts w:cs="Times New Roman"/>
                <w:b w:val="0"/>
                <w:bCs w:val="0"/>
                <w:webHidden/>
              </w:rPr>
              <w:fldChar w:fldCharType="begin"/>
            </w:r>
            <w:r w:rsidR="00196A75" w:rsidRPr="00196A75">
              <w:rPr>
                <w:rFonts w:cs="Times New Roman"/>
                <w:b w:val="0"/>
                <w:bCs w:val="0"/>
                <w:webHidden/>
              </w:rPr>
              <w:instrText xml:space="preserve"> PAGEREF _Toc125723307 \h </w:instrText>
            </w:r>
            <w:r w:rsidR="00196A75" w:rsidRPr="00196A75">
              <w:rPr>
                <w:rFonts w:cs="Times New Roman"/>
                <w:b w:val="0"/>
                <w:bCs w:val="0"/>
                <w:webHidden/>
              </w:rPr>
            </w:r>
            <w:r w:rsidR="00196A75" w:rsidRPr="00196A75">
              <w:rPr>
                <w:rFonts w:cs="Times New Roman"/>
                <w:b w:val="0"/>
                <w:bCs w:val="0"/>
                <w:webHidden/>
              </w:rPr>
              <w:fldChar w:fldCharType="separate"/>
            </w:r>
            <w:r w:rsidR="006F4BE5">
              <w:rPr>
                <w:rFonts w:cs="Times New Roman"/>
                <w:b w:val="0"/>
                <w:bCs w:val="0"/>
                <w:webHidden/>
              </w:rPr>
              <w:t>68</w:t>
            </w:r>
            <w:r w:rsidR="00196A75" w:rsidRPr="00196A75">
              <w:rPr>
                <w:rFonts w:cs="Times New Roman"/>
                <w:b w:val="0"/>
                <w:bCs w:val="0"/>
                <w:webHidden/>
              </w:rPr>
              <w:fldChar w:fldCharType="end"/>
            </w:r>
          </w:hyperlink>
        </w:p>
        <w:p w14:paraId="2761E227" w14:textId="3C41188A" w:rsidR="009A347E" w:rsidRPr="009A347E" w:rsidRDefault="00CD728D" w:rsidP="00720946">
          <w:pPr>
            <w:pStyle w:val="TDC1"/>
            <w:rPr>
              <w:rFonts w:eastAsiaTheme="minorEastAsia"/>
            </w:rPr>
          </w:pPr>
          <w:r w:rsidRPr="00580E0E">
            <w:rPr>
              <w:rFonts w:cs="Times New Roman"/>
            </w:rPr>
            <w:fldChar w:fldCharType="end"/>
          </w:r>
        </w:p>
      </w:sdtContent>
    </w:sdt>
    <w:p w14:paraId="7358200C" w14:textId="77777777" w:rsidR="00196A75" w:rsidRDefault="00196A75" w:rsidP="008D7BB4">
      <w:pPr>
        <w:spacing w:line="276" w:lineRule="auto"/>
        <w:contextualSpacing/>
        <w:jc w:val="center"/>
        <w:rPr>
          <w:rFonts w:ascii="Times New Roman" w:hAnsi="Times New Roman"/>
          <w:b/>
          <w:bCs/>
          <w:lang w:val="es-ES"/>
        </w:rPr>
      </w:pPr>
    </w:p>
    <w:p w14:paraId="35F78331" w14:textId="4F510C77" w:rsidR="007C704B" w:rsidRPr="001567F3" w:rsidRDefault="007C704B" w:rsidP="008D7BB4">
      <w:pPr>
        <w:spacing w:line="276" w:lineRule="auto"/>
        <w:contextualSpacing/>
        <w:jc w:val="center"/>
        <w:rPr>
          <w:b/>
          <w:bCs/>
          <w:lang w:val="es-ES"/>
        </w:rPr>
      </w:pPr>
      <w:r w:rsidRPr="007C704B">
        <w:rPr>
          <w:rFonts w:ascii="Times New Roman" w:hAnsi="Times New Roman"/>
          <w:b/>
          <w:bCs/>
          <w:lang w:val="es-ES"/>
        </w:rPr>
        <w:lastRenderedPageBreak/>
        <w:t>Contenido</w:t>
      </w:r>
      <w:r>
        <w:rPr>
          <w:rFonts w:ascii="Times New Roman" w:hAnsi="Times New Roman"/>
          <w:b/>
          <w:bCs/>
          <w:lang w:val="es-ES"/>
        </w:rPr>
        <w:t xml:space="preserve"> en gráficos</w:t>
      </w:r>
    </w:p>
    <w:p w14:paraId="51C2B71C" w14:textId="77777777" w:rsidR="007C704B" w:rsidRPr="0045177A" w:rsidRDefault="007C704B" w:rsidP="008D7BB4">
      <w:pPr>
        <w:spacing w:line="276" w:lineRule="auto"/>
        <w:contextualSpacing/>
        <w:jc w:val="center"/>
        <w:rPr>
          <w:rFonts w:ascii="Times New Roman" w:eastAsia="Times New Roman" w:hAnsi="Times New Roman" w:cs="Times New Roman"/>
          <w:sz w:val="22"/>
          <w:szCs w:val="22"/>
        </w:rPr>
      </w:pPr>
    </w:p>
    <w:p w14:paraId="46C1F489" w14:textId="6AFFFD2F" w:rsidR="005E5028" w:rsidRPr="005E5028" w:rsidRDefault="0038200B">
      <w:pPr>
        <w:pStyle w:val="Tabladeilustraciones"/>
        <w:tabs>
          <w:tab w:val="right" w:leader="dot" w:pos="8828"/>
        </w:tabs>
        <w:rPr>
          <w:rFonts w:ascii="Times New Roman" w:hAnsi="Times New Roman" w:cs="Times New Roman"/>
          <w:noProof/>
          <w:sz w:val="22"/>
          <w:szCs w:val="22"/>
          <w:lang w:eastAsia="es-GT"/>
        </w:rPr>
      </w:pPr>
      <w:r w:rsidRPr="002B4D2B">
        <w:rPr>
          <w:rFonts w:ascii="Times New Roman" w:eastAsia="Times New Roman" w:hAnsi="Times New Roman" w:cs="Times New Roman"/>
          <w:sz w:val="22"/>
          <w:szCs w:val="22"/>
        </w:rPr>
        <w:fldChar w:fldCharType="begin"/>
      </w:r>
      <w:r w:rsidRPr="002B4D2B">
        <w:rPr>
          <w:rFonts w:ascii="Times New Roman" w:eastAsia="Times New Roman" w:hAnsi="Times New Roman" w:cs="Times New Roman"/>
          <w:sz w:val="22"/>
          <w:szCs w:val="22"/>
        </w:rPr>
        <w:instrText xml:space="preserve"> TOC \h \z \c "Gráfico" </w:instrText>
      </w:r>
      <w:r w:rsidRPr="002B4D2B">
        <w:rPr>
          <w:rFonts w:ascii="Times New Roman" w:eastAsia="Times New Roman" w:hAnsi="Times New Roman" w:cs="Times New Roman"/>
          <w:sz w:val="22"/>
          <w:szCs w:val="22"/>
        </w:rPr>
        <w:fldChar w:fldCharType="separate"/>
      </w:r>
      <w:hyperlink w:anchor="_Toc125733197" w:history="1">
        <w:r w:rsidR="005E5028" w:rsidRPr="005E5028">
          <w:rPr>
            <w:rStyle w:val="Hipervnculo"/>
            <w:rFonts w:ascii="Times New Roman" w:eastAsia="Times New Roman" w:hAnsi="Times New Roman"/>
            <w:noProof/>
            <w:sz w:val="22"/>
            <w:szCs w:val="22"/>
          </w:rPr>
          <w:t>Gráfico 1. Variación de la recaudación tributaria neta</w:t>
        </w:r>
        <w:r w:rsidR="005E5028" w:rsidRPr="005E5028">
          <w:rPr>
            <w:rFonts w:ascii="Times New Roman" w:hAnsi="Times New Roman" w:cs="Times New Roman"/>
            <w:noProof/>
            <w:webHidden/>
            <w:sz w:val="22"/>
            <w:szCs w:val="22"/>
          </w:rPr>
          <w:tab/>
        </w:r>
        <w:r w:rsidR="005E5028" w:rsidRPr="005E5028">
          <w:rPr>
            <w:rFonts w:ascii="Times New Roman" w:hAnsi="Times New Roman" w:cs="Times New Roman"/>
            <w:noProof/>
            <w:webHidden/>
            <w:sz w:val="22"/>
            <w:szCs w:val="22"/>
          </w:rPr>
          <w:fldChar w:fldCharType="begin"/>
        </w:r>
        <w:r w:rsidR="005E5028" w:rsidRPr="005E5028">
          <w:rPr>
            <w:rFonts w:ascii="Times New Roman" w:hAnsi="Times New Roman" w:cs="Times New Roman"/>
            <w:noProof/>
            <w:webHidden/>
            <w:sz w:val="22"/>
            <w:szCs w:val="22"/>
          </w:rPr>
          <w:instrText xml:space="preserve"> PAGEREF _Toc125733197 \h </w:instrText>
        </w:r>
        <w:r w:rsidR="005E5028" w:rsidRPr="005E5028">
          <w:rPr>
            <w:rFonts w:ascii="Times New Roman" w:hAnsi="Times New Roman" w:cs="Times New Roman"/>
            <w:noProof/>
            <w:webHidden/>
            <w:sz w:val="22"/>
            <w:szCs w:val="22"/>
          </w:rPr>
        </w:r>
        <w:r w:rsidR="005E5028" w:rsidRPr="005E5028">
          <w:rPr>
            <w:rFonts w:ascii="Times New Roman" w:hAnsi="Times New Roman" w:cs="Times New Roman"/>
            <w:noProof/>
            <w:webHidden/>
            <w:sz w:val="22"/>
            <w:szCs w:val="22"/>
          </w:rPr>
          <w:fldChar w:fldCharType="separate"/>
        </w:r>
        <w:r w:rsidR="006F4BE5">
          <w:rPr>
            <w:rFonts w:ascii="Times New Roman" w:hAnsi="Times New Roman" w:cs="Times New Roman"/>
            <w:noProof/>
            <w:webHidden/>
            <w:sz w:val="22"/>
            <w:szCs w:val="22"/>
          </w:rPr>
          <w:t>8</w:t>
        </w:r>
        <w:r w:rsidR="005E5028" w:rsidRPr="005E5028">
          <w:rPr>
            <w:rFonts w:ascii="Times New Roman" w:hAnsi="Times New Roman" w:cs="Times New Roman"/>
            <w:noProof/>
            <w:webHidden/>
            <w:sz w:val="22"/>
            <w:szCs w:val="22"/>
          </w:rPr>
          <w:fldChar w:fldCharType="end"/>
        </w:r>
      </w:hyperlink>
    </w:p>
    <w:p w14:paraId="19CF09BB" w14:textId="2A334E4E" w:rsidR="005E5028" w:rsidRPr="005E5028" w:rsidRDefault="00F30D99">
      <w:pPr>
        <w:pStyle w:val="Tabladeilustraciones"/>
        <w:tabs>
          <w:tab w:val="right" w:leader="dot" w:pos="8828"/>
        </w:tabs>
        <w:rPr>
          <w:rFonts w:ascii="Times New Roman" w:hAnsi="Times New Roman" w:cs="Times New Roman"/>
          <w:noProof/>
          <w:sz w:val="22"/>
          <w:szCs w:val="22"/>
          <w:lang w:eastAsia="es-GT"/>
        </w:rPr>
      </w:pPr>
      <w:hyperlink w:anchor="_Toc125733198" w:history="1">
        <w:r w:rsidR="005E5028" w:rsidRPr="005E5028">
          <w:rPr>
            <w:rStyle w:val="Hipervnculo"/>
            <w:rFonts w:ascii="Times New Roman" w:eastAsia="Times New Roman" w:hAnsi="Times New Roman"/>
            <w:noProof/>
            <w:sz w:val="22"/>
            <w:szCs w:val="22"/>
          </w:rPr>
          <w:t xml:space="preserve">Gráfico 2. </w:t>
        </w:r>
        <w:r w:rsidR="005E5028" w:rsidRPr="005E5028">
          <w:rPr>
            <w:rStyle w:val="Hipervnculo"/>
            <w:rFonts w:ascii="Times New Roman" w:eastAsia="Times New Roman" w:hAnsi="Times New Roman"/>
            <w:noProof/>
            <w:sz w:val="22"/>
            <w:szCs w:val="22"/>
            <w:lang w:val="es-MX"/>
          </w:rPr>
          <w:t>Variación del ISR de actividades lucrativas</w:t>
        </w:r>
        <w:r w:rsidR="005E5028" w:rsidRPr="005E5028">
          <w:rPr>
            <w:rFonts w:ascii="Times New Roman" w:hAnsi="Times New Roman" w:cs="Times New Roman"/>
            <w:noProof/>
            <w:webHidden/>
            <w:sz w:val="22"/>
            <w:szCs w:val="22"/>
          </w:rPr>
          <w:tab/>
        </w:r>
        <w:r w:rsidR="005E5028" w:rsidRPr="005E5028">
          <w:rPr>
            <w:rFonts w:ascii="Times New Roman" w:hAnsi="Times New Roman" w:cs="Times New Roman"/>
            <w:noProof/>
            <w:webHidden/>
            <w:sz w:val="22"/>
            <w:szCs w:val="22"/>
          </w:rPr>
          <w:fldChar w:fldCharType="begin"/>
        </w:r>
        <w:r w:rsidR="005E5028" w:rsidRPr="005E5028">
          <w:rPr>
            <w:rFonts w:ascii="Times New Roman" w:hAnsi="Times New Roman" w:cs="Times New Roman"/>
            <w:noProof/>
            <w:webHidden/>
            <w:sz w:val="22"/>
            <w:szCs w:val="22"/>
          </w:rPr>
          <w:instrText xml:space="preserve"> PAGEREF _Toc125733198 \h </w:instrText>
        </w:r>
        <w:r w:rsidR="005E5028" w:rsidRPr="005E5028">
          <w:rPr>
            <w:rFonts w:ascii="Times New Roman" w:hAnsi="Times New Roman" w:cs="Times New Roman"/>
            <w:noProof/>
            <w:webHidden/>
            <w:sz w:val="22"/>
            <w:szCs w:val="22"/>
          </w:rPr>
        </w:r>
        <w:r w:rsidR="005E5028" w:rsidRPr="005E5028">
          <w:rPr>
            <w:rFonts w:ascii="Times New Roman" w:hAnsi="Times New Roman" w:cs="Times New Roman"/>
            <w:noProof/>
            <w:webHidden/>
            <w:sz w:val="22"/>
            <w:szCs w:val="22"/>
          </w:rPr>
          <w:fldChar w:fldCharType="separate"/>
        </w:r>
        <w:r w:rsidR="006F4BE5">
          <w:rPr>
            <w:rFonts w:ascii="Times New Roman" w:hAnsi="Times New Roman" w:cs="Times New Roman"/>
            <w:noProof/>
            <w:webHidden/>
            <w:sz w:val="22"/>
            <w:szCs w:val="22"/>
          </w:rPr>
          <w:t>10</w:t>
        </w:r>
        <w:r w:rsidR="005E5028" w:rsidRPr="005E5028">
          <w:rPr>
            <w:rFonts w:ascii="Times New Roman" w:hAnsi="Times New Roman" w:cs="Times New Roman"/>
            <w:noProof/>
            <w:webHidden/>
            <w:sz w:val="22"/>
            <w:szCs w:val="22"/>
          </w:rPr>
          <w:fldChar w:fldCharType="end"/>
        </w:r>
      </w:hyperlink>
    </w:p>
    <w:p w14:paraId="36B51C3B" w14:textId="4C57F005" w:rsidR="005E5028" w:rsidRPr="005E5028" w:rsidRDefault="00F30D99">
      <w:pPr>
        <w:pStyle w:val="Tabladeilustraciones"/>
        <w:tabs>
          <w:tab w:val="right" w:leader="dot" w:pos="8828"/>
        </w:tabs>
        <w:rPr>
          <w:rFonts w:ascii="Times New Roman" w:hAnsi="Times New Roman" w:cs="Times New Roman"/>
          <w:noProof/>
          <w:sz w:val="22"/>
          <w:szCs w:val="22"/>
          <w:lang w:eastAsia="es-GT"/>
        </w:rPr>
      </w:pPr>
      <w:hyperlink w:anchor="_Toc125733199" w:history="1">
        <w:r w:rsidR="005E5028" w:rsidRPr="005E5028">
          <w:rPr>
            <w:rStyle w:val="Hipervnculo"/>
            <w:rFonts w:ascii="Times New Roman" w:eastAsia="Times New Roman" w:hAnsi="Times New Roman"/>
            <w:noProof/>
            <w:sz w:val="22"/>
            <w:szCs w:val="22"/>
          </w:rPr>
          <w:t xml:space="preserve">Gráfico 3. </w:t>
        </w:r>
        <w:r w:rsidR="005E5028" w:rsidRPr="005E5028">
          <w:rPr>
            <w:rStyle w:val="Hipervnculo"/>
            <w:rFonts w:ascii="Times New Roman" w:eastAsia="Times New Roman" w:hAnsi="Times New Roman"/>
            <w:noProof/>
            <w:sz w:val="22"/>
            <w:szCs w:val="22"/>
            <w:lang w:val="es-MX"/>
          </w:rPr>
          <w:t>Variación del ISR en relación de dependencia</w:t>
        </w:r>
        <w:r w:rsidR="005E5028" w:rsidRPr="005E5028">
          <w:rPr>
            <w:rFonts w:ascii="Times New Roman" w:hAnsi="Times New Roman" w:cs="Times New Roman"/>
            <w:noProof/>
            <w:webHidden/>
            <w:sz w:val="22"/>
            <w:szCs w:val="22"/>
          </w:rPr>
          <w:tab/>
        </w:r>
        <w:r w:rsidR="005E5028" w:rsidRPr="005E5028">
          <w:rPr>
            <w:rFonts w:ascii="Times New Roman" w:hAnsi="Times New Roman" w:cs="Times New Roman"/>
            <w:noProof/>
            <w:webHidden/>
            <w:sz w:val="22"/>
            <w:szCs w:val="22"/>
          </w:rPr>
          <w:fldChar w:fldCharType="begin"/>
        </w:r>
        <w:r w:rsidR="005E5028" w:rsidRPr="005E5028">
          <w:rPr>
            <w:rFonts w:ascii="Times New Roman" w:hAnsi="Times New Roman" w:cs="Times New Roman"/>
            <w:noProof/>
            <w:webHidden/>
            <w:sz w:val="22"/>
            <w:szCs w:val="22"/>
          </w:rPr>
          <w:instrText xml:space="preserve"> PAGEREF _Toc125733199 \h </w:instrText>
        </w:r>
        <w:r w:rsidR="005E5028" w:rsidRPr="005E5028">
          <w:rPr>
            <w:rFonts w:ascii="Times New Roman" w:hAnsi="Times New Roman" w:cs="Times New Roman"/>
            <w:noProof/>
            <w:webHidden/>
            <w:sz w:val="22"/>
            <w:szCs w:val="22"/>
          </w:rPr>
        </w:r>
        <w:r w:rsidR="005E5028" w:rsidRPr="005E5028">
          <w:rPr>
            <w:rFonts w:ascii="Times New Roman" w:hAnsi="Times New Roman" w:cs="Times New Roman"/>
            <w:noProof/>
            <w:webHidden/>
            <w:sz w:val="22"/>
            <w:szCs w:val="22"/>
          </w:rPr>
          <w:fldChar w:fldCharType="separate"/>
        </w:r>
        <w:r w:rsidR="006F4BE5">
          <w:rPr>
            <w:rFonts w:ascii="Times New Roman" w:hAnsi="Times New Roman" w:cs="Times New Roman"/>
            <w:noProof/>
            <w:webHidden/>
            <w:sz w:val="22"/>
            <w:szCs w:val="22"/>
          </w:rPr>
          <w:t>10</w:t>
        </w:r>
        <w:r w:rsidR="005E5028" w:rsidRPr="005E5028">
          <w:rPr>
            <w:rFonts w:ascii="Times New Roman" w:hAnsi="Times New Roman" w:cs="Times New Roman"/>
            <w:noProof/>
            <w:webHidden/>
            <w:sz w:val="22"/>
            <w:szCs w:val="22"/>
          </w:rPr>
          <w:fldChar w:fldCharType="end"/>
        </w:r>
      </w:hyperlink>
    </w:p>
    <w:p w14:paraId="5D08E058" w14:textId="60F6C47A" w:rsidR="005E5028" w:rsidRPr="005E5028" w:rsidRDefault="00F30D99">
      <w:pPr>
        <w:pStyle w:val="Tabladeilustraciones"/>
        <w:tabs>
          <w:tab w:val="right" w:leader="dot" w:pos="8828"/>
        </w:tabs>
        <w:rPr>
          <w:rFonts w:ascii="Times New Roman" w:hAnsi="Times New Roman" w:cs="Times New Roman"/>
          <w:noProof/>
          <w:sz w:val="22"/>
          <w:szCs w:val="22"/>
          <w:lang w:eastAsia="es-GT"/>
        </w:rPr>
      </w:pPr>
      <w:hyperlink w:anchor="_Toc125733200" w:history="1">
        <w:r w:rsidR="005E5028" w:rsidRPr="005E5028">
          <w:rPr>
            <w:rStyle w:val="Hipervnculo"/>
            <w:rFonts w:ascii="Times New Roman" w:eastAsia="Times New Roman" w:hAnsi="Times New Roman"/>
            <w:noProof/>
            <w:sz w:val="22"/>
            <w:szCs w:val="22"/>
          </w:rPr>
          <w:t>Gráfico 4. Brecha del impuesto al valor agregado respecto a presupuesto</w:t>
        </w:r>
        <w:r w:rsidR="005E5028" w:rsidRPr="005E5028">
          <w:rPr>
            <w:rFonts w:ascii="Times New Roman" w:hAnsi="Times New Roman" w:cs="Times New Roman"/>
            <w:noProof/>
            <w:webHidden/>
            <w:sz w:val="22"/>
            <w:szCs w:val="22"/>
          </w:rPr>
          <w:tab/>
        </w:r>
        <w:r w:rsidR="005E5028" w:rsidRPr="005E5028">
          <w:rPr>
            <w:rFonts w:ascii="Times New Roman" w:hAnsi="Times New Roman" w:cs="Times New Roman"/>
            <w:noProof/>
            <w:webHidden/>
            <w:sz w:val="22"/>
            <w:szCs w:val="22"/>
          </w:rPr>
          <w:fldChar w:fldCharType="begin"/>
        </w:r>
        <w:r w:rsidR="005E5028" w:rsidRPr="005E5028">
          <w:rPr>
            <w:rFonts w:ascii="Times New Roman" w:hAnsi="Times New Roman" w:cs="Times New Roman"/>
            <w:noProof/>
            <w:webHidden/>
            <w:sz w:val="22"/>
            <w:szCs w:val="22"/>
          </w:rPr>
          <w:instrText xml:space="preserve"> PAGEREF _Toc125733200 \h </w:instrText>
        </w:r>
        <w:r w:rsidR="005E5028" w:rsidRPr="005E5028">
          <w:rPr>
            <w:rFonts w:ascii="Times New Roman" w:hAnsi="Times New Roman" w:cs="Times New Roman"/>
            <w:noProof/>
            <w:webHidden/>
            <w:sz w:val="22"/>
            <w:szCs w:val="22"/>
          </w:rPr>
        </w:r>
        <w:r w:rsidR="005E5028" w:rsidRPr="005E5028">
          <w:rPr>
            <w:rFonts w:ascii="Times New Roman" w:hAnsi="Times New Roman" w:cs="Times New Roman"/>
            <w:noProof/>
            <w:webHidden/>
            <w:sz w:val="22"/>
            <w:szCs w:val="22"/>
          </w:rPr>
          <w:fldChar w:fldCharType="separate"/>
        </w:r>
        <w:r w:rsidR="006F4BE5">
          <w:rPr>
            <w:rFonts w:ascii="Times New Roman" w:hAnsi="Times New Roman" w:cs="Times New Roman"/>
            <w:noProof/>
            <w:webHidden/>
            <w:sz w:val="22"/>
            <w:szCs w:val="22"/>
          </w:rPr>
          <w:t>11</w:t>
        </w:r>
        <w:r w:rsidR="005E5028" w:rsidRPr="005E5028">
          <w:rPr>
            <w:rFonts w:ascii="Times New Roman" w:hAnsi="Times New Roman" w:cs="Times New Roman"/>
            <w:noProof/>
            <w:webHidden/>
            <w:sz w:val="22"/>
            <w:szCs w:val="22"/>
          </w:rPr>
          <w:fldChar w:fldCharType="end"/>
        </w:r>
      </w:hyperlink>
    </w:p>
    <w:p w14:paraId="389372CD" w14:textId="24858AAB" w:rsidR="005E5028" w:rsidRPr="005E5028" w:rsidRDefault="00F30D99">
      <w:pPr>
        <w:pStyle w:val="Tabladeilustraciones"/>
        <w:tabs>
          <w:tab w:val="right" w:leader="dot" w:pos="8828"/>
        </w:tabs>
        <w:rPr>
          <w:rFonts w:ascii="Times New Roman" w:hAnsi="Times New Roman" w:cs="Times New Roman"/>
          <w:noProof/>
          <w:sz w:val="22"/>
          <w:szCs w:val="22"/>
          <w:lang w:eastAsia="es-GT"/>
        </w:rPr>
      </w:pPr>
      <w:hyperlink w:anchor="_Toc125733201" w:history="1">
        <w:r w:rsidR="005E5028" w:rsidRPr="005E5028">
          <w:rPr>
            <w:rStyle w:val="Hipervnculo"/>
            <w:rFonts w:ascii="Times New Roman" w:eastAsia="Times New Roman" w:hAnsi="Times New Roman"/>
            <w:noProof/>
            <w:sz w:val="22"/>
            <w:szCs w:val="22"/>
          </w:rPr>
          <w:t>Gráfico 5. Precio del Petróleo WTI</w:t>
        </w:r>
        <w:r w:rsidR="005E5028" w:rsidRPr="005E5028">
          <w:rPr>
            <w:rFonts w:ascii="Times New Roman" w:hAnsi="Times New Roman" w:cs="Times New Roman"/>
            <w:noProof/>
            <w:webHidden/>
            <w:sz w:val="22"/>
            <w:szCs w:val="22"/>
          </w:rPr>
          <w:tab/>
        </w:r>
        <w:r w:rsidR="005E5028" w:rsidRPr="005E5028">
          <w:rPr>
            <w:rFonts w:ascii="Times New Roman" w:hAnsi="Times New Roman" w:cs="Times New Roman"/>
            <w:noProof/>
            <w:webHidden/>
            <w:sz w:val="22"/>
            <w:szCs w:val="22"/>
          </w:rPr>
          <w:fldChar w:fldCharType="begin"/>
        </w:r>
        <w:r w:rsidR="005E5028" w:rsidRPr="005E5028">
          <w:rPr>
            <w:rFonts w:ascii="Times New Roman" w:hAnsi="Times New Roman" w:cs="Times New Roman"/>
            <w:noProof/>
            <w:webHidden/>
            <w:sz w:val="22"/>
            <w:szCs w:val="22"/>
          </w:rPr>
          <w:instrText xml:space="preserve"> PAGEREF _Toc125733201 \h </w:instrText>
        </w:r>
        <w:r w:rsidR="005E5028" w:rsidRPr="005E5028">
          <w:rPr>
            <w:rFonts w:ascii="Times New Roman" w:hAnsi="Times New Roman" w:cs="Times New Roman"/>
            <w:noProof/>
            <w:webHidden/>
            <w:sz w:val="22"/>
            <w:szCs w:val="22"/>
          </w:rPr>
        </w:r>
        <w:r w:rsidR="005E5028" w:rsidRPr="005E5028">
          <w:rPr>
            <w:rFonts w:ascii="Times New Roman" w:hAnsi="Times New Roman" w:cs="Times New Roman"/>
            <w:noProof/>
            <w:webHidden/>
            <w:sz w:val="22"/>
            <w:szCs w:val="22"/>
          </w:rPr>
          <w:fldChar w:fldCharType="separate"/>
        </w:r>
        <w:r w:rsidR="006F4BE5">
          <w:rPr>
            <w:rFonts w:ascii="Times New Roman" w:hAnsi="Times New Roman" w:cs="Times New Roman"/>
            <w:noProof/>
            <w:webHidden/>
            <w:sz w:val="22"/>
            <w:szCs w:val="22"/>
          </w:rPr>
          <w:t>12</w:t>
        </w:r>
        <w:r w:rsidR="005E5028" w:rsidRPr="005E5028">
          <w:rPr>
            <w:rFonts w:ascii="Times New Roman" w:hAnsi="Times New Roman" w:cs="Times New Roman"/>
            <w:noProof/>
            <w:webHidden/>
            <w:sz w:val="22"/>
            <w:szCs w:val="22"/>
          </w:rPr>
          <w:fldChar w:fldCharType="end"/>
        </w:r>
      </w:hyperlink>
    </w:p>
    <w:p w14:paraId="0BA7EC5B" w14:textId="633133D6" w:rsidR="005E5028" w:rsidRPr="005E5028" w:rsidRDefault="00F30D99">
      <w:pPr>
        <w:pStyle w:val="Tabladeilustraciones"/>
        <w:tabs>
          <w:tab w:val="right" w:leader="dot" w:pos="8828"/>
        </w:tabs>
        <w:rPr>
          <w:rFonts w:ascii="Times New Roman" w:hAnsi="Times New Roman" w:cs="Times New Roman"/>
          <w:noProof/>
          <w:sz w:val="22"/>
          <w:szCs w:val="22"/>
          <w:lang w:eastAsia="es-GT"/>
        </w:rPr>
      </w:pPr>
      <w:hyperlink w:anchor="_Toc125733202" w:history="1">
        <w:r w:rsidR="005E5028" w:rsidRPr="005E5028">
          <w:rPr>
            <w:rStyle w:val="Hipervnculo"/>
            <w:rFonts w:ascii="Times New Roman" w:eastAsia="Times New Roman" w:hAnsi="Times New Roman"/>
            <w:noProof/>
            <w:sz w:val="22"/>
            <w:szCs w:val="22"/>
          </w:rPr>
          <w:t xml:space="preserve">Gráfico 6. </w:t>
        </w:r>
        <w:r w:rsidR="005E5028" w:rsidRPr="005E5028">
          <w:rPr>
            <w:rStyle w:val="Hipervnculo"/>
            <w:rFonts w:ascii="Times New Roman" w:eastAsia="Times New Roman" w:hAnsi="Times New Roman"/>
            <w:noProof/>
            <w:sz w:val="22"/>
            <w:szCs w:val="22"/>
            <w:lang w:val="es-MX"/>
          </w:rPr>
          <w:t>Productividad de cada año</w:t>
        </w:r>
        <w:r w:rsidR="005E5028" w:rsidRPr="005E5028">
          <w:rPr>
            <w:rFonts w:ascii="Times New Roman" w:hAnsi="Times New Roman" w:cs="Times New Roman"/>
            <w:noProof/>
            <w:webHidden/>
            <w:sz w:val="22"/>
            <w:szCs w:val="22"/>
          </w:rPr>
          <w:tab/>
        </w:r>
        <w:r w:rsidR="005E5028" w:rsidRPr="005E5028">
          <w:rPr>
            <w:rFonts w:ascii="Times New Roman" w:hAnsi="Times New Roman" w:cs="Times New Roman"/>
            <w:noProof/>
            <w:webHidden/>
            <w:sz w:val="22"/>
            <w:szCs w:val="22"/>
          </w:rPr>
          <w:fldChar w:fldCharType="begin"/>
        </w:r>
        <w:r w:rsidR="005E5028" w:rsidRPr="005E5028">
          <w:rPr>
            <w:rFonts w:ascii="Times New Roman" w:hAnsi="Times New Roman" w:cs="Times New Roman"/>
            <w:noProof/>
            <w:webHidden/>
            <w:sz w:val="22"/>
            <w:szCs w:val="22"/>
          </w:rPr>
          <w:instrText xml:space="preserve"> PAGEREF _Toc125733202 \h </w:instrText>
        </w:r>
        <w:r w:rsidR="005E5028" w:rsidRPr="005E5028">
          <w:rPr>
            <w:rFonts w:ascii="Times New Roman" w:hAnsi="Times New Roman" w:cs="Times New Roman"/>
            <w:noProof/>
            <w:webHidden/>
            <w:sz w:val="22"/>
            <w:szCs w:val="22"/>
          </w:rPr>
        </w:r>
        <w:r w:rsidR="005E5028" w:rsidRPr="005E5028">
          <w:rPr>
            <w:rFonts w:ascii="Times New Roman" w:hAnsi="Times New Roman" w:cs="Times New Roman"/>
            <w:noProof/>
            <w:webHidden/>
            <w:sz w:val="22"/>
            <w:szCs w:val="22"/>
          </w:rPr>
          <w:fldChar w:fldCharType="separate"/>
        </w:r>
        <w:r w:rsidR="006F4BE5">
          <w:rPr>
            <w:rFonts w:ascii="Times New Roman" w:hAnsi="Times New Roman" w:cs="Times New Roman"/>
            <w:noProof/>
            <w:webHidden/>
            <w:sz w:val="22"/>
            <w:szCs w:val="22"/>
          </w:rPr>
          <w:t>13</w:t>
        </w:r>
        <w:r w:rsidR="005E5028" w:rsidRPr="005E5028">
          <w:rPr>
            <w:rFonts w:ascii="Times New Roman" w:hAnsi="Times New Roman" w:cs="Times New Roman"/>
            <w:noProof/>
            <w:webHidden/>
            <w:sz w:val="22"/>
            <w:szCs w:val="22"/>
          </w:rPr>
          <w:fldChar w:fldCharType="end"/>
        </w:r>
      </w:hyperlink>
    </w:p>
    <w:p w14:paraId="44231648" w14:textId="6A81230D" w:rsidR="005E5028" w:rsidRPr="005E5028" w:rsidRDefault="00F30D99">
      <w:pPr>
        <w:pStyle w:val="Tabladeilustraciones"/>
        <w:tabs>
          <w:tab w:val="right" w:leader="dot" w:pos="8828"/>
        </w:tabs>
        <w:rPr>
          <w:rFonts w:ascii="Times New Roman" w:hAnsi="Times New Roman" w:cs="Times New Roman"/>
          <w:noProof/>
          <w:sz w:val="22"/>
          <w:szCs w:val="22"/>
          <w:lang w:eastAsia="es-GT"/>
        </w:rPr>
      </w:pPr>
      <w:hyperlink w:anchor="_Toc125733203" w:history="1">
        <w:r w:rsidR="005E5028" w:rsidRPr="005E5028">
          <w:rPr>
            <w:rStyle w:val="Hipervnculo"/>
            <w:rFonts w:ascii="Times New Roman" w:eastAsia="Times New Roman" w:hAnsi="Times New Roman"/>
            <w:noProof/>
            <w:sz w:val="22"/>
            <w:szCs w:val="22"/>
          </w:rPr>
          <w:t xml:space="preserve">Gráfico 7. </w:t>
        </w:r>
        <w:r w:rsidR="005E5028" w:rsidRPr="005E5028">
          <w:rPr>
            <w:rStyle w:val="Hipervnculo"/>
            <w:rFonts w:ascii="Times New Roman" w:eastAsia="Times New Roman" w:hAnsi="Times New Roman"/>
            <w:noProof/>
            <w:sz w:val="22"/>
            <w:szCs w:val="22"/>
            <w:lang w:val="es-MX"/>
          </w:rPr>
          <w:t>Productividad de cada año</w:t>
        </w:r>
        <w:r w:rsidR="005E5028" w:rsidRPr="005E5028">
          <w:rPr>
            <w:rFonts w:ascii="Times New Roman" w:hAnsi="Times New Roman" w:cs="Times New Roman"/>
            <w:noProof/>
            <w:webHidden/>
            <w:sz w:val="22"/>
            <w:szCs w:val="22"/>
          </w:rPr>
          <w:tab/>
        </w:r>
        <w:r w:rsidR="005E5028" w:rsidRPr="005E5028">
          <w:rPr>
            <w:rFonts w:ascii="Times New Roman" w:hAnsi="Times New Roman" w:cs="Times New Roman"/>
            <w:noProof/>
            <w:webHidden/>
            <w:sz w:val="22"/>
            <w:szCs w:val="22"/>
          </w:rPr>
          <w:fldChar w:fldCharType="begin"/>
        </w:r>
        <w:r w:rsidR="005E5028" w:rsidRPr="005E5028">
          <w:rPr>
            <w:rFonts w:ascii="Times New Roman" w:hAnsi="Times New Roman" w:cs="Times New Roman"/>
            <w:noProof/>
            <w:webHidden/>
            <w:sz w:val="22"/>
            <w:szCs w:val="22"/>
          </w:rPr>
          <w:instrText xml:space="preserve"> PAGEREF _Toc125733203 \h </w:instrText>
        </w:r>
        <w:r w:rsidR="005E5028" w:rsidRPr="005E5028">
          <w:rPr>
            <w:rFonts w:ascii="Times New Roman" w:hAnsi="Times New Roman" w:cs="Times New Roman"/>
            <w:noProof/>
            <w:webHidden/>
            <w:sz w:val="22"/>
            <w:szCs w:val="22"/>
          </w:rPr>
        </w:r>
        <w:r w:rsidR="005E5028" w:rsidRPr="005E5028">
          <w:rPr>
            <w:rFonts w:ascii="Times New Roman" w:hAnsi="Times New Roman" w:cs="Times New Roman"/>
            <w:noProof/>
            <w:webHidden/>
            <w:sz w:val="22"/>
            <w:szCs w:val="22"/>
          </w:rPr>
          <w:fldChar w:fldCharType="separate"/>
        </w:r>
        <w:r w:rsidR="006F4BE5">
          <w:rPr>
            <w:rFonts w:ascii="Times New Roman" w:hAnsi="Times New Roman" w:cs="Times New Roman"/>
            <w:noProof/>
            <w:webHidden/>
            <w:sz w:val="22"/>
            <w:szCs w:val="22"/>
          </w:rPr>
          <w:t>13</w:t>
        </w:r>
        <w:r w:rsidR="005E5028" w:rsidRPr="005E5028">
          <w:rPr>
            <w:rFonts w:ascii="Times New Roman" w:hAnsi="Times New Roman" w:cs="Times New Roman"/>
            <w:noProof/>
            <w:webHidden/>
            <w:sz w:val="22"/>
            <w:szCs w:val="22"/>
          </w:rPr>
          <w:fldChar w:fldCharType="end"/>
        </w:r>
      </w:hyperlink>
    </w:p>
    <w:p w14:paraId="111A9CFA" w14:textId="39BD46AB" w:rsidR="005E5028" w:rsidRPr="005E5028" w:rsidRDefault="00F30D99">
      <w:pPr>
        <w:pStyle w:val="Tabladeilustraciones"/>
        <w:tabs>
          <w:tab w:val="right" w:leader="dot" w:pos="8828"/>
        </w:tabs>
        <w:rPr>
          <w:rFonts w:ascii="Times New Roman" w:hAnsi="Times New Roman" w:cs="Times New Roman"/>
          <w:noProof/>
          <w:sz w:val="22"/>
          <w:szCs w:val="22"/>
          <w:lang w:eastAsia="es-GT"/>
        </w:rPr>
      </w:pPr>
      <w:hyperlink w:anchor="_Toc125733204" w:history="1">
        <w:r w:rsidR="005E5028" w:rsidRPr="005E5028">
          <w:rPr>
            <w:rStyle w:val="Hipervnculo"/>
            <w:rFonts w:ascii="Times New Roman" w:eastAsia="Times New Roman" w:hAnsi="Times New Roman"/>
            <w:noProof/>
            <w:sz w:val="22"/>
            <w:szCs w:val="22"/>
          </w:rPr>
          <w:t>Gráfico 8. Carga Tributaria</w:t>
        </w:r>
        <w:r w:rsidR="005E5028" w:rsidRPr="005E5028">
          <w:rPr>
            <w:rFonts w:ascii="Times New Roman" w:hAnsi="Times New Roman" w:cs="Times New Roman"/>
            <w:noProof/>
            <w:webHidden/>
            <w:sz w:val="22"/>
            <w:szCs w:val="22"/>
          </w:rPr>
          <w:tab/>
        </w:r>
        <w:r w:rsidR="005E5028" w:rsidRPr="005E5028">
          <w:rPr>
            <w:rFonts w:ascii="Times New Roman" w:hAnsi="Times New Roman" w:cs="Times New Roman"/>
            <w:noProof/>
            <w:webHidden/>
            <w:sz w:val="22"/>
            <w:szCs w:val="22"/>
          </w:rPr>
          <w:fldChar w:fldCharType="begin"/>
        </w:r>
        <w:r w:rsidR="005E5028" w:rsidRPr="005E5028">
          <w:rPr>
            <w:rFonts w:ascii="Times New Roman" w:hAnsi="Times New Roman" w:cs="Times New Roman"/>
            <w:noProof/>
            <w:webHidden/>
            <w:sz w:val="22"/>
            <w:szCs w:val="22"/>
          </w:rPr>
          <w:instrText xml:space="preserve"> PAGEREF _Toc125733204 \h </w:instrText>
        </w:r>
        <w:r w:rsidR="005E5028" w:rsidRPr="005E5028">
          <w:rPr>
            <w:rFonts w:ascii="Times New Roman" w:hAnsi="Times New Roman" w:cs="Times New Roman"/>
            <w:noProof/>
            <w:webHidden/>
            <w:sz w:val="22"/>
            <w:szCs w:val="22"/>
          </w:rPr>
        </w:r>
        <w:r w:rsidR="005E5028" w:rsidRPr="005E5028">
          <w:rPr>
            <w:rFonts w:ascii="Times New Roman" w:hAnsi="Times New Roman" w:cs="Times New Roman"/>
            <w:noProof/>
            <w:webHidden/>
            <w:sz w:val="22"/>
            <w:szCs w:val="22"/>
          </w:rPr>
          <w:fldChar w:fldCharType="separate"/>
        </w:r>
        <w:r w:rsidR="006F4BE5">
          <w:rPr>
            <w:rFonts w:ascii="Times New Roman" w:hAnsi="Times New Roman" w:cs="Times New Roman"/>
            <w:noProof/>
            <w:webHidden/>
            <w:sz w:val="22"/>
            <w:szCs w:val="22"/>
          </w:rPr>
          <w:t>14</w:t>
        </w:r>
        <w:r w:rsidR="005E5028" w:rsidRPr="005E5028">
          <w:rPr>
            <w:rFonts w:ascii="Times New Roman" w:hAnsi="Times New Roman" w:cs="Times New Roman"/>
            <w:noProof/>
            <w:webHidden/>
            <w:sz w:val="22"/>
            <w:szCs w:val="22"/>
          </w:rPr>
          <w:fldChar w:fldCharType="end"/>
        </w:r>
      </w:hyperlink>
    </w:p>
    <w:p w14:paraId="4504EDF9" w14:textId="79B3A250" w:rsidR="005E5028" w:rsidRPr="005E5028" w:rsidRDefault="00F30D99">
      <w:pPr>
        <w:pStyle w:val="Tabladeilustraciones"/>
        <w:tabs>
          <w:tab w:val="right" w:leader="dot" w:pos="8828"/>
        </w:tabs>
        <w:rPr>
          <w:rFonts w:ascii="Times New Roman" w:hAnsi="Times New Roman" w:cs="Times New Roman"/>
          <w:noProof/>
          <w:sz w:val="22"/>
          <w:szCs w:val="22"/>
          <w:lang w:eastAsia="es-GT"/>
        </w:rPr>
      </w:pPr>
      <w:hyperlink w:anchor="_Toc125733205" w:history="1">
        <w:r w:rsidR="005E5028" w:rsidRPr="005E5028">
          <w:rPr>
            <w:rStyle w:val="Hipervnculo"/>
            <w:rFonts w:ascii="Times New Roman" w:eastAsia="Times New Roman" w:hAnsi="Times New Roman"/>
            <w:noProof/>
            <w:sz w:val="22"/>
            <w:szCs w:val="22"/>
          </w:rPr>
          <w:t>Gráfico 9. Estructura de ingresos no tributarios</w:t>
        </w:r>
        <w:r w:rsidR="005E5028" w:rsidRPr="005E5028">
          <w:rPr>
            <w:rFonts w:ascii="Times New Roman" w:hAnsi="Times New Roman" w:cs="Times New Roman"/>
            <w:noProof/>
            <w:webHidden/>
            <w:sz w:val="22"/>
            <w:szCs w:val="22"/>
          </w:rPr>
          <w:tab/>
        </w:r>
        <w:r w:rsidR="005E5028" w:rsidRPr="005E5028">
          <w:rPr>
            <w:rFonts w:ascii="Times New Roman" w:hAnsi="Times New Roman" w:cs="Times New Roman"/>
            <w:noProof/>
            <w:webHidden/>
            <w:sz w:val="22"/>
            <w:szCs w:val="22"/>
          </w:rPr>
          <w:fldChar w:fldCharType="begin"/>
        </w:r>
        <w:r w:rsidR="005E5028" w:rsidRPr="005E5028">
          <w:rPr>
            <w:rFonts w:ascii="Times New Roman" w:hAnsi="Times New Roman" w:cs="Times New Roman"/>
            <w:noProof/>
            <w:webHidden/>
            <w:sz w:val="22"/>
            <w:szCs w:val="22"/>
          </w:rPr>
          <w:instrText xml:space="preserve"> PAGEREF _Toc125733205 \h </w:instrText>
        </w:r>
        <w:r w:rsidR="005E5028" w:rsidRPr="005E5028">
          <w:rPr>
            <w:rFonts w:ascii="Times New Roman" w:hAnsi="Times New Roman" w:cs="Times New Roman"/>
            <w:noProof/>
            <w:webHidden/>
            <w:sz w:val="22"/>
            <w:szCs w:val="22"/>
          </w:rPr>
        </w:r>
        <w:r w:rsidR="005E5028" w:rsidRPr="005E5028">
          <w:rPr>
            <w:rFonts w:ascii="Times New Roman" w:hAnsi="Times New Roman" w:cs="Times New Roman"/>
            <w:noProof/>
            <w:webHidden/>
            <w:sz w:val="22"/>
            <w:szCs w:val="22"/>
          </w:rPr>
          <w:fldChar w:fldCharType="separate"/>
        </w:r>
        <w:r w:rsidR="006F4BE5">
          <w:rPr>
            <w:rFonts w:ascii="Times New Roman" w:hAnsi="Times New Roman" w:cs="Times New Roman"/>
            <w:noProof/>
            <w:webHidden/>
            <w:sz w:val="22"/>
            <w:szCs w:val="22"/>
          </w:rPr>
          <w:t>15</w:t>
        </w:r>
        <w:r w:rsidR="005E5028" w:rsidRPr="005E5028">
          <w:rPr>
            <w:rFonts w:ascii="Times New Roman" w:hAnsi="Times New Roman" w:cs="Times New Roman"/>
            <w:noProof/>
            <w:webHidden/>
            <w:sz w:val="22"/>
            <w:szCs w:val="22"/>
          </w:rPr>
          <w:fldChar w:fldCharType="end"/>
        </w:r>
      </w:hyperlink>
    </w:p>
    <w:p w14:paraId="692A4A69" w14:textId="3293E681" w:rsidR="005E5028" w:rsidRPr="005E5028" w:rsidRDefault="00F30D99">
      <w:pPr>
        <w:pStyle w:val="Tabladeilustraciones"/>
        <w:tabs>
          <w:tab w:val="right" w:leader="dot" w:pos="8828"/>
        </w:tabs>
        <w:rPr>
          <w:rFonts w:ascii="Times New Roman" w:hAnsi="Times New Roman" w:cs="Times New Roman"/>
          <w:noProof/>
          <w:sz w:val="22"/>
          <w:szCs w:val="22"/>
          <w:lang w:eastAsia="es-GT"/>
        </w:rPr>
      </w:pPr>
      <w:hyperlink w:anchor="_Toc125733206" w:history="1">
        <w:r w:rsidR="005E5028" w:rsidRPr="005E5028">
          <w:rPr>
            <w:rStyle w:val="Hipervnculo"/>
            <w:rFonts w:ascii="Times New Roman" w:eastAsia="Times New Roman" w:hAnsi="Times New Roman"/>
            <w:noProof/>
            <w:sz w:val="22"/>
            <w:szCs w:val="22"/>
          </w:rPr>
          <w:t xml:space="preserve">Gráfico 10. </w:t>
        </w:r>
        <w:r w:rsidR="005E5028" w:rsidRPr="005E5028">
          <w:rPr>
            <w:rStyle w:val="Hipervnculo"/>
            <w:rFonts w:ascii="Times New Roman" w:eastAsia="Times New Roman" w:hAnsi="Times New Roman"/>
            <w:noProof/>
            <w:sz w:val="22"/>
            <w:szCs w:val="22"/>
            <w:lang w:val="es-ES_tradnl" w:eastAsia="es-ES"/>
          </w:rPr>
          <w:t>Ritmo de ejecución del gasto público</w:t>
        </w:r>
        <w:r w:rsidR="005E5028" w:rsidRPr="005E5028">
          <w:rPr>
            <w:rFonts w:ascii="Times New Roman" w:hAnsi="Times New Roman" w:cs="Times New Roman"/>
            <w:noProof/>
            <w:webHidden/>
            <w:sz w:val="22"/>
            <w:szCs w:val="22"/>
          </w:rPr>
          <w:tab/>
        </w:r>
        <w:r w:rsidR="005E5028" w:rsidRPr="005E5028">
          <w:rPr>
            <w:rFonts w:ascii="Times New Roman" w:hAnsi="Times New Roman" w:cs="Times New Roman"/>
            <w:noProof/>
            <w:webHidden/>
            <w:sz w:val="22"/>
            <w:szCs w:val="22"/>
          </w:rPr>
          <w:fldChar w:fldCharType="begin"/>
        </w:r>
        <w:r w:rsidR="005E5028" w:rsidRPr="005E5028">
          <w:rPr>
            <w:rFonts w:ascii="Times New Roman" w:hAnsi="Times New Roman" w:cs="Times New Roman"/>
            <w:noProof/>
            <w:webHidden/>
            <w:sz w:val="22"/>
            <w:szCs w:val="22"/>
          </w:rPr>
          <w:instrText xml:space="preserve"> PAGEREF _Toc125733206 \h </w:instrText>
        </w:r>
        <w:r w:rsidR="005E5028" w:rsidRPr="005E5028">
          <w:rPr>
            <w:rFonts w:ascii="Times New Roman" w:hAnsi="Times New Roman" w:cs="Times New Roman"/>
            <w:noProof/>
            <w:webHidden/>
            <w:sz w:val="22"/>
            <w:szCs w:val="22"/>
          </w:rPr>
        </w:r>
        <w:r w:rsidR="005E5028" w:rsidRPr="005E5028">
          <w:rPr>
            <w:rFonts w:ascii="Times New Roman" w:hAnsi="Times New Roman" w:cs="Times New Roman"/>
            <w:noProof/>
            <w:webHidden/>
            <w:sz w:val="22"/>
            <w:szCs w:val="22"/>
          </w:rPr>
          <w:fldChar w:fldCharType="separate"/>
        </w:r>
        <w:r w:rsidR="006F4BE5">
          <w:rPr>
            <w:rFonts w:ascii="Times New Roman" w:hAnsi="Times New Roman" w:cs="Times New Roman"/>
            <w:noProof/>
            <w:webHidden/>
            <w:sz w:val="22"/>
            <w:szCs w:val="22"/>
          </w:rPr>
          <w:t>17</w:t>
        </w:r>
        <w:r w:rsidR="005E5028" w:rsidRPr="005E5028">
          <w:rPr>
            <w:rFonts w:ascii="Times New Roman" w:hAnsi="Times New Roman" w:cs="Times New Roman"/>
            <w:noProof/>
            <w:webHidden/>
            <w:sz w:val="22"/>
            <w:szCs w:val="22"/>
          </w:rPr>
          <w:fldChar w:fldCharType="end"/>
        </w:r>
      </w:hyperlink>
    </w:p>
    <w:p w14:paraId="1675A000" w14:textId="3BD3EB7F" w:rsidR="005E5028" w:rsidRPr="005E5028" w:rsidRDefault="00F30D99">
      <w:pPr>
        <w:pStyle w:val="Tabladeilustraciones"/>
        <w:tabs>
          <w:tab w:val="right" w:leader="dot" w:pos="8828"/>
        </w:tabs>
        <w:rPr>
          <w:rFonts w:ascii="Times New Roman" w:hAnsi="Times New Roman" w:cs="Times New Roman"/>
          <w:noProof/>
          <w:sz w:val="22"/>
          <w:szCs w:val="22"/>
          <w:lang w:eastAsia="es-GT"/>
        </w:rPr>
      </w:pPr>
      <w:hyperlink w:anchor="_Toc125733207" w:history="1">
        <w:r w:rsidR="005E5028" w:rsidRPr="005E5028">
          <w:rPr>
            <w:rStyle w:val="Hipervnculo"/>
            <w:rFonts w:ascii="Times New Roman" w:eastAsia="Times New Roman" w:hAnsi="Times New Roman"/>
            <w:noProof/>
            <w:sz w:val="22"/>
            <w:szCs w:val="22"/>
          </w:rPr>
          <w:t>Gráfico 11. Ejecución por rubro de Cuenta Económica</w:t>
        </w:r>
        <w:r w:rsidR="005E5028" w:rsidRPr="005E5028">
          <w:rPr>
            <w:rFonts w:ascii="Times New Roman" w:hAnsi="Times New Roman" w:cs="Times New Roman"/>
            <w:noProof/>
            <w:webHidden/>
            <w:sz w:val="22"/>
            <w:szCs w:val="22"/>
          </w:rPr>
          <w:tab/>
        </w:r>
        <w:r w:rsidR="005E5028" w:rsidRPr="005E5028">
          <w:rPr>
            <w:rFonts w:ascii="Times New Roman" w:hAnsi="Times New Roman" w:cs="Times New Roman"/>
            <w:noProof/>
            <w:webHidden/>
            <w:sz w:val="22"/>
            <w:szCs w:val="22"/>
          </w:rPr>
          <w:fldChar w:fldCharType="begin"/>
        </w:r>
        <w:r w:rsidR="005E5028" w:rsidRPr="005E5028">
          <w:rPr>
            <w:rFonts w:ascii="Times New Roman" w:hAnsi="Times New Roman" w:cs="Times New Roman"/>
            <w:noProof/>
            <w:webHidden/>
            <w:sz w:val="22"/>
            <w:szCs w:val="22"/>
          </w:rPr>
          <w:instrText xml:space="preserve"> PAGEREF _Toc125733207 \h </w:instrText>
        </w:r>
        <w:r w:rsidR="005E5028" w:rsidRPr="005E5028">
          <w:rPr>
            <w:rFonts w:ascii="Times New Roman" w:hAnsi="Times New Roman" w:cs="Times New Roman"/>
            <w:noProof/>
            <w:webHidden/>
            <w:sz w:val="22"/>
            <w:szCs w:val="22"/>
          </w:rPr>
        </w:r>
        <w:r w:rsidR="005E5028" w:rsidRPr="005E5028">
          <w:rPr>
            <w:rFonts w:ascii="Times New Roman" w:hAnsi="Times New Roman" w:cs="Times New Roman"/>
            <w:noProof/>
            <w:webHidden/>
            <w:sz w:val="22"/>
            <w:szCs w:val="22"/>
          </w:rPr>
          <w:fldChar w:fldCharType="separate"/>
        </w:r>
        <w:r w:rsidR="006F4BE5">
          <w:rPr>
            <w:rFonts w:ascii="Times New Roman" w:hAnsi="Times New Roman" w:cs="Times New Roman"/>
            <w:noProof/>
            <w:webHidden/>
            <w:sz w:val="22"/>
            <w:szCs w:val="22"/>
          </w:rPr>
          <w:t>21</w:t>
        </w:r>
        <w:r w:rsidR="005E5028" w:rsidRPr="005E5028">
          <w:rPr>
            <w:rFonts w:ascii="Times New Roman" w:hAnsi="Times New Roman" w:cs="Times New Roman"/>
            <w:noProof/>
            <w:webHidden/>
            <w:sz w:val="22"/>
            <w:szCs w:val="22"/>
          </w:rPr>
          <w:fldChar w:fldCharType="end"/>
        </w:r>
      </w:hyperlink>
    </w:p>
    <w:p w14:paraId="3987CB29" w14:textId="73D60B13" w:rsidR="005E5028" w:rsidRPr="005E5028" w:rsidRDefault="00F30D99">
      <w:pPr>
        <w:pStyle w:val="Tabladeilustraciones"/>
        <w:tabs>
          <w:tab w:val="right" w:leader="dot" w:pos="8828"/>
        </w:tabs>
        <w:rPr>
          <w:rFonts w:ascii="Times New Roman" w:hAnsi="Times New Roman" w:cs="Times New Roman"/>
          <w:noProof/>
          <w:sz w:val="22"/>
          <w:szCs w:val="22"/>
          <w:lang w:eastAsia="es-GT"/>
        </w:rPr>
      </w:pPr>
      <w:hyperlink w:anchor="_Toc125733208" w:history="1">
        <w:r w:rsidR="005E5028" w:rsidRPr="005E5028">
          <w:rPr>
            <w:rStyle w:val="Hipervnculo"/>
            <w:rFonts w:ascii="Times New Roman" w:eastAsia="Times New Roman" w:hAnsi="Times New Roman"/>
            <w:noProof/>
            <w:sz w:val="22"/>
            <w:szCs w:val="22"/>
          </w:rPr>
          <w:t>Gráfico 12. Aumento interanual en el gasto de combustibles por entidad</w:t>
        </w:r>
        <w:r w:rsidR="005E5028" w:rsidRPr="005E5028">
          <w:rPr>
            <w:rFonts w:ascii="Times New Roman" w:hAnsi="Times New Roman" w:cs="Times New Roman"/>
            <w:noProof/>
            <w:webHidden/>
            <w:sz w:val="22"/>
            <w:szCs w:val="22"/>
          </w:rPr>
          <w:tab/>
        </w:r>
        <w:r w:rsidR="005E5028" w:rsidRPr="005E5028">
          <w:rPr>
            <w:rFonts w:ascii="Times New Roman" w:hAnsi="Times New Roman" w:cs="Times New Roman"/>
            <w:noProof/>
            <w:webHidden/>
            <w:sz w:val="22"/>
            <w:szCs w:val="22"/>
          </w:rPr>
          <w:fldChar w:fldCharType="begin"/>
        </w:r>
        <w:r w:rsidR="005E5028" w:rsidRPr="005E5028">
          <w:rPr>
            <w:rFonts w:ascii="Times New Roman" w:hAnsi="Times New Roman" w:cs="Times New Roman"/>
            <w:noProof/>
            <w:webHidden/>
            <w:sz w:val="22"/>
            <w:szCs w:val="22"/>
          </w:rPr>
          <w:instrText xml:space="preserve"> PAGEREF _Toc125733208 \h </w:instrText>
        </w:r>
        <w:r w:rsidR="005E5028" w:rsidRPr="005E5028">
          <w:rPr>
            <w:rFonts w:ascii="Times New Roman" w:hAnsi="Times New Roman" w:cs="Times New Roman"/>
            <w:noProof/>
            <w:webHidden/>
            <w:sz w:val="22"/>
            <w:szCs w:val="22"/>
          </w:rPr>
        </w:r>
        <w:r w:rsidR="005E5028" w:rsidRPr="005E5028">
          <w:rPr>
            <w:rFonts w:ascii="Times New Roman" w:hAnsi="Times New Roman" w:cs="Times New Roman"/>
            <w:noProof/>
            <w:webHidden/>
            <w:sz w:val="22"/>
            <w:szCs w:val="22"/>
          </w:rPr>
          <w:fldChar w:fldCharType="separate"/>
        </w:r>
        <w:r w:rsidR="006F4BE5">
          <w:rPr>
            <w:rFonts w:ascii="Times New Roman" w:hAnsi="Times New Roman" w:cs="Times New Roman"/>
            <w:noProof/>
            <w:webHidden/>
            <w:sz w:val="22"/>
            <w:szCs w:val="22"/>
          </w:rPr>
          <w:t>24</w:t>
        </w:r>
        <w:r w:rsidR="005E5028" w:rsidRPr="005E5028">
          <w:rPr>
            <w:rFonts w:ascii="Times New Roman" w:hAnsi="Times New Roman" w:cs="Times New Roman"/>
            <w:noProof/>
            <w:webHidden/>
            <w:sz w:val="22"/>
            <w:szCs w:val="22"/>
          </w:rPr>
          <w:fldChar w:fldCharType="end"/>
        </w:r>
      </w:hyperlink>
    </w:p>
    <w:p w14:paraId="2989AF59" w14:textId="78FF8C80" w:rsidR="005E5028" w:rsidRPr="005E5028" w:rsidRDefault="00F30D99">
      <w:pPr>
        <w:pStyle w:val="Tabladeilustraciones"/>
        <w:tabs>
          <w:tab w:val="right" w:leader="dot" w:pos="8828"/>
        </w:tabs>
        <w:rPr>
          <w:rFonts w:ascii="Times New Roman" w:hAnsi="Times New Roman" w:cs="Times New Roman"/>
          <w:noProof/>
          <w:sz w:val="22"/>
          <w:szCs w:val="22"/>
          <w:lang w:eastAsia="es-GT"/>
        </w:rPr>
      </w:pPr>
      <w:hyperlink w:anchor="_Toc125733209" w:history="1">
        <w:r w:rsidR="005E5028" w:rsidRPr="005E5028">
          <w:rPr>
            <w:rStyle w:val="Hipervnculo"/>
            <w:rFonts w:ascii="Times New Roman" w:eastAsia="Times New Roman" w:hAnsi="Times New Roman"/>
            <w:noProof/>
            <w:sz w:val="22"/>
            <w:szCs w:val="22"/>
          </w:rPr>
          <w:t>Gráfico 13. Gastos no esenciales 2019-2022</w:t>
        </w:r>
        <w:r w:rsidR="005E5028" w:rsidRPr="005E5028">
          <w:rPr>
            <w:rFonts w:ascii="Times New Roman" w:hAnsi="Times New Roman" w:cs="Times New Roman"/>
            <w:noProof/>
            <w:webHidden/>
            <w:sz w:val="22"/>
            <w:szCs w:val="22"/>
          </w:rPr>
          <w:tab/>
        </w:r>
        <w:r w:rsidR="005E5028" w:rsidRPr="005E5028">
          <w:rPr>
            <w:rFonts w:ascii="Times New Roman" w:hAnsi="Times New Roman" w:cs="Times New Roman"/>
            <w:noProof/>
            <w:webHidden/>
            <w:sz w:val="22"/>
            <w:szCs w:val="22"/>
          </w:rPr>
          <w:fldChar w:fldCharType="begin"/>
        </w:r>
        <w:r w:rsidR="005E5028" w:rsidRPr="005E5028">
          <w:rPr>
            <w:rFonts w:ascii="Times New Roman" w:hAnsi="Times New Roman" w:cs="Times New Roman"/>
            <w:noProof/>
            <w:webHidden/>
            <w:sz w:val="22"/>
            <w:szCs w:val="22"/>
          </w:rPr>
          <w:instrText xml:space="preserve"> PAGEREF _Toc125733209 \h </w:instrText>
        </w:r>
        <w:r w:rsidR="005E5028" w:rsidRPr="005E5028">
          <w:rPr>
            <w:rFonts w:ascii="Times New Roman" w:hAnsi="Times New Roman" w:cs="Times New Roman"/>
            <w:noProof/>
            <w:webHidden/>
            <w:sz w:val="22"/>
            <w:szCs w:val="22"/>
          </w:rPr>
        </w:r>
        <w:r w:rsidR="005E5028" w:rsidRPr="005E5028">
          <w:rPr>
            <w:rFonts w:ascii="Times New Roman" w:hAnsi="Times New Roman" w:cs="Times New Roman"/>
            <w:noProof/>
            <w:webHidden/>
            <w:sz w:val="22"/>
            <w:szCs w:val="22"/>
          </w:rPr>
          <w:fldChar w:fldCharType="separate"/>
        </w:r>
        <w:r w:rsidR="006F4BE5">
          <w:rPr>
            <w:rFonts w:ascii="Times New Roman" w:hAnsi="Times New Roman" w:cs="Times New Roman"/>
            <w:noProof/>
            <w:webHidden/>
            <w:sz w:val="22"/>
            <w:szCs w:val="22"/>
          </w:rPr>
          <w:t>25</w:t>
        </w:r>
        <w:r w:rsidR="005E5028" w:rsidRPr="005E5028">
          <w:rPr>
            <w:rFonts w:ascii="Times New Roman" w:hAnsi="Times New Roman" w:cs="Times New Roman"/>
            <w:noProof/>
            <w:webHidden/>
            <w:sz w:val="22"/>
            <w:szCs w:val="22"/>
          </w:rPr>
          <w:fldChar w:fldCharType="end"/>
        </w:r>
      </w:hyperlink>
    </w:p>
    <w:p w14:paraId="2218BFCD" w14:textId="59ADC428" w:rsidR="005E5028" w:rsidRPr="005E5028" w:rsidRDefault="00F30D99">
      <w:pPr>
        <w:pStyle w:val="Tabladeilustraciones"/>
        <w:tabs>
          <w:tab w:val="right" w:leader="dot" w:pos="8828"/>
        </w:tabs>
        <w:rPr>
          <w:rFonts w:ascii="Times New Roman" w:hAnsi="Times New Roman" w:cs="Times New Roman"/>
          <w:noProof/>
          <w:sz w:val="22"/>
          <w:szCs w:val="22"/>
          <w:lang w:eastAsia="es-GT"/>
        </w:rPr>
      </w:pPr>
      <w:hyperlink w:anchor="_Toc125733210" w:history="1">
        <w:r w:rsidR="005E5028" w:rsidRPr="005E5028">
          <w:rPr>
            <w:rStyle w:val="Hipervnculo"/>
            <w:rFonts w:ascii="Times New Roman" w:eastAsia="Times New Roman" w:hAnsi="Times New Roman"/>
            <w:noProof/>
            <w:sz w:val="22"/>
            <w:szCs w:val="22"/>
          </w:rPr>
          <w:t>Gráfico 14. Ejecución del Gasto social y de los Acuerdos de Paz</w:t>
        </w:r>
        <w:r w:rsidR="005E5028" w:rsidRPr="005E5028">
          <w:rPr>
            <w:rFonts w:ascii="Times New Roman" w:hAnsi="Times New Roman" w:cs="Times New Roman"/>
            <w:noProof/>
            <w:webHidden/>
            <w:sz w:val="22"/>
            <w:szCs w:val="22"/>
          </w:rPr>
          <w:tab/>
        </w:r>
        <w:r w:rsidR="005E5028" w:rsidRPr="005E5028">
          <w:rPr>
            <w:rFonts w:ascii="Times New Roman" w:hAnsi="Times New Roman" w:cs="Times New Roman"/>
            <w:noProof/>
            <w:webHidden/>
            <w:sz w:val="22"/>
            <w:szCs w:val="22"/>
          </w:rPr>
          <w:fldChar w:fldCharType="begin"/>
        </w:r>
        <w:r w:rsidR="005E5028" w:rsidRPr="005E5028">
          <w:rPr>
            <w:rFonts w:ascii="Times New Roman" w:hAnsi="Times New Roman" w:cs="Times New Roman"/>
            <w:noProof/>
            <w:webHidden/>
            <w:sz w:val="22"/>
            <w:szCs w:val="22"/>
          </w:rPr>
          <w:instrText xml:space="preserve"> PAGEREF _Toc125733210 \h </w:instrText>
        </w:r>
        <w:r w:rsidR="005E5028" w:rsidRPr="005E5028">
          <w:rPr>
            <w:rFonts w:ascii="Times New Roman" w:hAnsi="Times New Roman" w:cs="Times New Roman"/>
            <w:noProof/>
            <w:webHidden/>
            <w:sz w:val="22"/>
            <w:szCs w:val="22"/>
          </w:rPr>
        </w:r>
        <w:r w:rsidR="005E5028" w:rsidRPr="005E5028">
          <w:rPr>
            <w:rFonts w:ascii="Times New Roman" w:hAnsi="Times New Roman" w:cs="Times New Roman"/>
            <w:noProof/>
            <w:webHidden/>
            <w:sz w:val="22"/>
            <w:szCs w:val="22"/>
          </w:rPr>
          <w:fldChar w:fldCharType="separate"/>
        </w:r>
        <w:r w:rsidR="006F4BE5">
          <w:rPr>
            <w:rFonts w:ascii="Times New Roman" w:hAnsi="Times New Roman" w:cs="Times New Roman"/>
            <w:noProof/>
            <w:webHidden/>
            <w:sz w:val="22"/>
            <w:szCs w:val="22"/>
          </w:rPr>
          <w:t>27</w:t>
        </w:r>
        <w:r w:rsidR="005E5028" w:rsidRPr="005E5028">
          <w:rPr>
            <w:rFonts w:ascii="Times New Roman" w:hAnsi="Times New Roman" w:cs="Times New Roman"/>
            <w:noProof/>
            <w:webHidden/>
            <w:sz w:val="22"/>
            <w:szCs w:val="22"/>
          </w:rPr>
          <w:fldChar w:fldCharType="end"/>
        </w:r>
      </w:hyperlink>
    </w:p>
    <w:p w14:paraId="2A82E67A" w14:textId="2DD596C9" w:rsidR="005E5028" w:rsidRPr="005E5028" w:rsidRDefault="00F30D99">
      <w:pPr>
        <w:pStyle w:val="Tabladeilustraciones"/>
        <w:tabs>
          <w:tab w:val="right" w:leader="dot" w:pos="8828"/>
        </w:tabs>
        <w:rPr>
          <w:rFonts w:ascii="Times New Roman" w:hAnsi="Times New Roman" w:cs="Times New Roman"/>
          <w:noProof/>
          <w:sz w:val="22"/>
          <w:szCs w:val="22"/>
          <w:lang w:eastAsia="es-GT"/>
        </w:rPr>
      </w:pPr>
      <w:hyperlink w:anchor="_Toc125733211" w:history="1">
        <w:r w:rsidR="005E5028" w:rsidRPr="005E5028">
          <w:rPr>
            <w:rStyle w:val="Hipervnculo"/>
            <w:rFonts w:ascii="Times New Roman" w:eastAsia="Times New Roman" w:hAnsi="Times New Roman"/>
            <w:noProof/>
            <w:sz w:val="22"/>
            <w:szCs w:val="22"/>
          </w:rPr>
          <w:t>Gráfico 15. Ejecución Institucional 2022</w:t>
        </w:r>
        <w:r w:rsidR="005E5028" w:rsidRPr="005E5028">
          <w:rPr>
            <w:rFonts w:ascii="Times New Roman" w:hAnsi="Times New Roman" w:cs="Times New Roman"/>
            <w:noProof/>
            <w:webHidden/>
            <w:sz w:val="22"/>
            <w:szCs w:val="22"/>
          </w:rPr>
          <w:tab/>
        </w:r>
        <w:r w:rsidR="005E5028" w:rsidRPr="005E5028">
          <w:rPr>
            <w:rFonts w:ascii="Times New Roman" w:hAnsi="Times New Roman" w:cs="Times New Roman"/>
            <w:noProof/>
            <w:webHidden/>
            <w:sz w:val="22"/>
            <w:szCs w:val="22"/>
          </w:rPr>
          <w:fldChar w:fldCharType="begin"/>
        </w:r>
        <w:r w:rsidR="005E5028" w:rsidRPr="005E5028">
          <w:rPr>
            <w:rFonts w:ascii="Times New Roman" w:hAnsi="Times New Roman" w:cs="Times New Roman"/>
            <w:noProof/>
            <w:webHidden/>
            <w:sz w:val="22"/>
            <w:szCs w:val="22"/>
          </w:rPr>
          <w:instrText xml:space="preserve"> PAGEREF _Toc125733211 \h </w:instrText>
        </w:r>
        <w:r w:rsidR="005E5028" w:rsidRPr="005E5028">
          <w:rPr>
            <w:rFonts w:ascii="Times New Roman" w:hAnsi="Times New Roman" w:cs="Times New Roman"/>
            <w:noProof/>
            <w:webHidden/>
            <w:sz w:val="22"/>
            <w:szCs w:val="22"/>
          </w:rPr>
        </w:r>
        <w:r w:rsidR="005E5028" w:rsidRPr="005E5028">
          <w:rPr>
            <w:rFonts w:ascii="Times New Roman" w:hAnsi="Times New Roman" w:cs="Times New Roman"/>
            <w:noProof/>
            <w:webHidden/>
            <w:sz w:val="22"/>
            <w:szCs w:val="22"/>
          </w:rPr>
          <w:fldChar w:fldCharType="separate"/>
        </w:r>
        <w:r w:rsidR="006F4BE5">
          <w:rPr>
            <w:rFonts w:ascii="Times New Roman" w:hAnsi="Times New Roman" w:cs="Times New Roman"/>
            <w:noProof/>
            <w:webHidden/>
            <w:sz w:val="22"/>
            <w:szCs w:val="22"/>
          </w:rPr>
          <w:t>31</w:t>
        </w:r>
        <w:r w:rsidR="005E5028" w:rsidRPr="005E5028">
          <w:rPr>
            <w:rFonts w:ascii="Times New Roman" w:hAnsi="Times New Roman" w:cs="Times New Roman"/>
            <w:noProof/>
            <w:webHidden/>
            <w:sz w:val="22"/>
            <w:szCs w:val="22"/>
          </w:rPr>
          <w:fldChar w:fldCharType="end"/>
        </w:r>
      </w:hyperlink>
    </w:p>
    <w:p w14:paraId="7AD0A956" w14:textId="7052AFDE" w:rsidR="005E5028" w:rsidRPr="005E5028" w:rsidRDefault="00F30D99">
      <w:pPr>
        <w:pStyle w:val="Tabladeilustraciones"/>
        <w:tabs>
          <w:tab w:val="right" w:leader="dot" w:pos="8828"/>
        </w:tabs>
        <w:rPr>
          <w:rFonts w:ascii="Times New Roman" w:hAnsi="Times New Roman" w:cs="Times New Roman"/>
          <w:noProof/>
          <w:sz w:val="22"/>
          <w:szCs w:val="22"/>
          <w:lang w:eastAsia="es-GT"/>
        </w:rPr>
      </w:pPr>
      <w:hyperlink w:anchor="_Toc125733212" w:history="1">
        <w:r w:rsidR="005E5028" w:rsidRPr="005E5028">
          <w:rPr>
            <w:rStyle w:val="Hipervnculo"/>
            <w:rFonts w:ascii="Times New Roman" w:eastAsia="Times New Roman" w:hAnsi="Times New Roman"/>
            <w:noProof/>
            <w:sz w:val="22"/>
            <w:szCs w:val="22"/>
          </w:rPr>
          <w:t>Gráfico 16. Presupuesto y ejecución de las intervenciones por COVID-19</w:t>
        </w:r>
        <w:r w:rsidR="005E5028" w:rsidRPr="005E5028">
          <w:rPr>
            <w:rFonts w:ascii="Times New Roman" w:hAnsi="Times New Roman" w:cs="Times New Roman"/>
            <w:noProof/>
            <w:webHidden/>
            <w:sz w:val="22"/>
            <w:szCs w:val="22"/>
          </w:rPr>
          <w:tab/>
        </w:r>
        <w:r w:rsidR="005E5028" w:rsidRPr="005E5028">
          <w:rPr>
            <w:rFonts w:ascii="Times New Roman" w:hAnsi="Times New Roman" w:cs="Times New Roman"/>
            <w:noProof/>
            <w:webHidden/>
            <w:sz w:val="22"/>
            <w:szCs w:val="22"/>
          </w:rPr>
          <w:fldChar w:fldCharType="begin"/>
        </w:r>
        <w:r w:rsidR="005E5028" w:rsidRPr="005E5028">
          <w:rPr>
            <w:rFonts w:ascii="Times New Roman" w:hAnsi="Times New Roman" w:cs="Times New Roman"/>
            <w:noProof/>
            <w:webHidden/>
            <w:sz w:val="22"/>
            <w:szCs w:val="22"/>
          </w:rPr>
          <w:instrText xml:space="preserve"> PAGEREF _Toc125733212 \h </w:instrText>
        </w:r>
        <w:r w:rsidR="005E5028" w:rsidRPr="005E5028">
          <w:rPr>
            <w:rFonts w:ascii="Times New Roman" w:hAnsi="Times New Roman" w:cs="Times New Roman"/>
            <w:noProof/>
            <w:webHidden/>
            <w:sz w:val="22"/>
            <w:szCs w:val="22"/>
          </w:rPr>
        </w:r>
        <w:r w:rsidR="005E5028" w:rsidRPr="005E5028">
          <w:rPr>
            <w:rFonts w:ascii="Times New Roman" w:hAnsi="Times New Roman" w:cs="Times New Roman"/>
            <w:noProof/>
            <w:webHidden/>
            <w:sz w:val="22"/>
            <w:szCs w:val="22"/>
          </w:rPr>
          <w:fldChar w:fldCharType="separate"/>
        </w:r>
        <w:r w:rsidR="006F4BE5">
          <w:rPr>
            <w:rFonts w:ascii="Times New Roman" w:hAnsi="Times New Roman" w:cs="Times New Roman"/>
            <w:noProof/>
            <w:webHidden/>
            <w:sz w:val="22"/>
            <w:szCs w:val="22"/>
          </w:rPr>
          <w:t>32</w:t>
        </w:r>
        <w:r w:rsidR="005E5028" w:rsidRPr="005E5028">
          <w:rPr>
            <w:rFonts w:ascii="Times New Roman" w:hAnsi="Times New Roman" w:cs="Times New Roman"/>
            <w:noProof/>
            <w:webHidden/>
            <w:sz w:val="22"/>
            <w:szCs w:val="22"/>
          </w:rPr>
          <w:fldChar w:fldCharType="end"/>
        </w:r>
      </w:hyperlink>
    </w:p>
    <w:p w14:paraId="31FD5256" w14:textId="256F20BD" w:rsidR="005E5028" w:rsidRPr="005E5028" w:rsidRDefault="00F30D99">
      <w:pPr>
        <w:pStyle w:val="Tabladeilustraciones"/>
        <w:tabs>
          <w:tab w:val="right" w:leader="dot" w:pos="8828"/>
        </w:tabs>
        <w:rPr>
          <w:rFonts w:ascii="Times New Roman" w:hAnsi="Times New Roman" w:cs="Times New Roman"/>
          <w:noProof/>
          <w:sz w:val="22"/>
          <w:szCs w:val="22"/>
          <w:lang w:eastAsia="es-GT"/>
        </w:rPr>
      </w:pPr>
      <w:hyperlink w:anchor="_Toc125733213" w:history="1">
        <w:r w:rsidR="005E5028" w:rsidRPr="005E5028">
          <w:rPr>
            <w:rStyle w:val="Hipervnculo"/>
            <w:rFonts w:ascii="Times New Roman" w:eastAsia="Times New Roman" w:hAnsi="Times New Roman"/>
            <w:noProof/>
            <w:sz w:val="22"/>
            <w:szCs w:val="22"/>
          </w:rPr>
          <w:t xml:space="preserve">Gráfico 17. </w:t>
        </w:r>
        <w:r w:rsidR="005E5028" w:rsidRPr="005E5028">
          <w:rPr>
            <w:rStyle w:val="Hipervnculo"/>
            <w:rFonts w:ascii="Times New Roman" w:eastAsia="Times New Roman" w:hAnsi="Times New Roman"/>
            <w:noProof/>
            <w:sz w:val="22"/>
            <w:szCs w:val="22"/>
            <w:lang w:eastAsia="es-GT"/>
          </w:rPr>
          <w:t>Colocación de Bonos del Tesoro en 2022</w:t>
        </w:r>
        <w:r w:rsidR="005E5028" w:rsidRPr="005E5028">
          <w:rPr>
            <w:rFonts w:ascii="Times New Roman" w:hAnsi="Times New Roman" w:cs="Times New Roman"/>
            <w:noProof/>
            <w:webHidden/>
            <w:sz w:val="22"/>
            <w:szCs w:val="22"/>
          </w:rPr>
          <w:tab/>
        </w:r>
        <w:r w:rsidR="005E5028" w:rsidRPr="005E5028">
          <w:rPr>
            <w:rFonts w:ascii="Times New Roman" w:hAnsi="Times New Roman" w:cs="Times New Roman"/>
            <w:noProof/>
            <w:webHidden/>
            <w:sz w:val="22"/>
            <w:szCs w:val="22"/>
          </w:rPr>
          <w:fldChar w:fldCharType="begin"/>
        </w:r>
        <w:r w:rsidR="005E5028" w:rsidRPr="005E5028">
          <w:rPr>
            <w:rFonts w:ascii="Times New Roman" w:hAnsi="Times New Roman" w:cs="Times New Roman"/>
            <w:noProof/>
            <w:webHidden/>
            <w:sz w:val="22"/>
            <w:szCs w:val="22"/>
          </w:rPr>
          <w:instrText xml:space="preserve"> PAGEREF _Toc125733213 \h </w:instrText>
        </w:r>
        <w:r w:rsidR="005E5028" w:rsidRPr="005E5028">
          <w:rPr>
            <w:rFonts w:ascii="Times New Roman" w:hAnsi="Times New Roman" w:cs="Times New Roman"/>
            <w:noProof/>
            <w:webHidden/>
            <w:sz w:val="22"/>
            <w:szCs w:val="22"/>
          </w:rPr>
        </w:r>
        <w:r w:rsidR="005E5028" w:rsidRPr="005E5028">
          <w:rPr>
            <w:rFonts w:ascii="Times New Roman" w:hAnsi="Times New Roman" w:cs="Times New Roman"/>
            <w:noProof/>
            <w:webHidden/>
            <w:sz w:val="22"/>
            <w:szCs w:val="22"/>
          </w:rPr>
          <w:fldChar w:fldCharType="separate"/>
        </w:r>
        <w:r w:rsidR="006F4BE5">
          <w:rPr>
            <w:rFonts w:ascii="Times New Roman" w:hAnsi="Times New Roman" w:cs="Times New Roman"/>
            <w:noProof/>
            <w:webHidden/>
            <w:sz w:val="22"/>
            <w:szCs w:val="22"/>
          </w:rPr>
          <w:t>37</w:t>
        </w:r>
        <w:r w:rsidR="005E5028" w:rsidRPr="005E5028">
          <w:rPr>
            <w:rFonts w:ascii="Times New Roman" w:hAnsi="Times New Roman" w:cs="Times New Roman"/>
            <w:noProof/>
            <w:webHidden/>
            <w:sz w:val="22"/>
            <w:szCs w:val="22"/>
          </w:rPr>
          <w:fldChar w:fldCharType="end"/>
        </w:r>
      </w:hyperlink>
    </w:p>
    <w:p w14:paraId="5E4C7E17" w14:textId="6177DEF5" w:rsidR="005E5028" w:rsidRPr="005E5028" w:rsidRDefault="00F30D99">
      <w:pPr>
        <w:pStyle w:val="Tabladeilustraciones"/>
        <w:tabs>
          <w:tab w:val="right" w:leader="dot" w:pos="8828"/>
        </w:tabs>
        <w:rPr>
          <w:rFonts w:ascii="Times New Roman" w:hAnsi="Times New Roman" w:cs="Times New Roman"/>
          <w:noProof/>
          <w:sz w:val="22"/>
          <w:szCs w:val="22"/>
          <w:lang w:eastAsia="es-GT"/>
        </w:rPr>
      </w:pPr>
      <w:hyperlink w:anchor="_Toc125733214" w:history="1">
        <w:r w:rsidR="005E5028" w:rsidRPr="005E5028">
          <w:rPr>
            <w:rStyle w:val="Hipervnculo"/>
            <w:rFonts w:ascii="Times New Roman" w:eastAsia="Times New Roman" w:hAnsi="Times New Roman"/>
            <w:noProof/>
            <w:sz w:val="22"/>
            <w:szCs w:val="22"/>
          </w:rPr>
          <w:t>Gráfico 18. Relación Deuda/ PIB y estructura de la deuda interna y externa</w:t>
        </w:r>
        <w:r w:rsidR="005E5028" w:rsidRPr="005E5028">
          <w:rPr>
            <w:rFonts w:ascii="Times New Roman" w:hAnsi="Times New Roman" w:cs="Times New Roman"/>
            <w:noProof/>
            <w:webHidden/>
            <w:sz w:val="22"/>
            <w:szCs w:val="22"/>
          </w:rPr>
          <w:tab/>
        </w:r>
        <w:r w:rsidR="005E5028" w:rsidRPr="005E5028">
          <w:rPr>
            <w:rFonts w:ascii="Times New Roman" w:hAnsi="Times New Roman" w:cs="Times New Roman"/>
            <w:noProof/>
            <w:webHidden/>
            <w:sz w:val="22"/>
            <w:szCs w:val="22"/>
          </w:rPr>
          <w:fldChar w:fldCharType="begin"/>
        </w:r>
        <w:r w:rsidR="005E5028" w:rsidRPr="005E5028">
          <w:rPr>
            <w:rFonts w:ascii="Times New Roman" w:hAnsi="Times New Roman" w:cs="Times New Roman"/>
            <w:noProof/>
            <w:webHidden/>
            <w:sz w:val="22"/>
            <w:szCs w:val="22"/>
          </w:rPr>
          <w:instrText xml:space="preserve"> PAGEREF _Toc125733214 \h </w:instrText>
        </w:r>
        <w:r w:rsidR="005E5028" w:rsidRPr="005E5028">
          <w:rPr>
            <w:rFonts w:ascii="Times New Roman" w:hAnsi="Times New Roman" w:cs="Times New Roman"/>
            <w:noProof/>
            <w:webHidden/>
            <w:sz w:val="22"/>
            <w:szCs w:val="22"/>
          </w:rPr>
        </w:r>
        <w:r w:rsidR="005E5028" w:rsidRPr="005E5028">
          <w:rPr>
            <w:rFonts w:ascii="Times New Roman" w:hAnsi="Times New Roman" w:cs="Times New Roman"/>
            <w:noProof/>
            <w:webHidden/>
            <w:sz w:val="22"/>
            <w:szCs w:val="22"/>
          </w:rPr>
          <w:fldChar w:fldCharType="separate"/>
        </w:r>
        <w:r w:rsidR="006F4BE5">
          <w:rPr>
            <w:rFonts w:ascii="Times New Roman" w:hAnsi="Times New Roman" w:cs="Times New Roman"/>
            <w:noProof/>
            <w:webHidden/>
            <w:sz w:val="22"/>
            <w:szCs w:val="22"/>
          </w:rPr>
          <w:t>40</w:t>
        </w:r>
        <w:r w:rsidR="005E5028" w:rsidRPr="005E5028">
          <w:rPr>
            <w:rFonts w:ascii="Times New Roman" w:hAnsi="Times New Roman" w:cs="Times New Roman"/>
            <w:noProof/>
            <w:webHidden/>
            <w:sz w:val="22"/>
            <w:szCs w:val="22"/>
          </w:rPr>
          <w:fldChar w:fldCharType="end"/>
        </w:r>
      </w:hyperlink>
    </w:p>
    <w:p w14:paraId="378E11D2" w14:textId="04A7F38F" w:rsidR="005E5028" w:rsidRPr="005E5028" w:rsidRDefault="00F30D99">
      <w:pPr>
        <w:pStyle w:val="Tabladeilustraciones"/>
        <w:tabs>
          <w:tab w:val="right" w:leader="dot" w:pos="8828"/>
        </w:tabs>
        <w:rPr>
          <w:rFonts w:ascii="Times New Roman" w:hAnsi="Times New Roman" w:cs="Times New Roman"/>
          <w:noProof/>
          <w:sz w:val="22"/>
          <w:szCs w:val="22"/>
          <w:lang w:eastAsia="es-GT"/>
        </w:rPr>
      </w:pPr>
      <w:hyperlink w:anchor="_Toc125733215" w:history="1">
        <w:r w:rsidR="005E5028" w:rsidRPr="005E5028">
          <w:rPr>
            <w:rStyle w:val="Hipervnculo"/>
            <w:rFonts w:ascii="Times New Roman" w:eastAsia="Times New Roman" w:hAnsi="Times New Roman"/>
            <w:noProof/>
            <w:sz w:val="22"/>
            <w:szCs w:val="22"/>
          </w:rPr>
          <w:t xml:space="preserve">Gráfico 19. </w:t>
        </w:r>
        <w:r w:rsidR="005E5028" w:rsidRPr="005E5028">
          <w:rPr>
            <w:rStyle w:val="Hipervnculo"/>
            <w:rFonts w:ascii="Times New Roman" w:hAnsi="Times New Roman"/>
            <w:noProof/>
            <w:sz w:val="22"/>
            <w:szCs w:val="22"/>
            <w:lang w:val="es-ES_tradnl" w:eastAsia="es-ES"/>
          </w:rPr>
          <w:t>Impulso Fiscal</w:t>
        </w:r>
        <w:r w:rsidR="005E5028" w:rsidRPr="005E5028">
          <w:rPr>
            <w:rFonts w:ascii="Times New Roman" w:hAnsi="Times New Roman" w:cs="Times New Roman"/>
            <w:noProof/>
            <w:webHidden/>
            <w:sz w:val="22"/>
            <w:szCs w:val="22"/>
          </w:rPr>
          <w:tab/>
        </w:r>
        <w:r w:rsidR="005E5028" w:rsidRPr="005E5028">
          <w:rPr>
            <w:rFonts w:ascii="Times New Roman" w:hAnsi="Times New Roman" w:cs="Times New Roman"/>
            <w:noProof/>
            <w:webHidden/>
            <w:sz w:val="22"/>
            <w:szCs w:val="22"/>
          </w:rPr>
          <w:fldChar w:fldCharType="begin"/>
        </w:r>
        <w:r w:rsidR="005E5028" w:rsidRPr="005E5028">
          <w:rPr>
            <w:rFonts w:ascii="Times New Roman" w:hAnsi="Times New Roman" w:cs="Times New Roman"/>
            <w:noProof/>
            <w:webHidden/>
            <w:sz w:val="22"/>
            <w:szCs w:val="22"/>
          </w:rPr>
          <w:instrText xml:space="preserve"> PAGEREF _Toc125733215 \h </w:instrText>
        </w:r>
        <w:r w:rsidR="005E5028" w:rsidRPr="005E5028">
          <w:rPr>
            <w:rFonts w:ascii="Times New Roman" w:hAnsi="Times New Roman" w:cs="Times New Roman"/>
            <w:noProof/>
            <w:webHidden/>
            <w:sz w:val="22"/>
            <w:szCs w:val="22"/>
          </w:rPr>
        </w:r>
        <w:r w:rsidR="005E5028" w:rsidRPr="005E5028">
          <w:rPr>
            <w:rFonts w:ascii="Times New Roman" w:hAnsi="Times New Roman" w:cs="Times New Roman"/>
            <w:noProof/>
            <w:webHidden/>
            <w:sz w:val="22"/>
            <w:szCs w:val="22"/>
          </w:rPr>
          <w:fldChar w:fldCharType="separate"/>
        </w:r>
        <w:r w:rsidR="006F4BE5">
          <w:rPr>
            <w:rFonts w:ascii="Times New Roman" w:hAnsi="Times New Roman" w:cs="Times New Roman"/>
            <w:noProof/>
            <w:webHidden/>
            <w:sz w:val="22"/>
            <w:szCs w:val="22"/>
          </w:rPr>
          <w:t>42</w:t>
        </w:r>
        <w:r w:rsidR="005E5028" w:rsidRPr="005E5028">
          <w:rPr>
            <w:rFonts w:ascii="Times New Roman" w:hAnsi="Times New Roman" w:cs="Times New Roman"/>
            <w:noProof/>
            <w:webHidden/>
            <w:sz w:val="22"/>
            <w:szCs w:val="22"/>
          </w:rPr>
          <w:fldChar w:fldCharType="end"/>
        </w:r>
      </w:hyperlink>
    </w:p>
    <w:p w14:paraId="604E7A7B" w14:textId="7C8DF9AB" w:rsidR="005E5028" w:rsidRPr="005E5028" w:rsidRDefault="00F30D99">
      <w:pPr>
        <w:pStyle w:val="Tabladeilustraciones"/>
        <w:tabs>
          <w:tab w:val="right" w:leader="dot" w:pos="8828"/>
        </w:tabs>
        <w:rPr>
          <w:rFonts w:ascii="Times New Roman" w:hAnsi="Times New Roman" w:cs="Times New Roman"/>
          <w:noProof/>
          <w:sz w:val="22"/>
          <w:szCs w:val="22"/>
          <w:lang w:eastAsia="es-GT"/>
        </w:rPr>
      </w:pPr>
      <w:hyperlink w:anchor="_Toc125733216" w:history="1">
        <w:r w:rsidR="005E5028" w:rsidRPr="005E5028">
          <w:rPr>
            <w:rStyle w:val="Hipervnculo"/>
            <w:rFonts w:ascii="Times New Roman" w:eastAsia="Times New Roman" w:hAnsi="Times New Roman"/>
            <w:noProof/>
            <w:sz w:val="22"/>
            <w:szCs w:val="22"/>
          </w:rPr>
          <w:t xml:space="preserve">Gráfico 20. </w:t>
        </w:r>
        <w:r w:rsidR="005E5028" w:rsidRPr="005E5028">
          <w:rPr>
            <w:rStyle w:val="Hipervnculo"/>
            <w:rFonts w:ascii="Times New Roman" w:hAnsi="Times New Roman"/>
            <w:noProof/>
            <w:sz w:val="22"/>
            <w:szCs w:val="22"/>
            <w:lang w:val="es-ES_tradnl" w:eastAsia="es-ES"/>
          </w:rPr>
          <w:t>Orientación de la Política Fiscal</w:t>
        </w:r>
        <w:r w:rsidR="005E5028" w:rsidRPr="005E5028">
          <w:rPr>
            <w:rFonts w:ascii="Times New Roman" w:hAnsi="Times New Roman" w:cs="Times New Roman"/>
            <w:noProof/>
            <w:webHidden/>
            <w:sz w:val="22"/>
            <w:szCs w:val="22"/>
          </w:rPr>
          <w:tab/>
        </w:r>
        <w:r w:rsidR="005E5028" w:rsidRPr="005E5028">
          <w:rPr>
            <w:rFonts w:ascii="Times New Roman" w:hAnsi="Times New Roman" w:cs="Times New Roman"/>
            <w:noProof/>
            <w:webHidden/>
            <w:sz w:val="22"/>
            <w:szCs w:val="22"/>
          </w:rPr>
          <w:fldChar w:fldCharType="begin"/>
        </w:r>
        <w:r w:rsidR="005E5028" w:rsidRPr="005E5028">
          <w:rPr>
            <w:rFonts w:ascii="Times New Roman" w:hAnsi="Times New Roman" w:cs="Times New Roman"/>
            <w:noProof/>
            <w:webHidden/>
            <w:sz w:val="22"/>
            <w:szCs w:val="22"/>
          </w:rPr>
          <w:instrText xml:space="preserve"> PAGEREF _Toc125733216 \h </w:instrText>
        </w:r>
        <w:r w:rsidR="005E5028" w:rsidRPr="005E5028">
          <w:rPr>
            <w:rFonts w:ascii="Times New Roman" w:hAnsi="Times New Roman" w:cs="Times New Roman"/>
            <w:noProof/>
            <w:webHidden/>
            <w:sz w:val="22"/>
            <w:szCs w:val="22"/>
          </w:rPr>
        </w:r>
        <w:r w:rsidR="005E5028" w:rsidRPr="005E5028">
          <w:rPr>
            <w:rFonts w:ascii="Times New Roman" w:hAnsi="Times New Roman" w:cs="Times New Roman"/>
            <w:noProof/>
            <w:webHidden/>
            <w:sz w:val="22"/>
            <w:szCs w:val="22"/>
          </w:rPr>
          <w:fldChar w:fldCharType="separate"/>
        </w:r>
        <w:r w:rsidR="006F4BE5">
          <w:rPr>
            <w:rFonts w:ascii="Times New Roman" w:hAnsi="Times New Roman" w:cs="Times New Roman"/>
            <w:noProof/>
            <w:webHidden/>
            <w:sz w:val="22"/>
            <w:szCs w:val="22"/>
          </w:rPr>
          <w:t>42</w:t>
        </w:r>
        <w:r w:rsidR="005E5028" w:rsidRPr="005E5028">
          <w:rPr>
            <w:rFonts w:ascii="Times New Roman" w:hAnsi="Times New Roman" w:cs="Times New Roman"/>
            <w:noProof/>
            <w:webHidden/>
            <w:sz w:val="22"/>
            <w:szCs w:val="22"/>
          </w:rPr>
          <w:fldChar w:fldCharType="end"/>
        </w:r>
      </w:hyperlink>
    </w:p>
    <w:p w14:paraId="3DBDAEAE" w14:textId="1776BF98" w:rsidR="005E5028" w:rsidRPr="005E5028" w:rsidRDefault="00F30D99">
      <w:pPr>
        <w:pStyle w:val="Tabladeilustraciones"/>
        <w:tabs>
          <w:tab w:val="right" w:leader="dot" w:pos="8828"/>
        </w:tabs>
        <w:rPr>
          <w:rFonts w:ascii="Times New Roman" w:hAnsi="Times New Roman" w:cs="Times New Roman"/>
          <w:noProof/>
          <w:sz w:val="22"/>
          <w:szCs w:val="22"/>
          <w:lang w:eastAsia="es-GT"/>
        </w:rPr>
      </w:pPr>
      <w:hyperlink w:anchor="_Toc125733217" w:history="1">
        <w:r w:rsidR="005E5028" w:rsidRPr="005E5028">
          <w:rPr>
            <w:rStyle w:val="Hipervnculo"/>
            <w:rFonts w:ascii="Times New Roman" w:eastAsia="Times New Roman" w:hAnsi="Times New Roman"/>
            <w:noProof/>
            <w:sz w:val="22"/>
            <w:szCs w:val="22"/>
          </w:rPr>
          <w:t>Gráfico 21. Perspectivas de crecimiento de la economía mundial (%)</w:t>
        </w:r>
        <w:r w:rsidR="005E5028" w:rsidRPr="005E5028">
          <w:rPr>
            <w:rFonts w:ascii="Times New Roman" w:hAnsi="Times New Roman" w:cs="Times New Roman"/>
            <w:noProof/>
            <w:webHidden/>
            <w:sz w:val="22"/>
            <w:szCs w:val="22"/>
          </w:rPr>
          <w:tab/>
        </w:r>
        <w:r w:rsidR="005E5028" w:rsidRPr="005E5028">
          <w:rPr>
            <w:rFonts w:ascii="Times New Roman" w:hAnsi="Times New Roman" w:cs="Times New Roman"/>
            <w:noProof/>
            <w:webHidden/>
            <w:sz w:val="22"/>
            <w:szCs w:val="22"/>
          </w:rPr>
          <w:fldChar w:fldCharType="begin"/>
        </w:r>
        <w:r w:rsidR="005E5028" w:rsidRPr="005E5028">
          <w:rPr>
            <w:rFonts w:ascii="Times New Roman" w:hAnsi="Times New Roman" w:cs="Times New Roman"/>
            <w:noProof/>
            <w:webHidden/>
            <w:sz w:val="22"/>
            <w:szCs w:val="22"/>
          </w:rPr>
          <w:instrText xml:space="preserve"> PAGEREF _Toc125733217 \h </w:instrText>
        </w:r>
        <w:r w:rsidR="005E5028" w:rsidRPr="005E5028">
          <w:rPr>
            <w:rFonts w:ascii="Times New Roman" w:hAnsi="Times New Roman" w:cs="Times New Roman"/>
            <w:noProof/>
            <w:webHidden/>
            <w:sz w:val="22"/>
            <w:szCs w:val="22"/>
          </w:rPr>
        </w:r>
        <w:r w:rsidR="005E5028" w:rsidRPr="005E5028">
          <w:rPr>
            <w:rFonts w:ascii="Times New Roman" w:hAnsi="Times New Roman" w:cs="Times New Roman"/>
            <w:noProof/>
            <w:webHidden/>
            <w:sz w:val="22"/>
            <w:szCs w:val="22"/>
          </w:rPr>
          <w:fldChar w:fldCharType="separate"/>
        </w:r>
        <w:r w:rsidR="006F4BE5">
          <w:rPr>
            <w:rFonts w:ascii="Times New Roman" w:hAnsi="Times New Roman" w:cs="Times New Roman"/>
            <w:noProof/>
            <w:webHidden/>
            <w:sz w:val="22"/>
            <w:szCs w:val="22"/>
          </w:rPr>
          <w:t>43</w:t>
        </w:r>
        <w:r w:rsidR="005E5028" w:rsidRPr="005E5028">
          <w:rPr>
            <w:rFonts w:ascii="Times New Roman" w:hAnsi="Times New Roman" w:cs="Times New Roman"/>
            <w:noProof/>
            <w:webHidden/>
            <w:sz w:val="22"/>
            <w:szCs w:val="22"/>
          </w:rPr>
          <w:fldChar w:fldCharType="end"/>
        </w:r>
      </w:hyperlink>
    </w:p>
    <w:p w14:paraId="30E31590" w14:textId="55263329" w:rsidR="005E5028" w:rsidRPr="005E5028" w:rsidRDefault="00F30D99">
      <w:pPr>
        <w:pStyle w:val="Tabladeilustraciones"/>
        <w:tabs>
          <w:tab w:val="right" w:leader="dot" w:pos="8828"/>
        </w:tabs>
        <w:rPr>
          <w:rFonts w:ascii="Times New Roman" w:hAnsi="Times New Roman" w:cs="Times New Roman"/>
          <w:noProof/>
          <w:sz w:val="22"/>
          <w:szCs w:val="22"/>
          <w:lang w:eastAsia="es-GT"/>
        </w:rPr>
      </w:pPr>
      <w:hyperlink w:anchor="_Toc125733218" w:history="1">
        <w:r w:rsidR="005E5028" w:rsidRPr="005E5028">
          <w:rPr>
            <w:rStyle w:val="Hipervnculo"/>
            <w:rFonts w:ascii="Times New Roman" w:eastAsia="Times New Roman" w:hAnsi="Times New Roman"/>
            <w:noProof/>
            <w:sz w:val="22"/>
            <w:szCs w:val="22"/>
          </w:rPr>
          <w:t>Gráfico 22. Perspectivas de crecimiento para las economías avanzadas y emergentes (%)</w:t>
        </w:r>
        <w:r w:rsidR="005E5028" w:rsidRPr="005E5028">
          <w:rPr>
            <w:rFonts w:ascii="Times New Roman" w:hAnsi="Times New Roman" w:cs="Times New Roman"/>
            <w:noProof/>
            <w:webHidden/>
            <w:sz w:val="22"/>
            <w:szCs w:val="22"/>
          </w:rPr>
          <w:tab/>
        </w:r>
        <w:r w:rsidR="005E5028" w:rsidRPr="005E5028">
          <w:rPr>
            <w:rFonts w:ascii="Times New Roman" w:hAnsi="Times New Roman" w:cs="Times New Roman"/>
            <w:noProof/>
            <w:webHidden/>
            <w:sz w:val="22"/>
            <w:szCs w:val="22"/>
          </w:rPr>
          <w:fldChar w:fldCharType="begin"/>
        </w:r>
        <w:r w:rsidR="005E5028" w:rsidRPr="005E5028">
          <w:rPr>
            <w:rFonts w:ascii="Times New Roman" w:hAnsi="Times New Roman" w:cs="Times New Roman"/>
            <w:noProof/>
            <w:webHidden/>
            <w:sz w:val="22"/>
            <w:szCs w:val="22"/>
          </w:rPr>
          <w:instrText xml:space="preserve"> PAGEREF _Toc125733218 \h </w:instrText>
        </w:r>
        <w:r w:rsidR="005E5028" w:rsidRPr="005E5028">
          <w:rPr>
            <w:rFonts w:ascii="Times New Roman" w:hAnsi="Times New Roman" w:cs="Times New Roman"/>
            <w:noProof/>
            <w:webHidden/>
            <w:sz w:val="22"/>
            <w:szCs w:val="22"/>
          </w:rPr>
        </w:r>
        <w:r w:rsidR="005E5028" w:rsidRPr="005E5028">
          <w:rPr>
            <w:rFonts w:ascii="Times New Roman" w:hAnsi="Times New Roman" w:cs="Times New Roman"/>
            <w:noProof/>
            <w:webHidden/>
            <w:sz w:val="22"/>
            <w:szCs w:val="22"/>
          </w:rPr>
          <w:fldChar w:fldCharType="separate"/>
        </w:r>
        <w:r w:rsidR="006F4BE5">
          <w:rPr>
            <w:rFonts w:ascii="Times New Roman" w:hAnsi="Times New Roman" w:cs="Times New Roman"/>
            <w:noProof/>
            <w:webHidden/>
            <w:sz w:val="22"/>
            <w:szCs w:val="22"/>
          </w:rPr>
          <w:t>43</w:t>
        </w:r>
        <w:r w:rsidR="005E5028" w:rsidRPr="005E5028">
          <w:rPr>
            <w:rFonts w:ascii="Times New Roman" w:hAnsi="Times New Roman" w:cs="Times New Roman"/>
            <w:noProof/>
            <w:webHidden/>
            <w:sz w:val="22"/>
            <w:szCs w:val="22"/>
          </w:rPr>
          <w:fldChar w:fldCharType="end"/>
        </w:r>
      </w:hyperlink>
    </w:p>
    <w:p w14:paraId="12BF12AD" w14:textId="5FBB7FB5" w:rsidR="005E5028" w:rsidRPr="005E5028" w:rsidRDefault="00F30D99">
      <w:pPr>
        <w:pStyle w:val="Tabladeilustraciones"/>
        <w:tabs>
          <w:tab w:val="right" w:leader="dot" w:pos="8828"/>
        </w:tabs>
        <w:rPr>
          <w:rFonts w:ascii="Times New Roman" w:hAnsi="Times New Roman" w:cs="Times New Roman"/>
          <w:noProof/>
          <w:sz w:val="22"/>
          <w:szCs w:val="22"/>
          <w:lang w:eastAsia="es-GT"/>
        </w:rPr>
      </w:pPr>
      <w:hyperlink w:anchor="_Toc125733219" w:history="1">
        <w:r w:rsidR="005E5028" w:rsidRPr="005E5028">
          <w:rPr>
            <w:rStyle w:val="Hipervnculo"/>
            <w:rFonts w:ascii="Times New Roman" w:eastAsia="Times New Roman" w:hAnsi="Times New Roman"/>
            <w:noProof/>
            <w:sz w:val="22"/>
            <w:szCs w:val="22"/>
          </w:rPr>
          <w:t>Gráfico 23</w:t>
        </w:r>
        <w:r w:rsidR="005E5028" w:rsidRPr="005E5028">
          <w:rPr>
            <w:rStyle w:val="Hipervnculo"/>
            <w:rFonts w:ascii="Times New Roman" w:eastAsiaTheme="majorEastAsia" w:hAnsi="Times New Roman"/>
            <w:noProof/>
            <w:sz w:val="22"/>
            <w:szCs w:val="22"/>
          </w:rPr>
          <w:t>. Perspectivas del volumen del comercio mundial de mercancías en 2023 (%)</w:t>
        </w:r>
        <w:r w:rsidR="005E5028" w:rsidRPr="005E5028">
          <w:rPr>
            <w:rFonts w:ascii="Times New Roman" w:hAnsi="Times New Roman" w:cs="Times New Roman"/>
            <w:noProof/>
            <w:webHidden/>
            <w:sz w:val="22"/>
            <w:szCs w:val="22"/>
          </w:rPr>
          <w:tab/>
        </w:r>
        <w:r w:rsidR="005E5028" w:rsidRPr="005E5028">
          <w:rPr>
            <w:rFonts w:ascii="Times New Roman" w:hAnsi="Times New Roman" w:cs="Times New Roman"/>
            <w:noProof/>
            <w:webHidden/>
            <w:sz w:val="22"/>
            <w:szCs w:val="22"/>
          </w:rPr>
          <w:fldChar w:fldCharType="begin"/>
        </w:r>
        <w:r w:rsidR="005E5028" w:rsidRPr="005E5028">
          <w:rPr>
            <w:rFonts w:ascii="Times New Roman" w:hAnsi="Times New Roman" w:cs="Times New Roman"/>
            <w:noProof/>
            <w:webHidden/>
            <w:sz w:val="22"/>
            <w:szCs w:val="22"/>
          </w:rPr>
          <w:instrText xml:space="preserve"> PAGEREF _Toc125733219 \h </w:instrText>
        </w:r>
        <w:r w:rsidR="005E5028" w:rsidRPr="005E5028">
          <w:rPr>
            <w:rFonts w:ascii="Times New Roman" w:hAnsi="Times New Roman" w:cs="Times New Roman"/>
            <w:noProof/>
            <w:webHidden/>
            <w:sz w:val="22"/>
            <w:szCs w:val="22"/>
          </w:rPr>
        </w:r>
        <w:r w:rsidR="005E5028" w:rsidRPr="005E5028">
          <w:rPr>
            <w:rFonts w:ascii="Times New Roman" w:hAnsi="Times New Roman" w:cs="Times New Roman"/>
            <w:noProof/>
            <w:webHidden/>
            <w:sz w:val="22"/>
            <w:szCs w:val="22"/>
          </w:rPr>
          <w:fldChar w:fldCharType="separate"/>
        </w:r>
        <w:r w:rsidR="006F4BE5">
          <w:rPr>
            <w:rFonts w:ascii="Times New Roman" w:hAnsi="Times New Roman" w:cs="Times New Roman"/>
            <w:noProof/>
            <w:webHidden/>
            <w:sz w:val="22"/>
            <w:szCs w:val="22"/>
          </w:rPr>
          <w:t>45</w:t>
        </w:r>
        <w:r w:rsidR="005E5028" w:rsidRPr="005E5028">
          <w:rPr>
            <w:rFonts w:ascii="Times New Roman" w:hAnsi="Times New Roman" w:cs="Times New Roman"/>
            <w:noProof/>
            <w:webHidden/>
            <w:sz w:val="22"/>
            <w:szCs w:val="22"/>
          </w:rPr>
          <w:fldChar w:fldCharType="end"/>
        </w:r>
      </w:hyperlink>
    </w:p>
    <w:p w14:paraId="473C36C3" w14:textId="4164B033" w:rsidR="005E5028" w:rsidRPr="005E5028" w:rsidRDefault="00F30D99">
      <w:pPr>
        <w:pStyle w:val="Tabladeilustraciones"/>
        <w:tabs>
          <w:tab w:val="right" w:leader="dot" w:pos="8828"/>
        </w:tabs>
        <w:rPr>
          <w:rFonts w:ascii="Times New Roman" w:hAnsi="Times New Roman" w:cs="Times New Roman"/>
          <w:noProof/>
          <w:sz w:val="22"/>
          <w:szCs w:val="22"/>
          <w:lang w:eastAsia="es-GT"/>
        </w:rPr>
      </w:pPr>
      <w:hyperlink w:anchor="_Toc125733220" w:history="1">
        <w:r w:rsidR="005E5028" w:rsidRPr="005E5028">
          <w:rPr>
            <w:rStyle w:val="Hipervnculo"/>
            <w:rFonts w:ascii="Times New Roman" w:eastAsia="Times New Roman" w:hAnsi="Times New Roman"/>
            <w:noProof/>
            <w:sz w:val="22"/>
            <w:szCs w:val="22"/>
          </w:rPr>
          <w:t>Gráfico 24</w:t>
        </w:r>
        <w:r w:rsidR="005E5028" w:rsidRPr="005E5028">
          <w:rPr>
            <w:rStyle w:val="Hipervnculo"/>
            <w:rFonts w:ascii="Times New Roman" w:eastAsiaTheme="majorEastAsia" w:hAnsi="Times New Roman"/>
            <w:noProof/>
            <w:sz w:val="22"/>
            <w:szCs w:val="22"/>
          </w:rPr>
          <w:t xml:space="preserve">. </w:t>
        </w:r>
        <w:r w:rsidR="005E5028" w:rsidRPr="005E5028">
          <w:rPr>
            <w:rStyle w:val="Hipervnculo"/>
            <w:rFonts w:ascii="Times New Roman" w:eastAsia="AGaramondPro-Regular" w:hAnsi="Times New Roman"/>
            <w:noProof/>
            <w:sz w:val="22"/>
            <w:szCs w:val="22"/>
          </w:rPr>
          <w:t>Pronóstico del precio del barril de crudo de petróleo WTI (USD$).</w:t>
        </w:r>
        <w:r w:rsidR="005E5028" w:rsidRPr="005E5028">
          <w:rPr>
            <w:rFonts w:ascii="Times New Roman" w:hAnsi="Times New Roman" w:cs="Times New Roman"/>
            <w:noProof/>
            <w:webHidden/>
            <w:sz w:val="22"/>
            <w:szCs w:val="22"/>
          </w:rPr>
          <w:tab/>
        </w:r>
        <w:r w:rsidR="005E5028" w:rsidRPr="005E5028">
          <w:rPr>
            <w:rFonts w:ascii="Times New Roman" w:hAnsi="Times New Roman" w:cs="Times New Roman"/>
            <w:noProof/>
            <w:webHidden/>
            <w:sz w:val="22"/>
            <w:szCs w:val="22"/>
          </w:rPr>
          <w:fldChar w:fldCharType="begin"/>
        </w:r>
        <w:r w:rsidR="005E5028" w:rsidRPr="005E5028">
          <w:rPr>
            <w:rFonts w:ascii="Times New Roman" w:hAnsi="Times New Roman" w:cs="Times New Roman"/>
            <w:noProof/>
            <w:webHidden/>
            <w:sz w:val="22"/>
            <w:szCs w:val="22"/>
          </w:rPr>
          <w:instrText xml:space="preserve"> PAGEREF _Toc125733220 \h </w:instrText>
        </w:r>
        <w:r w:rsidR="005E5028" w:rsidRPr="005E5028">
          <w:rPr>
            <w:rFonts w:ascii="Times New Roman" w:hAnsi="Times New Roman" w:cs="Times New Roman"/>
            <w:noProof/>
            <w:webHidden/>
            <w:sz w:val="22"/>
            <w:szCs w:val="22"/>
          </w:rPr>
        </w:r>
        <w:r w:rsidR="005E5028" w:rsidRPr="005E5028">
          <w:rPr>
            <w:rFonts w:ascii="Times New Roman" w:hAnsi="Times New Roman" w:cs="Times New Roman"/>
            <w:noProof/>
            <w:webHidden/>
            <w:sz w:val="22"/>
            <w:szCs w:val="22"/>
          </w:rPr>
          <w:fldChar w:fldCharType="separate"/>
        </w:r>
        <w:r w:rsidR="006F4BE5">
          <w:rPr>
            <w:rFonts w:ascii="Times New Roman" w:hAnsi="Times New Roman" w:cs="Times New Roman"/>
            <w:noProof/>
            <w:webHidden/>
            <w:sz w:val="22"/>
            <w:szCs w:val="22"/>
          </w:rPr>
          <w:t>46</w:t>
        </w:r>
        <w:r w:rsidR="005E5028" w:rsidRPr="005E5028">
          <w:rPr>
            <w:rFonts w:ascii="Times New Roman" w:hAnsi="Times New Roman" w:cs="Times New Roman"/>
            <w:noProof/>
            <w:webHidden/>
            <w:sz w:val="22"/>
            <w:szCs w:val="22"/>
          </w:rPr>
          <w:fldChar w:fldCharType="end"/>
        </w:r>
      </w:hyperlink>
    </w:p>
    <w:p w14:paraId="6C0DAE5B" w14:textId="7919AB02" w:rsidR="005E5028" w:rsidRPr="005E5028" w:rsidRDefault="00F30D99">
      <w:pPr>
        <w:pStyle w:val="Tabladeilustraciones"/>
        <w:tabs>
          <w:tab w:val="right" w:leader="dot" w:pos="8828"/>
        </w:tabs>
        <w:rPr>
          <w:rFonts w:ascii="Times New Roman" w:hAnsi="Times New Roman" w:cs="Times New Roman"/>
          <w:noProof/>
          <w:sz w:val="22"/>
          <w:szCs w:val="22"/>
          <w:lang w:eastAsia="es-GT"/>
        </w:rPr>
      </w:pPr>
      <w:hyperlink w:anchor="_Toc125733221" w:history="1">
        <w:r w:rsidR="005E5028" w:rsidRPr="005E5028">
          <w:rPr>
            <w:rStyle w:val="Hipervnculo"/>
            <w:rFonts w:ascii="Times New Roman" w:eastAsia="Times New Roman" w:hAnsi="Times New Roman"/>
            <w:noProof/>
            <w:sz w:val="22"/>
            <w:szCs w:val="22"/>
          </w:rPr>
          <w:t>Gráfico 25</w:t>
        </w:r>
        <w:r w:rsidR="005E5028" w:rsidRPr="005E5028">
          <w:rPr>
            <w:rStyle w:val="Hipervnculo"/>
            <w:rFonts w:ascii="Times New Roman" w:eastAsiaTheme="majorEastAsia" w:hAnsi="Times New Roman"/>
            <w:noProof/>
            <w:sz w:val="22"/>
            <w:szCs w:val="22"/>
          </w:rPr>
          <w:t xml:space="preserve">. </w:t>
        </w:r>
        <w:r w:rsidR="005E5028" w:rsidRPr="005E5028">
          <w:rPr>
            <w:rStyle w:val="Hipervnculo"/>
            <w:rFonts w:ascii="Times New Roman" w:eastAsia="AGaramondPro-Regular" w:hAnsi="Times New Roman"/>
            <w:noProof/>
            <w:sz w:val="22"/>
            <w:szCs w:val="22"/>
          </w:rPr>
          <w:t>Pronóstico de la variación interanual de los índices de precios del Banco Mundial (%)</w:t>
        </w:r>
        <w:r w:rsidR="005E5028" w:rsidRPr="005E5028">
          <w:rPr>
            <w:rFonts w:ascii="Times New Roman" w:hAnsi="Times New Roman" w:cs="Times New Roman"/>
            <w:noProof/>
            <w:webHidden/>
            <w:sz w:val="22"/>
            <w:szCs w:val="22"/>
          </w:rPr>
          <w:tab/>
        </w:r>
        <w:r w:rsidR="005E5028" w:rsidRPr="005E5028">
          <w:rPr>
            <w:rFonts w:ascii="Times New Roman" w:hAnsi="Times New Roman" w:cs="Times New Roman"/>
            <w:noProof/>
            <w:webHidden/>
            <w:sz w:val="22"/>
            <w:szCs w:val="22"/>
          </w:rPr>
          <w:fldChar w:fldCharType="begin"/>
        </w:r>
        <w:r w:rsidR="005E5028" w:rsidRPr="005E5028">
          <w:rPr>
            <w:rFonts w:ascii="Times New Roman" w:hAnsi="Times New Roman" w:cs="Times New Roman"/>
            <w:noProof/>
            <w:webHidden/>
            <w:sz w:val="22"/>
            <w:szCs w:val="22"/>
          </w:rPr>
          <w:instrText xml:space="preserve"> PAGEREF _Toc125733221 \h </w:instrText>
        </w:r>
        <w:r w:rsidR="005E5028" w:rsidRPr="005E5028">
          <w:rPr>
            <w:rFonts w:ascii="Times New Roman" w:hAnsi="Times New Roman" w:cs="Times New Roman"/>
            <w:noProof/>
            <w:webHidden/>
            <w:sz w:val="22"/>
            <w:szCs w:val="22"/>
          </w:rPr>
        </w:r>
        <w:r w:rsidR="005E5028" w:rsidRPr="005E5028">
          <w:rPr>
            <w:rFonts w:ascii="Times New Roman" w:hAnsi="Times New Roman" w:cs="Times New Roman"/>
            <w:noProof/>
            <w:webHidden/>
            <w:sz w:val="22"/>
            <w:szCs w:val="22"/>
          </w:rPr>
          <w:fldChar w:fldCharType="separate"/>
        </w:r>
        <w:r w:rsidR="006F4BE5">
          <w:rPr>
            <w:rFonts w:ascii="Times New Roman" w:hAnsi="Times New Roman" w:cs="Times New Roman"/>
            <w:noProof/>
            <w:webHidden/>
            <w:sz w:val="22"/>
            <w:szCs w:val="22"/>
          </w:rPr>
          <w:t>46</w:t>
        </w:r>
        <w:r w:rsidR="005E5028" w:rsidRPr="005E5028">
          <w:rPr>
            <w:rFonts w:ascii="Times New Roman" w:hAnsi="Times New Roman" w:cs="Times New Roman"/>
            <w:noProof/>
            <w:webHidden/>
            <w:sz w:val="22"/>
            <w:szCs w:val="22"/>
          </w:rPr>
          <w:fldChar w:fldCharType="end"/>
        </w:r>
      </w:hyperlink>
    </w:p>
    <w:p w14:paraId="63E6B8E4" w14:textId="0562DED5" w:rsidR="005E5028" w:rsidRPr="005E5028" w:rsidRDefault="00F30D99">
      <w:pPr>
        <w:pStyle w:val="Tabladeilustraciones"/>
        <w:tabs>
          <w:tab w:val="right" w:leader="dot" w:pos="8828"/>
        </w:tabs>
        <w:rPr>
          <w:rFonts w:ascii="Times New Roman" w:hAnsi="Times New Roman" w:cs="Times New Roman"/>
          <w:noProof/>
          <w:sz w:val="22"/>
          <w:szCs w:val="22"/>
          <w:lang w:eastAsia="es-GT"/>
        </w:rPr>
      </w:pPr>
      <w:hyperlink w:anchor="_Toc125733222" w:history="1">
        <w:r w:rsidR="005E5028" w:rsidRPr="005E5028">
          <w:rPr>
            <w:rStyle w:val="Hipervnculo"/>
            <w:rFonts w:ascii="Times New Roman" w:eastAsia="Times New Roman" w:hAnsi="Times New Roman"/>
            <w:noProof/>
            <w:sz w:val="22"/>
            <w:szCs w:val="22"/>
          </w:rPr>
          <w:t>Gráfico 26</w:t>
        </w:r>
        <w:r w:rsidR="005E5028" w:rsidRPr="005E5028">
          <w:rPr>
            <w:rStyle w:val="Hipervnculo"/>
            <w:rFonts w:ascii="Times New Roman" w:eastAsiaTheme="majorEastAsia" w:hAnsi="Times New Roman"/>
            <w:noProof/>
            <w:sz w:val="22"/>
            <w:szCs w:val="22"/>
          </w:rPr>
          <w:t xml:space="preserve">. </w:t>
        </w:r>
        <w:r w:rsidR="005E5028" w:rsidRPr="005E5028">
          <w:rPr>
            <w:rStyle w:val="Hipervnculo"/>
            <w:rFonts w:ascii="Times New Roman" w:eastAsia="AGaramondPro-Regular" w:hAnsi="Times New Roman"/>
            <w:noProof/>
            <w:sz w:val="22"/>
            <w:szCs w:val="22"/>
          </w:rPr>
          <w:t>Perspectivas de crecimiento del PIB (%)</w:t>
        </w:r>
        <w:r w:rsidR="005E5028" w:rsidRPr="005E5028">
          <w:rPr>
            <w:rFonts w:ascii="Times New Roman" w:hAnsi="Times New Roman" w:cs="Times New Roman"/>
            <w:noProof/>
            <w:webHidden/>
            <w:sz w:val="22"/>
            <w:szCs w:val="22"/>
          </w:rPr>
          <w:tab/>
        </w:r>
        <w:r w:rsidR="005E5028" w:rsidRPr="005E5028">
          <w:rPr>
            <w:rFonts w:ascii="Times New Roman" w:hAnsi="Times New Roman" w:cs="Times New Roman"/>
            <w:noProof/>
            <w:webHidden/>
            <w:sz w:val="22"/>
            <w:szCs w:val="22"/>
          </w:rPr>
          <w:fldChar w:fldCharType="begin"/>
        </w:r>
        <w:r w:rsidR="005E5028" w:rsidRPr="005E5028">
          <w:rPr>
            <w:rFonts w:ascii="Times New Roman" w:hAnsi="Times New Roman" w:cs="Times New Roman"/>
            <w:noProof/>
            <w:webHidden/>
            <w:sz w:val="22"/>
            <w:szCs w:val="22"/>
          </w:rPr>
          <w:instrText xml:space="preserve"> PAGEREF _Toc125733222 \h </w:instrText>
        </w:r>
        <w:r w:rsidR="005E5028" w:rsidRPr="005E5028">
          <w:rPr>
            <w:rFonts w:ascii="Times New Roman" w:hAnsi="Times New Roman" w:cs="Times New Roman"/>
            <w:noProof/>
            <w:webHidden/>
            <w:sz w:val="22"/>
            <w:szCs w:val="22"/>
          </w:rPr>
        </w:r>
        <w:r w:rsidR="005E5028" w:rsidRPr="005E5028">
          <w:rPr>
            <w:rFonts w:ascii="Times New Roman" w:hAnsi="Times New Roman" w:cs="Times New Roman"/>
            <w:noProof/>
            <w:webHidden/>
            <w:sz w:val="22"/>
            <w:szCs w:val="22"/>
          </w:rPr>
          <w:fldChar w:fldCharType="separate"/>
        </w:r>
        <w:r w:rsidR="006F4BE5">
          <w:rPr>
            <w:rFonts w:ascii="Times New Roman" w:hAnsi="Times New Roman" w:cs="Times New Roman"/>
            <w:noProof/>
            <w:webHidden/>
            <w:sz w:val="22"/>
            <w:szCs w:val="22"/>
          </w:rPr>
          <w:t>47</w:t>
        </w:r>
        <w:r w:rsidR="005E5028" w:rsidRPr="005E5028">
          <w:rPr>
            <w:rFonts w:ascii="Times New Roman" w:hAnsi="Times New Roman" w:cs="Times New Roman"/>
            <w:noProof/>
            <w:webHidden/>
            <w:sz w:val="22"/>
            <w:szCs w:val="22"/>
          </w:rPr>
          <w:fldChar w:fldCharType="end"/>
        </w:r>
      </w:hyperlink>
    </w:p>
    <w:p w14:paraId="254FE8F5" w14:textId="7562EB75" w:rsidR="005E5028" w:rsidRPr="005E5028" w:rsidRDefault="00F30D99">
      <w:pPr>
        <w:pStyle w:val="Tabladeilustraciones"/>
        <w:tabs>
          <w:tab w:val="right" w:leader="dot" w:pos="8828"/>
        </w:tabs>
        <w:rPr>
          <w:rFonts w:ascii="Times New Roman" w:hAnsi="Times New Roman" w:cs="Times New Roman"/>
          <w:noProof/>
          <w:sz w:val="22"/>
          <w:szCs w:val="22"/>
          <w:lang w:eastAsia="es-GT"/>
        </w:rPr>
      </w:pPr>
      <w:hyperlink w:anchor="_Toc125733223" w:history="1">
        <w:r w:rsidR="005E5028" w:rsidRPr="005E5028">
          <w:rPr>
            <w:rStyle w:val="Hipervnculo"/>
            <w:rFonts w:ascii="Times New Roman" w:eastAsia="Times New Roman" w:hAnsi="Times New Roman"/>
            <w:noProof/>
            <w:sz w:val="22"/>
            <w:szCs w:val="22"/>
          </w:rPr>
          <w:t>Gráfico 27</w:t>
        </w:r>
        <w:r w:rsidR="005E5028" w:rsidRPr="005E5028">
          <w:rPr>
            <w:rStyle w:val="Hipervnculo"/>
            <w:rFonts w:ascii="Times New Roman" w:eastAsiaTheme="majorEastAsia" w:hAnsi="Times New Roman"/>
            <w:noProof/>
            <w:sz w:val="22"/>
            <w:szCs w:val="22"/>
          </w:rPr>
          <w:t xml:space="preserve">. </w:t>
        </w:r>
        <w:r w:rsidR="005E5028" w:rsidRPr="005E5028">
          <w:rPr>
            <w:rStyle w:val="Hipervnculo"/>
            <w:rFonts w:ascii="Times New Roman" w:eastAsia="AGaramondPro-Regular" w:hAnsi="Times New Roman"/>
            <w:noProof/>
            <w:sz w:val="22"/>
            <w:szCs w:val="22"/>
          </w:rPr>
          <w:t>Perspectivas de crecimiento de los componentes del gasto del PIB (%)</w:t>
        </w:r>
        <w:r w:rsidR="005E5028" w:rsidRPr="005E5028">
          <w:rPr>
            <w:rFonts w:ascii="Times New Roman" w:hAnsi="Times New Roman" w:cs="Times New Roman"/>
            <w:noProof/>
            <w:webHidden/>
            <w:sz w:val="22"/>
            <w:szCs w:val="22"/>
          </w:rPr>
          <w:tab/>
        </w:r>
        <w:r w:rsidR="005E5028" w:rsidRPr="005E5028">
          <w:rPr>
            <w:rFonts w:ascii="Times New Roman" w:hAnsi="Times New Roman" w:cs="Times New Roman"/>
            <w:noProof/>
            <w:webHidden/>
            <w:sz w:val="22"/>
            <w:szCs w:val="22"/>
          </w:rPr>
          <w:fldChar w:fldCharType="begin"/>
        </w:r>
        <w:r w:rsidR="005E5028" w:rsidRPr="005E5028">
          <w:rPr>
            <w:rFonts w:ascii="Times New Roman" w:hAnsi="Times New Roman" w:cs="Times New Roman"/>
            <w:noProof/>
            <w:webHidden/>
            <w:sz w:val="22"/>
            <w:szCs w:val="22"/>
          </w:rPr>
          <w:instrText xml:space="preserve"> PAGEREF _Toc125733223 \h </w:instrText>
        </w:r>
        <w:r w:rsidR="005E5028" w:rsidRPr="005E5028">
          <w:rPr>
            <w:rFonts w:ascii="Times New Roman" w:hAnsi="Times New Roman" w:cs="Times New Roman"/>
            <w:noProof/>
            <w:webHidden/>
            <w:sz w:val="22"/>
            <w:szCs w:val="22"/>
          </w:rPr>
        </w:r>
        <w:r w:rsidR="005E5028" w:rsidRPr="005E5028">
          <w:rPr>
            <w:rFonts w:ascii="Times New Roman" w:hAnsi="Times New Roman" w:cs="Times New Roman"/>
            <w:noProof/>
            <w:webHidden/>
            <w:sz w:val="22"/>
            <w:szCs w:val="22"/>
          </w:rPr>
          <w:fldChar w:fldCharType="separate"/>
        </w:r>
        <w:r w:rsidR="006F4BE5">
          <w:rPr>
            <w:rFonts w:ascii="Times New Roman" w:hAnsi="Times New Roman" w:cs="Times New Roman"/>
            <w:noProof/>
            <w:webHidden/>
            <w:sz w:val="22"/>
            <w:szCs w:val="22"/>
          </w:rPr>
          <w:t>47</w:t>
        </w:r>
        <w:r w:rsidR="005E5028" w:rsidRPr="005E5028">
          <w:rPr>
            <w:rFonts w:ascii="Times New Roman" w:hAnsi="Times New Roman" w:cs="Times New Roman"/>
            <w:noProof/>
            <w:webHidden/>
            <w:sz w:val="22"/>
            <w:szCs w:val="22"/>
          </w:rPr>
          <w:fldChar w:fldCharType="end"/>
        </w:r>
      </w:hyperlink>
    </w:p>
    <w:p w14:paraId="05A8C896" w14:textId="05D22E55" w:rsidR="005E5028" w:rsidRPr="005E5028" w:rsidRDefault="00F30D99">
      <w:pPr>
        <w:pStyle w:val="Tabladeilustraciones"/>
        <w:tabs>
          <w:tab w:val="right" w:leader="dot" w:pos="8828"/>
        </w:tabs>
        <w:rPr>
          <w:rFonts w:ascii="Times New Roman" w:hAnsi="Times New Roman" w:cs="Times New Roman"/>
          <w:noProof/>
          <w:sz w:val="22"/>
          <w:szCs w:val="22"/>
          <w:lang w:eastAsia="es-GT"/>
        </w:rPr>
      </w:pPr>
      <w:hyperlink w:anchor="_Toc125733224" w:history="1">
        <w:r w:rsidR="005E5028" w:rsidRPr="005E5028">
          <w:rPr>
            <w:rStyle w:val="Hipervnculo"/>
            <w:rFonts w:ascii="Times New Roman" w:eastAsia="Times New Roman" w:hAnsi="Times New Roman"/>
            <w:noProof/>
            <w:sz w:val="22"/>
            <w:szCs w:val="22"/>
          </w:rPr>
          <w:t>Gráfico 28</w:t>
        </w:r>
        <w:r w:rsidR="005E5028" w:rsidRPr="005E5028">
          <w:rPr>
            <w:rStyle w:val="Hipervnculo"/>
            <w:rFonts w:ascii="Times New Roman" w:eastAsiaTheme="majorEastAsia" w:hAnsi="Times New Roman"/>
            <w:noProof/>
            <w:sz w:val="22"/>
            <w:szCs w:val="22"/>
          </w:rPr>
          <w:t xml:space="preserve">. </w:t>
        </w:r>
        <w:r w:rsidR="005E5028" w:rsidRPr="005E5028">
          <w:rPr>
            <w:rStyle w:val="Hipervnculo"/>
            <w:rFonts w:ascii="Times New Roman" w:eastAsia="Times New Roman" w:hAnsi="Times New Roman"/>
            <w:noProof/>
            <w:sz w:val="22"/>
            <w:szCs w:val="22"/>
          </w:rPr>
          <w:t>Perspectivas de crecimiento por actividad económica del PIB (%)</w:t>
        </w:r>
        <w:r w:rsidR="005E5028" w:rsidRPr="005E5028">
          <w:rPr>
            <w:rFonts w:ascii="Times New Roman" w:hAnsi="Times New Roman" w:cs="Times New Roman"/>
            <w:noProof/>
            <w:webHidden/>
            <w:sz w:val="22"/>
            <w:szCs w:val="22"/>
          </w:rPr>
          <w:tab/>
        </w:r>
        <w:r w:rsidR="005E5028" w:rsidRPr="005E5028">
          <w:rPr>
            <w:rFonts w:ascii="Times New Roman" w:hAnsi="Times New Roman" w:cs="Times New Roman"/>
            <w:noProof/>
            <w:webHidden/>
            <w:sz w:val="22"/>
            <w:szCs w:val="22"/>
          </w:rPr>
          <w:fldChar w:fldCharType="begin"/>
        </w:r>
        <w:r w:rsidR="005E5028" w:rsidRPr="005E5028">
          <w:rPr>
            <w:rFonts w:ascii="Times New Roman" w:hAnsi="Times New Roman" w:cs="Times New Roman"/>
            <w:noProof/>
            <w:webHidden/>
            <w:sz w:val="22"/>
            <w:szCs w:val="22"/>
          </w:rPr>
          <w:instrText xml:space="preserve"> PAGEREF _Toc125733224 \h </w:instrText>
        </w:r>
        <w:r w:rsidR="005E5028" w:rsidRPr="005E5028">
          <w:rPr>
            <w:rFonts w:ascii="Times New Roman" w:hAnsi="Times New Roman" w:cs="Times New Roman"/>
            <w:noProof/>
            <w:webHidden/>
            <w:sz w:val="22"/>
            <w:szCs w:val="22"/>
          </w:rPr>
        </w:r>
        <w:r w:rsidR="005E5028" w:rsidRPr="005E5028">
          <w:rPr>
            <w:rFonts w:ascii="Times New Roman" w:hAnsi="Times New Roman" w:cs="Times New Roman"/>
            <w:noProof/>
            <w:webHidden/>
            <w:sz w:val="22"/>
            <w:szCs w:val="22"/>
          </w:rPr>
          <w:fldChar w:fldCharType="separate"/>
        </w:r>
        <w:r w:rsidR="006F4BE5">
          <w:rPr>
            <w:rFonts w:ascii="Times New Roman" w:hAnsi="Times New Roman" w:cs="Times New Roman"/>
            <w:noProof/>
            <w:webHidden/>
            <w:sz w:val="22"/>
            <w:szCs w:val="22"/>
          </w:rPr>
          <w:t>48</w:t>
        </w:r>
        <w:r w:rsidR="005E5028" w:rsidRPr="005E5028">
          <w:rPr>
            <w:rFonts w:ascii="Times New Roman" w:hAnsi="Times New Roman" w:cs="Times New Roman"/>
            <w:noProof/>
            <w:webHidden/>
            <w:sz w:val="22"/>
            <w:szCs w:val="22"/>
          </w:rPr>
          <w:fldChar w:fldCharType="end"/>
        </w:r>
      </w:hyperlink>
    </w:p>
    <w:p w14:paraId="3723E435" w14:textId="4B92301B" w:rsidR="005E5028" w:rsidRPr="005E5028" w:rsidRDefault="00F30D99">
      <w:pPr>
        <w:pStyle w:val="Tabladeilustraciones"/>
        <w:tabs>
          <w:tab w:val="right" w:leader="dot" w:pos="8828"/>
        </w:tabs>
        <w:rPr>
          <w:rFonts w:ascii="Times New Roman" w:hAnsi="Times New Roman" w:cs="Times New Roman"/>
          <w:noProof/>
          <w:sz w:val="22"/>
          <w:szCs w:val="22"/>
          <w:lang w:eastAsia="es-GT"/>
        </w:rPr>
      </w:pPr>
      <w:hyperlink w:anchor="_Toc125733225" w:history="1">
        <w:r w:rsidR="005E5028" w:rsidRPr="005E5028">
          <w:rPr>
            <w:rStyle w:val="Hipervnculo"/>
            <w:rFonts w:ascii="Times New Roman" w:eastAsia="Times New Roman" w:hAnsi="Times New Roman"/>
            <w:noProof/>
            <w:sz w:val="22"/>
            <w:szCs w:val="22"/>
          </w:rPr>
          <w:t>Gráfico 29</w:t>
        </w:r>
        <w:r w:rsidR="005E5028" w:rsidRPr="005E5028">
          <w:rPr>
            <w:rStyle w:val="Hipervnculo"/>
            <w:rFonts w:ascii="Times New Roman" w:eastAsiaTheme="majorEastAsia" w:hAnsi="Times New Roman"/>
            <w:noProof/>
            <w:sz w:val="22"/>
            <w:szCs w:val="22"/>
          </w:rPr>
          <w:t xml:space="preserve">. </w:t>
        </w:r>
        <w:r w:rsidR="005E5028" w:rsidRPr="005E5028">
          <w:rPr>
            <w:rStyle w:val="Hipervnculo"/>
            <w:rFonts w:ascii="Times New Roman" w:eastAsia="AGaramondPro-Regular" w:hAnsi="Times New Roman"/>
            <w:noProof/>
            <w:sz w:val="22"/>
            <w:szCs w:val="22"/>
          </w:rPr>
          <w:t>Pronóstico de la inflación para el 2023 (%)</w:t>
        </w:r>
        <w:r w:rsidR="005E5028" w:rsidRPr="005E5028">
          <w:rPr>
            <w:rFonts w:ascii="Times New Roman" w:hAnsi="Times New Roman" w:cs="Times New Roman"/>
            <w:noProof/>
            <w:webHidden/>
            <w:sz w:val="22"/>
            <w:szCs w:val="22"/>
          </w:rPr>
          <w:tab/>
        </w:r>
        <w:r w:rsidR="005E5028" w:rsidRPr="005E5028">
          <w:rPr>
            <w:rFonts w:ascii="Times New Roman" w:hAnsi="Times New Roman" w:cs="Times New Roman"/>
            <w:noProof/>
            <w:webHidden/>
            <w:sz w:val="22"/>
            <w:szCs w:val="22"/>
          </w:rPr>
          <w:fldChar w:fldCharType="begin"/>
        </w:r>
        <w:r w:rsidR="005E5028" w:rsidRPr="005E5028">
          <w:rPr>
            <w:rFonts w:ascii="Times New Roman" w:hAnsi="Times New Roman" w:cs="Times New Roman"/>
            <w:noProof/>
            <w:webHidden/>
            <w:sz w:val="22"/>
            <w:szCs w:val="22"/>
          </w:rPr>
          <w:instrText xml:space="preserve"> PAGEREF _Toc125733225 \h </w:instrText>
        </w:r>
        <w:r w:rsidR="005E5028" w:rsidRPr="005E5028">
          <w:rPr>
            <w:rFonts w:ascii="Times New Roman" w:hAnsi="Times New Roman" w:cs="Times New Roman"/>
            <w:noProof/>
            <w:webHidden/>
            <w:sz w:val="22"/>
            <w:szCs w:val="22"/>
          </w:rPr>
        </w:r>
        <w:r w:rsidR="005E5028" w:rsidRPr="005E5028">
          <w:rPr>
            <w:rFonts w:ascii="Times New Roman" w:hAnsi="Times New Roman" w:cs="Times New Roman"/>
            <w:noProof/>
            <w:webHidden/>
            <w:sz w:val="22"/>
            <w:szCs w:val="22"/>
          </w:rPr>
          <w:fldChar w:fldCharType="separate"/>
        </w:r>
        <w:r w:rsidR="006F4BE5">
          <w:rPr>
            <w:rFonts w:ascii="Times New Roman" w:hAnsi="Times New Roman" w:cs="Times New Roman"/>
            <w:noProof/>
            <w:webHidden/>
            <w:sz w:val="22"/>
            <w:szCs w:val="22"/>
          </w:rPr>
          <w:t>49</w:t>
        </w:r>
        <w:r w:rsidR="005E5028" w:rsidRPr="005E5028">
          <w:rPr>
            <w:rFonts w:ascii="Times New Roman" w:hAnsi="Times New Roman" w:cs="Times New Roman"/>
            <w:noProof/>
            <w:webHidden/>
            <w:sz w:val="22"/>
            <w:szCs w:val="22"/>
          </w:rPr>
          <w:fldChar w:fldCharType="end"/>
        </w:r>
      </w:hyperlink>
    </w:p>
    <w:p w14:paraId="76F68431" w14:textId="0880F052" w:rsidR="005E5028" w:rsidRPr="005E5028" w:rsidRDefault="00F30D99">
      <w:pPr>
        <w:pStyle w:val="Tabladeilustraciones"/>
        <w:tabs>
          <w:tab w:val="right" w:leader="dot" w:pos="8828"/>
        </w:tabs>
        <w:rPr>
          <w:rFonts w:ascii="Times New Roman" w:hAnsi="Times New Roman" w:cs="Times New Roman"/>
          <w:noProof/>
          <w:sz w:val="22"/>
          <w:szCs w:val="22"/>
          <w:lang w:eastAsia="es-GT"/>
        </w:rPr>
      </w:pPr>
      <w:hyperlink w:anchor="_Toc125733226" w:history="1">
        <w:r w:rsidR="005E5028" w:rsidRPr="005E5028">
          <w:rPr>
            <w:rStyle w:val="Hipervnculo"/>
            <w:rFonts w:ascii="Times New Roman" w:eastAsia="Times New Roman" w:hAnsi="Times New Roman"/>
            <w:noProof/>
            <w:sz w:val="22"/>
            <w:szCs w:val="22"/>
          </w:rPr>
          <w:t>Gráfico 30</w:t>
        </w:r>
        <w:r w:rsidR="005E5028" w:rsidRPr="005E5028">
          <w:rPr>
            <w:rStyle w:val="Hipervnculo"/>
            <w:rFonts w:ascii="Times New Roman" w:eastAsiaTheme="majorEastAsia" w:hAnsi="Times New Roman"/>
            <w:noProof/>
            <w:sz w:val="22"/>
            <w:szCs w:val="22"/>
          </w:rPr>
          <w:t xml:space="preserve">. </w:t>
        </w:r>
        <w:r w:rsidR="005E5028" w:rsidRPr="005E5028">
          <w:rPr>
            <w:rStyle w:val="Hipervnculo"/>
            <w:rFonts w:ascii="Times New Roman" w:eastAsia="AGaramondPro-Regular" w:hAnsi="Times New Roman"/>
            <w:noProof/>
            <w:sz w:val="22"/>
            <w:szCs w:val="22"/>
          </w:rPr>
          <w:t>Pronóstico de crecimiento de las principales variables monetarias (%)</w:t>
        </w:r>
        <w:r w:rsidR="005E5028" w:rsidRPr="005E5028">
          <w:rPr>
            <w:rFonts w:ascii="Times New Roman" w:hAnsi="Times New Roman" w:cs="Times New Roman"/>
            <w:noProof/>
            <w:webHidden/>
            <w:sz w:val="22"/>
            <w:szCs w:val="22"/>
          </w:rPr>
          <w:tab/>
        </w:r>
        <w:r w:rsidR="005E5028" w:rsidRPr="005E5028">
          <w:rPr>
            <w:rFonts w:ascii="Times New Roman" w:hAnsi="Times New Roman" w:cs="Times New Roman"/>
            <w:noProof/>
            <w:webHidden/>
            <w:sz w:val="22"/>
            <w:szCs w:val="22"/>
          </w:rPr>
          <w:fldChar w:fldCharType="begin"/>
        </w:r>
        <w:r w:rsidR="005E5028" w:rsidRPr="005E5028">
          <w:rPr>
            <w:rFonts w:ascii="Times New Roman" w:hAnsi="Times New Roman" w:cs="Times New Roman"/>
            <w:noProof/>
            <w:webHidden/>
            <w:sz w:val="22"/>
            <w:szCs w:val="22"/>
          </w:rPr>
          <w:instrText xml:space="preserve"> PAGEREF _Toc125733226 \h </w:instrText>
        </w:r>
        <w:r w:rsidR="005E5028" w:rsidRPr="005E5028">
          <w:rPr>
            <w:rFonts w:ascii="Times New Roman" w:hAnsi="Times New Roman" w:cs="Times New Roman"/>
            <w:noProof/>
            <w:webHidden/>
            <w:sz w:val="22"/>
            <w:szCs w:val="22"/>
          </w:rPr>
        </w:r>
        <w:r w:rsidR="005E5028" w:rsidRPr="005E5028">
          <w:rPr>
            <w:rFonts w:ascii="Times New Roman" w:hAnsi="Times New Roman" w:cs="Times New Roman"/>
            <w:noProof/>
            <w:webHidden/>
            <w:sz w:val="22"/>
            <w:szCs w:val="22"/>
          </w:rPr>
          <w:fldChar w:fldCharType="separate"/>
        </w:r>
        <w:r w:rsidR="006F4BE5">
          <w:rPr>
            <w:rFonts w:ascii="Times New Roman" w:hAnsi="Times New Roman" w:cs="Times New Roman"/>
            <w:noProof/>
            <w:webHidden/>
            <w:sz w:val="22"/>
            <w:szCs w:val="22"/>
          </w:rPr>
          <w:t>49</w:t>
        </w:r>
        <w:r w:rsidR="005E5028" w:rsidRPr="005E5028">
          <w:rPr>
            <w:rFonts w:ascii="Times New Roman" w:hAnsi="Times New Roman" w:cs="Times New Roman"/>
            <w:noProof/>
            <w:webHidden/>
            <w:sz w:val="22"/>
            <w:szCs w:val="22"/>
          </w:rPr>
          <w:fldChar w:fldCharType="end"/>
        </w:r>
      </w:hyperlink>
    </w:p>
    <w:p w14:paraId="6A3A3BD1" w14:textId="184A8E30" w:rsidR="005E5028" w:rsidRPr="005E5028" w:rsidRDefault="00F30D99">
      <w:pPr>
        <w:pStyle w:val="Tabladeilustraciones"/>
        <w:tabs>
          <w:tab w:val="right" w:leader="dot" w:pos="8828"/>
        </w:tabs>
        <w:rPr>
          <w:rFonts w:ascii="Times New Roman" w:hAnsi="Times New Roman" w:cs="Times New Roman"/>
          <w:noProof/>
          <w:sz w:val="22"/>
          <w:szCs w:val="22"/>
          <w:lang w:eastAsia="es-GT"/>
        </w:rPr>
      </w:pPr>
      <w:hyperlink w:anchor="_Toc125733227" w:history="1">
        <w:r w:rsidR="005E5028" w:rsidRPr="005E5028">
          <w:rPr>
            <w:rStyle w:val="Hipervnculo"/>
            <w:rFonts w:ascii="Times New Roman" w:eastAsia="Times New Roman" w:hAnsi="Times New Roman"/>
            <w:noProof/>
            <w:sz w:val="22"/>
            <w:szCs w:val="22"/>
          </w:rPr>
          <w:t>Gráfico 31.</w:t>
        </w:r>
        <w:r w:rsidR="005E5028" w:rsidRPr="005E5028">
          <w:rPr>
            <w:rStyle w:val="Hipervnculo"/>
            <w:rFonts w:ascii="Times New Roman" w:eastAsia="AGaramondPro-Regular" w:hAnsi="Times New Roman"/>
            <w:noProof/>
            <w:sz w:val="22"/>
            <w:szCs w:val="22"/>
          </w:rPr>
          <w:t xml:space="preserve"> Pronóstico de las variables del sector externo</w:t>
        </w:r>
        <w:r w:rsidR="005E5028" w:rsidRPr="005E5028">
          <w:rPr>
            <w:rFonts w:ascii="Times New Roman" w:hAnsi="Times New Roman" w:cs="Times New Roman"/>
            <w:noProof/>
            <w:webHidden/>
            <w:sz w:val="22"/>
            <w:szCs w:val="22"/>
          </w:rPr>
          <w:tab/>
        </w:r>
        <w:r w:rsidR="005E5028" w:rsidRPr="005E5028">
          <w:rPr>
            <w:rFonts w:ascii="Times New Roman" w:hAnsi="Times New Roman" w:cs="Times New Roman"/>
            <w:noProof/>
            <w:webHidden/>
            <w:sz w:val="22"/>
            <w:szCs w:val="22"/>
          </w:rPr>
          <w:fldChar w:fldCharType="begin"/>
        </w:r>
        <w:r w:rsidR="005E5028" w:rsidRPr="005E5028">
          <w:rPr>
            <w:rFonts w:ascii="Times New Roman" w:hAnsi="Times New Roman" w:cs="Times New Roman"/>
            <w:noProof/>
            <w:webHidden/>
            <w:sz w:val="22"/>
            <w:szCs w:val="22"/>
          </w:rPr>
          <w:instrText xml:space="preserve"> PAGEREF _Toc125733227 \h </w:instrText>
        </w:r>
        <w:r w:rsidR="005E5028" w:rsidRPr="005E5028">
          <w:rPr>
            <w:rFonts w:ascii="Times New Roman" w:hAnsi="Times New Roman" w:cs="Times New Roman"/>
            <w:noProof/>
            <w:webHidden/>
            <w:sz w:val="22"/>
            <w:szCs w:val="22"/>
          </w:rPr>
        </w:r>
        <w:r w:rsidR="005E5028" w:rsidRPr="005E5028">
          <w:rPr>
            <w:rFonts w:ascii="Times New Roman" w:hAnsi="Times New Roman" w:cs="Times New Roman"/>
            <w:noProof/>
            <w:webHidden/>
            <w:sz w:val="22"/>
            <w:szCs w:val="22"/>
          </w:rPr>
          <w:fldChar w:fldCharType="separate"/>
        </w:r>
        <w:r w:rsidR="006F4BE5">
          <w:rPr>
            <w:rFonts w:ascii="Times New Roman" w:hAnsi="Times New Roman" w:cs="Times New Roman"/>
            <w:noProof/>
            <w:webHidden/>
            <w:sz w:val="22"/>
            <w:szCs w:val="22"/>
          </w:rPr>
          <w:t>50</w:t>
        </w:r>
        <w:r w:rsidR="005E5028" w:rsidRPr="005E5028">
          <w:rPr>
            <w:rFonts w:ascii="Times New Roman" w:hAnsi="Times New Roman" w:cs="Times New Roman"/>
            <w:noProof/>
            <w:webHidden/>
            <w:sz w:val="22"/>
            <w:szCs w:val="22"/>
          </w:rPr>
          <w:fldChar w:fldCharType="end"/>
        </w:r>
      </w:hyperlink>
    </w:p>
    <w:p w14:paraId="5715B00B" w14:textId="74CF329C" w:rsidR="005E5028" w:rsidRPr="005E5028" w:rsidRDefault="00F30D99">
      <w:pPr>
        <w:pStyle w:val="Tabladeilustraciones"/>
        <w:tabs>
          <w:tab w:val="right" w:leader="dot" w:pos="8828"/>
        </w:tabs>
        <w:rPr>
          <w:rFonts w:ascii="Times New Roman" w:hAnsi="Times New Roman" w:cs="Times New Roman"/>
          <w:noProof/>
          <w:sz w:val="22"/>
          <w:szCs w:val="22"/>
          <w:lang w:eastAsia="es-GT"/>
        </w:rPr>
      </w:pPr>
      <w:hyperlink w:anchor="_Toc125733228" w:history="1">
        <w:r w:rsidR="005E5028" w:rsidRPr="005E5028">
          <w:rPr>
            <w:rStyle w:val="Hipervnculo"/>
            <w:rFonts w:ascii="Times New Roman" w:eastAsia="Times New Roman" w:hAnsi="Times New Roman"/>
            <w:noProof/>
            <w:sz w:val="22"/>
            <w:szCs w:val="22"/>
          </w:rPr>
          <w:t>Gráfico 32.</w:t>
        </w:r>
        <w:r w:rsidR="005E5028" w:rsidRPr="005E5028">
          <w:rPr>
            <w:rStyle w:val="Hipervnculo"/>
            <w:rFonts w:ascii="Times New Roman" w:eastAsia="AGaramondPro-Regular" w:hAnsi="Times New Roman"/>
            <w:noProof/>
            <w:sz w:val="22"/>
            <w:szCs w:val="22"/>
          </w:rPr>
          <w:t xml:space="preserve"> </w:t>
        </w:r>
        <w:r w:rsidR="005E5028" w:rsidRPr="005E5028">
          <w:rPr>
            <w:rStyle w:val="Hipervnculo"/>
            <w:rFonts w:ascii="Times New Roman" w:eastAsia="Times New Roman" w:hAnsi="Times New Roman"/>
            <w:noProof/>
            <w:sz w:val="22"/>
            <w:szCs w:val="22"/>
          </w:rPr>
          <w:t>Proyecto de Presupuesto y Presupuesto aprobado 2023 por tipo de gasto</w:t>
        </w:r>
        <w:r w:rsidR="005E5028" w:rsidRPr="005E5028">
          <w:rPr>
            <w:rFonts w:ascii="Times New Roman" w:hAnsi="Times New Roman" w:cs="Times New Roman"/>
            <w:noProof/>
            <w:webHidden/>
            <w:sz w:val="22"/>
            <w:szCs w:val="22"/>
          </w:rPr>
          <w:tab/>
        </w:r>
        <w:r w:rsidR="005E5028" w:rsidRPr="005E5028">
          <w:rPr>
            <w:rFonts w:ascii="Times New Roman" w:hAnsi="Times New Roman" w:cs="Times New Roman"/>
            <w:noProof/>
            <w:webHidden/>
            <w:sz w:val="22"/>
            <w:szCs w:val="22"/>
          </w:rPr>
          <w:fldChar w:fldCharType="begin"/>
        </w:r>
        <w:r w:rsidR="005E5028" w:rsidRPr="005E5028">
          <w:rPr>
            <w:rFonts w:ascii="Times New Roman" w:hAnsi="Times New Roman" w:cs="Times New Roman"/>
            <w:noProof/>
            <w:webHidden/>
            <w:sz w:val="22"/>
            <w:szCs w:val="22"/>
          </w:rPr>
          <w:instrText xml:space="preserve"> PAGEREF _Toc125733228 \h </w:instrText>
        </w:r>
        <w:r w:rsidR="005E5028" w:rsidRPr="005E5028">
          <w:rPr>
            <w:rFonts w:ascii="Times New Roman" w:hAnsi="Times New Roman" w:cs="Times New Roman"/>
            <w:noProof/>
            <w:webHidden/>
            <w:sz w:val="22"/>
            <w:szCs w:val="22"/>
          </w:rPr>
        </w:r>
        <w:r w:rsidR="005E5028" w:rsidRPr="005E5028">
          <w:rPr>
            <w:rFonts w:ascii="Times New Roman" w:hAnsi="Times New Roman" w:cs="Times New Roman"/>
            <w:noProof/>
            <w:webHidden/>
            <w:sz w:val="22"/>
            <w:szCs w:val="22"/>
          </w:rPr>
          <w:fldChar w:fldCharType="separate"/>
        </w:r>
        <w:r w:rsidR="006F4BE5">
          <w:rPr>
            <w:rFonts w:ascii="Times New Roman" w:hAnsi="Times New Roman" w:cs="Times New Roman"/>
            <w:noProof/>
            <w:webHidden/>
            <w:sz w:val="22"/>
            <w:szCs w:val="22"/>
          </w:rPr>
          <w:t>53</w:t>
        </w:r>
        <w:r w:rsidR="005E5028" w:rsidRPr="005E5028">
          <w:rPr>
            <w:rFonts w:ascii="Times New Roman" w:hAnsi="Times New Roman" w:cs="Times New Roman"/>
            <w:noProof/>
            <w:webHidden/>
            <w:sz w:val="22"/>
            <w:szCs w:val="22"/>
          </w:rPr>
          <w:fldChar w:fldCharType="end"/>
        </w:r>
      </w:hyperlink>
    </w:p>
    <w:p w14:paraId="760F7E25" w14:textId="5610353B" w:rsidR="005E5028" w:rsidRPr="005E5028" w:rsidRDefault="00F30D99">
      <w:pPr>
        <w:pStyle w:val="Tabladeilustraciones"/>
        <w:tabs>
          <w:tab w:val="right" w:leader="dot" w:pos="8828"/>
        </w:tabs>
        <w:rPr>
          <w:rFonts w:ascii="Times New Roman" w:hAnsi="Times New Roman" w:cs="Times New Roman"/>
          <w:noProof/>
          <w:sz w:val="22"/>
          <w:szCs w:val="22"/>
          <w:lang w:eastAsia="es-GT"/>
        </w:rPr>
      </w:pPr>
      <w:hyperlink w:anchor="_Toc125733229" w:history="1">
        <w:r w:rsidR="005E5028" w:rsidRPr="005E5028">
          <w:rPr>
            <w:rStyle w:val="Hipervnculo"/>
            <w:rFonts w:ascii="Times New Roman" w:eastAsia="Times New Roman" w:hAnsi="Times New Roman"/>
            <w:noProof/>
            <w:sz w:val="22"/>
            <w:szCs w:val="22"/>
          </w:rPr>
          <w:t>Gráfico 33. Precio spot del crudo WTI</w:t>
        </w:r>
        <w:r w:rsidR="005E5028" w:rsidRPr="005E5028">
          <w:rPr>
            <w:rFonts w:ascii="Times New Roman" w:hAnsi="Times New Roman" w:cs="Times New Roman"/>
            <w:noProof/>
            <w:webHidden/>
            <w:sz w:val="22"/>
            <w:szCs w:val="22"/>
          </w:rPr>
          <w:tab/>
        </w:r>
        <w:r w:rsidR="005E5028" w:rsidRPr="005E5028">
          <w:rPr>
            <w:rFonts w:ascii="Times New Roman" w:hAnsi="Times New Roman" w:cs="Times New Roman"/>
            <w:noProof/>
            <w:webHidden/>
            <w:sz w:val="22"/>
            <w:szCs w:val="22"/>
          </w:rPr>
          <w:fldChar w:fldCharType="begin"/>
        </w:r>
        <w:r w:rsidR="005E5028" w:rsidRPr="005E5028">
          <w:rPr>
            <w:rFonts w:ascii="Times New Roman" w:hAnsi="Times New Roman" w:cs="Times New Roman"/>
            <w:noProof/>
            <w:webHidden/>
            <w:sz w:val="22"/>
            <w:szCs w:val="22"/>
          </w:rPr>
          <w:instrText xml:space="preserve"> PAGEREF _Toc125733229 \h </w:instrText>
        </w:r>
        <w:r w:rsidR="005E5028" w:rsidRPr="005E5028">
          <w:rPr>
            <w:rFonts w:ascii="Times New Roman" w:hAnsi="Times New Roman" w:cs="Times New Roman"/>
            <w:noProof/>
            <w:webHidden/>
            <w:sz w:val="22"/>
            <w:szCs w:val="22"/>
          </w:rPr>
        </w:r>
        <w:r w:rsidR="005E5028" w:rsidRPr="005E5028">
          <w:rPr>
            <w:rFonts w:ascii="Times New Roman" w:hAnsi="Times New Roman" w:cs="Times New Roman"/>
            <w:noProof/>
            <w:webHidden/>
            <w:sz w:val="22"/>
            <w:szCs w:val="22"/>
          </w:rPr>
          <w:fldChar w:fldCharType="separate"/>
        </w:r>
        <w:r w:rsidR="006F4BE5">
          <w:rPr>
            <w:rFonts w:ascii="Times New Roman" w:hAnsi="Times New Roman" w:cs="Times New Roman"/>
            <w:noProof/>
            <w:webHidden/>
            <w:sz w:val="22"/>
            <w:szCs w:val="22"/>
          </w:rPr>
          <w:t>58</w:t>
        </w:r>
        <w:r w:rsidR="005E5028" w:rsidRPr="005E5028">
          <w:rPr>
            <w:rFonts w:ascii="Times New Roman" w:hAnsi="Times New Roman" w:cs="Times New Roman"/>
            <w:noProof/>
            <w:webHidden/>
            <w:sz w:val="22"/>
            <w:szCs w:val="22"/>
          </w:rPr>
          <w:fldChar w:fldCharType="end"/>
        </w:r>
      </w:hyperlink>
    </w:p>
    <w:p w14:paraId="4B673DB6" w14:textId="3FD9D070" w:rsidR="005E5028" w:rsidRPr="005E5028" w:rsidRDefault="00F30D99">
      <w:pPr>
        <w:pStyle w:val="Tabladeilustraciones"/>
        <w:tabs>
          <w:tab w:val="right" w:leader="dot" w:pos="8828"/>
        </w:tabs>
        <w:rPr>
          <w:rFonts w:ascii="Times New Roman" w:hAnsi="Times New Roman" w:cs="Times New Roman"/>
          <w:noProof/>
          <w:sz w:val="22"/>
          <w:szCs w:val="22"/>
          <w:lang w:eastAsia="es-GT"/>
        </w:rPr>
      </w:pPr>
      <w:hyperlink w:anchor="_Toc125733230" w:history="1">
        <w:r w:rsidR="005E5028" w:rsidRPr="005E5028">
          <w:rPr>
            <w:rStyle w:val="Hipervnculo"/>
            <w:rFonts w:ascii="Times New Roman" w:eastAsia="Times New Roman" w:hAnsi="Times New Roman"/>
            <w:noProof/>
            <w:sz w:val="22"/>
            <w:szCs w:val="22"/>
          </w:rPr>
          <w:t>Gráfico 34. Precio de futuros de maíz y trigo</w:t>
        </w:r>
        <w:r w:rsidR="005E5028" w:rsidRPr="005E5028">
          <w:rPr>
            <w:rFonts w:ascii="Times New Roman" w:hAnsi="Times New Roman" w:cs="Times New Roman"/>
            <w:noProof/>
            <w:webHidden/>
            <w:sz w:val="22"/>
            <w:szCs w:val="22"/>
          </w:rPr>
          <w:tab/>
        </w:r>
        <w:r w:rsidR="005E5028" w:rsidRPr="005E5028">
          <w:rPr>
            <w:rFonts w:ascii="Times New Roman" w:hAnsi="Times New Roman" w:cs="Times New Roman"/>
            <w:noProof/>
            <w:webHidden/>
            <w:sz w:val="22"/>
            <w:szCs w:val="22"/>
          </w:rPr>
          <w:fldChar w:fldCharType="begin"/>
        </w:r>
        <w:r w:rsidR="005E5028" w:rsidRPr="005E5028">
          <w:rPr>
            <w:rFonts w:ascii="Times New Roman" w:hAnsi="Times New Roman" w:cs="Times New Roman"/>
            <w:noProof/>
            <w:webHidden/>
            <w:sz w:val="22"/>
            <w:szCs w:val="22"/>
          </w:rPr>
          <w:instrText xml:space="preserve"> PAGEREF _Toc125733230 \h </w:instrText>
        </w:r>
        <w:r w:rsidR="005E5028" w:rsidRPr="005E5028">
          <w:rPr>
            <w:rFonts w:ascii="Times New Roman" w:hAnsi="Times New Roman" w:cs="Times New Roman"/>
            <w:noProof/>
            <w:webHidden/>
            <w:sz w:val="22"/>
            <w:szCs w:val="22"/>
          </w:rPr>
        </w:r>
        <w:r w:rsidR="005E5028" w:rsidRPr="005E5028">
          <w:rPr>
            <w:rFonts w:ascii="Times New Roman" w:hAnsi="Times New Roman" w:cs="Times New Roman"/>
            <w:noProof/>
            <w:webHidden/>
            <w:sz w:val="22"/>
            <w:szCs w:val="22"/>
          </w:rPr>
          <w:fldChar w:fldCharType="separate"/>
        </w:r>
        <w:r w:rsidR="006F4BE5">
          <w:rPr>
            <w:rFonts w:ascii="Times New Roman" w:hAnsi="Times New Roman" w:cs="Times New Roman"/>
            <w:noProof/>
            <w:webHidden/>
            <w:sz w:val="22"/>
            <w:szCs w:val="22"/>
          </w:rPr>
          <w:t>58</w:t>
        </w:r>
        <w:r w:rsidR="005E5028" w:rsidRPr="005E5028">
          <w:rPr>
            <w:rFonts w:ascii="Times New Roman" w:hAnsi="Times New Roman" w:cs="Times New Roman"/>
            <w:noProof/>
            <w:webHidden/>
            <w:sz w:val="22"/>
            <w:szCs w:val="22"/>
          </w:rPr>
          <w:fldChar w:fldCharType="end"/>
        </w:r>
      </w:hyperlink>
    </w:p>
    <w:p w14:paraId="52B75B17" w14:textId="7A51A48D" w:rsidR="005E5028" w:rsidRPr="005E5028" w:rsidRDefault="00F30D99">
      <w:pPr>
        <w:pStyle w:val="Tabladeilustraciones"/>
        <w:tabs>
          <w:tab w:val="right" w:leader="dot" w:pos="8828"/>
        </w:tabs>
        <w:rPr>
          <w:rFonts w:ascii="Times New Roman" w:hAnsi="Times New Roman" w:cs="Times New Roman"/>
          <w:noProof/>
          <w:sz w:val="22"/>
          <w:szCs w:val="22"/>
          <w:lang w:eastAsia="es-GT"/>
        </w:rPr>
      </w:pPr>
      <w:hyperlink w:anchor="_Toc125733231" w:history="1">
        <w:r w:rsidR="005E5028" w:rsidRPr="005E5028">
          <w:rPr>
            <w:rStyle w:val="Hipervnculo"/>
            <w:rFonts w:ascii="Times New Roman" w:eastAsia="Times New Roman" w:hAnsi="Times New Roman"/>
            <w:noProof/>
            <w:sz w:val="22"/>
            <w:szCs w:val="22"/>
          </w:rPr>
          <w:t>Gráfico 35.</w:t>
        </w:r>
        <w:r w:rsidR="005E5028" w:rsidRPr="005E5028">
          <w:rPr>
            <w:rStyle w:val="Hipervnculo"/>
            <w:rFonts w:ascii="Times New Roman" w:eastAsiaTheme="majorEastAsia" w:hAnsi="Times New Roman"/>
            <w:noProof/>
            <w:sz w:val="22"/>
            <w:szCs w:val="22"/>
          </w:rPr>
          <w:t xml:space="preserve"> </w:t>
        </w:r>
        <w:r w:rsidR="005E5028" w:rsidRPr="005E5028">
          <w:rPr>
            <w:rStyle w:val="Hipervnculo"/>
            <w:rFonts w:ascii="Times New Roman" w:eastAsia="Times New Roman" w:hAnsi="Times New Roman"/>
            <w:noProof/>
            <w:sz w:val="22"/>
            <w:szCs w:val="22"/>
          </w:rPr>
          <w:t>IMAE y demanda de energía</w:t>
        </w:r>
        <w:r w:rsidR="005E5028" w:rsidRPr="005E5028">
          <w:rPr>
            <w:rFonts w:ascii="Times New Roman" w:hAnsi="Times New Roman" w:cs="Times New Roman"/>
            <w:noProof/>
            <w:webHidden/>
            <w:sz w:val="22"/>
            <w:szCs w:val="22"/>
          </w:rPr>
          <w:tab/>
        </w:r>
        <w:r w:rsidR="005E5028" w:rsidRPr="005E5028">
          <w:rPr>
            <w:rFonts w:ascii="Times New Roman" w:hAnsi="Times New Roman" w:cs="Times New Roman"/>
            <w:noProof/>
            <w:webHidden/>
            <w:sz w:val="22"/>
            <w:szCs w:val="22"/>
          </w:rPr>
          <w:fldChar w:fldCharType="begin"/>
        </w:r>
        <w:r w:rsidR="005E5028" w:rsidRPr="005E5028">
          <w:rPr>
            <w:rFonts w:ascii="Times New Roman" w:hAnsi="Times New Roman" w:cs="Times New Roman"/>
            <w:noProof/>
            <w:webHidden/>
            <w:sz w:val="22"/>
            <w:szCs w:val="22"/>
          </w:rPr>
          <w:instrText xml:space="preserve"> PAGEREF _Toc125733231 \h </w:instrText>
        </w:r>
        <w:r w:rsidR="005E5028" w:rsidRPr="005E5028">
          <w:rPr>
            <w:rFonts w:ascii="Times New Roman" w:hAnsi="Times New Roman" w:cs="Times New Roman"/>
            <w:noProof/>
            <w:webHidden/>
            <w:sz w:val="22"/>
            <w:szCs w:val="22"/>
          </w:rPr>
        </w:r>
        <w:r w:rsidR="005E5028" w:rsidRPr="005E5028">
          <w:rPr>
            <w:rFonts w:ascii="Times New Roman" w:hAnsi="Times New Roman" w:cs="Times New Roman"/>
            <w:noProof/>
            <w:webHidden/>
            <w:sz w:val="22"/>
            <w:szCs w:val="22"/>
          </w:rPr>
          <w:fldChar w:fldCharType="separate"/>
        </w:r>
        <w:r w:rsidR="006F4BE5">
          <w:rPr>
            <w:rFonts w:ascii="Times New Roman" w:hAnsi="Times New Roman" w:cs="Times New Roman"/>
            <w:noProof/>
            <w:webHidden/>
            <w:sz w:val="22"/>
            <w:szCs w:val="22"/>
          </w:rPr>
          <w:t>60</w:t>
        </w:r>
        <w:r w:rsidR="005E5028" w:rsidRPr="005E5028">
          <w:rPr>
            <w:rFonts w:ascii="Times New Roman" w:hAnsi="Times New Roman" w:cs="Times New Roman"/>
            <w:noProof/>
            <w:webHidden/>
            <w:sz w:val="22"/>
            <w:szCs w:val="22"/>
          </w:rPr>
          <w:fldChar w:fldCharType="end"/>
        </w:r>
      </w:hyperlink>
    </w:p>
    <w:p w14:paraId="5F2E5161" w14:textId="309D2AB1" w:rsidR="005E5028" w:rsidRPr="005E5028" w:rsidRDefault="00F30D99">
      <w:pPr>
        <w:pStyle w:val="Tabladeilustraciones"/>
        <w:tabs>
          <w:tab w:val="right" w:leader="dot" w:pos="8828"/>
        </w:tabs>
        <w:rPr>
          <w:rFonts w:ascii="Times New Roman" w:hAnsi="Times New Roman" w:cs="Times New Roman"/>
          <w:noProof/>
          <w:sz w:val="22"/>
          <w:szCs w:val="22"/>
          <w:lang w:eastAsia="es-GT"/>
        </w:rPr>
      </w:pPr>
      <w:hyperlink w:anchor="_Toc125733232" w:history="1">
        <w:r w:rsidR="005E5028" w:rsidRPr="005E5028">
          <w:rPr>
            <w:rStyle w:val="Hipervnculo"/>
            <w:rFonts w:ascii="Times New Roman" w:eastAsia="Times New Roman" w:hAnsi="Times New Roman"/>
            <w:noProof/>
            <w:sz w:val="22"/>
            <w:szCs w:val="22"/>
          </w:rPr>
          <w:t>Gráfico 36. Ritmo inflacionario</w:t>
        </w:r>
        <w:r w:rsidR="005E5028" w:rsidRPr="005E5028">
          <w:rPr>
            <w:rFonts w:ascii="Times New Roman" w:hAnsi="Times New Roman" w:cs="Times New Roman"/>
            <w:noProof/>
            <w:webHidden/>
            <w:sz w:val="22"/>
            <w:szCs w:val="22"/>
          </w:rPr>
          <w:tab/>
        </w:r>
        <w:r w:rsidR="005E5028" w:rsidRPr="005E5028">
          <w:rPr>
            <w:rFonts w:ascii="Times New Roman" w:hAnsi="Times New Roman" w:cs="Times New Roman"/>
            <w:noProof/>
            <w:webHidden/>
            <w:sz w:val="22"/>
            <w:szCs w:val="22"/>
          </w:rPr>
          <w:fldChar w:fldCharType="begin"/>
        </w:r>
        <w:r w:rsidR="005E5028" w:rsidRPr="005E5028">
          <w:rPr>
            <w:rFonts w:ascii="Times New Roman" w:hAnsi="Times New Roman" w:cs="Times New Roman"/>
            <w:noProof/>
            <w:webHidden/>
            <w:sz w:val="22"/>
            <w:szCs w:val="22"/>
          </w:rPr>
          <w:instrText xml:space="preserve"> PAGEREF _Toc125733232 \h </w:instrText>
        </w:r>
        <w:r w:rsidR="005E5028" w:rsidRPr="005E5028">
          <w:rPr>
            <w:rFonts w:ascii="Times New Roman" w:hAnsi="Times New Roman" w:cs="Times New Roman"/>
            <w:noProof/>
            <w:webHidden/>
            <w:sz w:val="22"/>
            <w:szCs w:val="22"/>
          </w:rPr>
        </w:r>
        <w:r w:rsidR="005E5028" w:rsidRPr="005E5028">
          <w:rPr>
            <w:rFonts w:ascii="Times New Roman" w:hAnsi="Times New Roman" w:cs="Times New Roman"/>
            <w:noProof/>
            <w:webHidden/>
            <w:sz w:val="22"/>
            <w:szCs w:val="22"/>
          </w:rPr>
          <w:fldChar w:fldCharType="separate"/>
        </w:r>
        <w:r w:rsidR="006F4BE5">
          <w:rPr>
            <w:rFonts w:ascii="Times New Roman" w:hAnsi="Times New Roman" w:cs="Times New Roman"/>
            <w:noProof/>
            <w:webHidden/>
            <w:sz w:val="22"/>
            <w:szCs w:val="22"/>
          </w:rPr>
          <w:t>60</w:t>
        </w:r>
        <w:r w:rsidR="005E5028" w:rsidRPr="005E5028">
          <w:rPr>
            <w:rFonts w:ascii="Times New Roman" w:hAnsi="Times New Roman" w:cs="Times New Roman"/>
            <w:noProof/>
            <w:webHidden/>
            <w:sz w:val="22"/>
            <w:szCs w:val="22"/>
          </w:rPr>
          <w:fldChar w:fldCharType="end"/>
        </w:r>
      </w:hyperlink>
    </w:p>
    <w:p w14:paraId="0EF4CFC8" w14:textId="58FCBCC7" w:rsidR="005E5028" w:rsidRPr="005E5028" w:rsidRDefault="00F30D99">
      <w:pPr>
        <w:pStyle w:val="Tabladeilustraciones"/>
        <w:tabs>
          <w:tab w:val="right" w:leader="dot" w:pos="8828"/>
        </w:tabs>
        <w:rPr>
          <w:rFonts w:ascii="Times New Roman" w:hAnsi="Times New Roman" w:cs="Times New Roman"/>
          <w:noProof/>
          <w:sz w:val="22"/>
          <w:szCs w:val="22"/>
          <w:lang w:eastAsia="es-GT"/>
        </w:rPr>
      </w:pPr>
      <w:hyperlink w:anchor="_Toc125733233" w:history="1">
        <w:r w:rsidR="005E5028" w:rsidRPr="005E5028">
          <w:rPr>
            <w:rStyle w:val="Hipervnculo"/>
            <w:rFonts w:ascii="Times New Roman" w:eastAsia="Times New Roman" w:hAnsi="Times New Roman"/>
            <w:noProof/>
            <w:sz w:val="22"/>
            <w:szCs w:val="22"/>
          </w:rPr>
          <w:t xml:space="preserve">Gráfico 37. </w:t>
        </w:r>
        <w:r w:rsidR="005E5028" w:rsidRPr="005E5028">
          <w:rPr>
            <w:rStyle w:val="Hipervnculo"/>
            <w:rFonts w:ascii="Times New Roman" w:eastAsia="Times New Roman" w:hAnsi="Times New Roman"/>
            <w:noProof/>
            <w:sz w:val="22"/>
            <w:szCs w:val="22"/>
            <w:lang w:val="es-MX" w:eastAsia="es-ES"/>
          </w:rPr>
          <w:t>Importaciones CIF y Exportaciones FOB</w:t>
        </w:r>
        <w:r w:rsidR="005E5028" w:rsidRPr="005E5028">
          <w:rPr>
            <w:rFonts w:ascii="Times New Roman" w:hAnsi="Times New Roman" w:cs="Times New Roman"/>
            <w:noProof/>
            <w:webHidden/>
            <w:sz w:val="22"/>
            <w:szCs w:val="22"/>
          </w:rPr>
          <w:tab/>
        </w:r>
        <w:r w:rsidR="005E5028" w:rsidRPr="005E5028">
          <w:rPr>
            <w:rFonts w:ascii="Times New Roman" w:hAnsi="Times New Roman" w:cs="Times New Roman"/>
            <w:noProof/>
            <w:webHidden/>
            <w:sz w:val="22"/>
            <w:szCs w:val="22"/>
          </w:rPr>
          <w:fldChar w:fldCharType="begin"/>
        </w:r>
        <w:r w:rsidR="005E5028" w:rsidRPr="005E5028">
          <w:rPr>
            <w:rFonts w:ascii="Times New Roman" w:hAnsi="Times New Roman" w:cs="Times New Roman"/>
            <w:noProof/>
            <w:webHidden/>
            <w:sz w:val="22"/>
            <w:szCs w:val="22"/>
          </w:rPr>
          <w:instrText xml:space="preserve"> PAGEREF _Toc125733233 \h </w:instrText>
        </w:r>
        <w:r w:rsidR="005E5028" w:rsidRPr="005E5028">
          <w:rPr>
            <w:rFonts w:ascii="Times New Roman" w:hAnsi="Times New Roman" w:cs="Times New Roman"/>
            <w:noProof/>
            <w:webHidden/>
            <w:sz w:val="22"/>
            <w:szCs w:val="22"/>
          </w:rPr>
        </w:r>
        <w:r w:rsidR="005E5028" w:rsidRPr="005E5028">
          <w:rPr>
            <w:rFonts w:ascii="Times New Roman" w:hAnsi="Times New Roman" w:cs="Times New Roman"/>
            <w:noProof/>
            <w:webHidden/>
            <w:sz w:val="22"/>
            <w:szCs w:val="22"/>
          </w:rPr>
          <w:fldChar w:fldCharType="separate"/>
        </w:r>
        <w:r w:rsidR="006F4BE5">
          <w:rPr>
            <w:rFonts w:ascii="Times New Roman" w:hAnsi="Times New Roman" w:cs="Times New Roman"/>
            <w:noProof/>
            <w:webHidden/>
            <w:sz w:val="22"/>
            <w:szCs w:val="22"/>
          </w:rPr>
          <w:t>61</w:t>
        </w:r>
        <w:r w:rsidR="005E5028" w:rsidRPr="005E5028">
          <w:rPr>
            <w:rFonts w:ascii="Times New Roman" w:hAnsi="Times New Roman" w:cs="Times New Roman"/>
            <w:noProof/>
            <w:webHidden/>
            <w:sz w:val="22"/>
            <w:szCs w:val="22"/>
          </w:rPr>
          <w:fldChar w:fldCharType="end"/>
        </w:r>
      </w:hyperlink>
    </w:p>
    <w:p w14:paraId="60D3E174" w14:textId="08366373" w:rsidR="005E5028" w:rsidRPr="005E5028" w:rsidRDefault="00F30D99">
      <w:pPr>
        <w:pStyle w:val="Tabladeilustraciones"/>
        <w:tabs>
          <w:tab w:val="right" w:leader="dot" w:pos="8828"/>
        </w:tabs>
        <w:rPr>
          <w:rFonts w:ascii="Times New Roman" w:hAnsi="Times New Roman" w:cs="Times New Roman"/>
          <w:noProof/>
          <w:sz w:val="22"/>
          <w:szCs w:val="22"/>
          <w:lang w:eastAsia="es-GT"/>
        </w:rPr>
      </w:pPr>
      <w:hyperlink w:anchor="_Toc125733234" w:history="1">
        <w:r w:rsidR="005E5028" w:rsidRPr="005E5028">
          <w:rPr>
            <w:rStyle w:val="Hipervnculo"/>
            <w:rFonts w:ascii="Times New Roman" w:eastAsia="Times New Roman" w:hAnsi="Times New Roman"/>
            <w:noProof/>
            <w:sz w:val="22"/>
            <w:szCs w:val="22"/>
          </w:rPr>
          <w:t xml:space="preserve">Gráfico 38. </w:t>
        </w:r>
        <w:r w:rsidR="005E5028" w:rsidRPr="005E5028">
          <w:rPr>
            <w:rStyle w:val="Hipervnculo"/>
            <w:rFonts w:ascii="Times New Roman" w:eastAsia="Times New Roman" w:hAnsi="Times New Roman"/>
            <w:noProof/>
            <w:sz w:val="22"/>
            <w:szCs w:val="22"/>
            <w:lang w:val="es-MX" w:eastAsia="es-ES"/>
          </w:rPr>
          <w:t>Remesas Familiares</w:t>
        </w:r>
        <w:r w:rsidR="005E5028" w:rsidRPr="005E5028">
          <w:rPr>
            <w:rFonts w:ascii="Times New Roman" w:hAnsi="Times New Roman" w:cs="Times New Roman"/>
            <w:noProof/>
            <w:webHidden/>
            <w:sz w:val="22"/>
            <w:szCs w:val="22"/>
          </w:rPr>
          <w:tab/>
        </w:r>
        <w:r w:rsidR="005E5028" w:rsidRPr="005E5028">
          <w:rPr>
            <w:rFonts w:ascii="Times New Roman" w:hAnsi="Times New Roman" w:cs="Times New Roman"/>
            <w:noProof/>
            <w:webHidden/>
            <w:sz w:val="22"/>
            <w:szCs w:val="22"/>
          </w:rPr>
          <w:fldChar w:fldCharType="begin"/>
        </w:r>
        <w:r w:rsidR="005E5028" w:rsidRPr="005E5028">
          <w:rPr>
            <w:rFonts w:ascii="Times New Roman" w:hAnsi="Times New Roman" w:cs="Times New Roman"/>
            <w:noProof/>
            <w:webHidden/>
            <w:sz w:val="22"/>
            <w:szCs w:val="22"/>
          </w:rPr>
          <w:instrText xml:space="preserve"> PAGEREF _Toc125733234 \h </w:instrText>
        </w:r>
        <w:r w:rsidR="005E5028" w:rsidRPr="005E5028">
          <w:rPr>
            <w:rFonts w:ascii="Times New Roman" w:hAnsi="Times New Roman" w:cs="Times New Roman"/>
            <w:noProof/>
            <w:webHidden/>
            <w:sz w:val="22"/>
            <w:szCs w:val="22"/>
          </w:rPr>
        </w:r>
        <w:r w:rsidR="005E5028" w:rsidRPr="005E5028">
          <w:rPr>
            <w:rFonts w:ascii="Times New Roman" w:hAnsi="Times New Roman" w:cs="Times New Roman"/>
            <w:noProof/>
            <w:webHidden/>
            <w:sz w:val="22"/>
            <w:szCs w:val="22"/>
          </w:rPr>
          <w:fldChar w:fldCharType="separate"/>
        </w:r>
        <w:r w:rsidR="006F4BE5">
          <w:rPr>
            <w:rFonts w:ascii="Times New Roman" w:hAnsi="Times New Roman" w:cs="Times New Roman"/>
            <w:noProof/>
            <w:webHidden/>
            <w:sz w:val="22"/>
            <w:szCs w:val="22"/>
          </w:rPr>
          <w:t>61</w:t>
        </w:r>
        <w:r w:rsidR="005E5028" w:rsidRPr="005E5028">
          <w:rPr>
            <w:rFonts w:ascii="Times New Roman" w:hAnsi="Times New Roman" w:cs="Times New Roman"/>
            <w:noProof/>
            <w:webHidden/>
            <w:sz w:val="22"/>
            <w:szCs w:val="22"/>
          </w:rPr>
          <w:fldChar w:fldCharType="end"/>
        </w:r>
      </w:hyperlink>
    </w:p>
    <w:p w14:paraId="3B7D0904" w14:textId="5E3811E7" w:rsidR="005E5028" w:rsidRPr="005E5028" w:rsidRDefault="00F30D99">
      <w:pPr>
        <w:pStyle w:val="Tabladeilustraciones"/>
        <w:tabs>
          <w:tab w:val="right" w:leader="dot" w:pos="8828"/>
        </w:tabs>
        <w:rPr>
          <w:rFonts w:ascii="Times New Roman" w:hAnsi="Times New Roman" w:cs="Times New Roman"/>
          <w:noProof/>
          <w:sz w:val="22"/>
          <w:szCs w:val="22"/>
          <w:lang w:eastAsia="es-GT"/>
        </w:rPr>
      </w:pPr>
      <w:hyperlink w:anchor="_Toc125733235" w:history="1">
        <w:r w:rsidR="005E5028" w:rsidRPr="005E5028">
          <w:rPr>
            <w:rStyle w:val="Hipervnculo"/>
            <w:rFonts w:ascii="Times New Roman" w:eastAsia="Times New Roman" w:hAnsi="Times New Roman"/>
            <w:noProof/>
            <w:sz w:val="22"/>
            <w:szCs w:val="22"/>
          </w:rPr>
          <w:t xml:space="preserve">Gráfico 39. </w:t>
        </w:r>
        <w:r w:rsidR="005E5028" w:rsidRPr="005E5028">
          <w:rPr>
            <w:rStyle w:val="Hipervnculo"/>
            <w:rFonts w:ascii="Times New Roman" w:eastAsia="Times New Roman" w:hAnsi="Times New Roman"/>
            <w:noProof/>
            <w:sz w:val="22"/>
            <w:szCs w:val="22"/>
            <w:lang w:val="es-MX" w:eastAsia="es-ES"/>
          </w:rPr>
          <w:t>Tipo de cambio de referencia</w:t>
        </w:r>
        <w:r w:rsidR="005E5028" w:rsidRPr="005E5028">
          <w:rPr>
            <w:rFonts w:ascii="Times New Roman" w:hAnsi="Times New Roman" w:cs="Times New Roman"/>
            <w:noProof/>
            <w:webHidden/>
            <w:sz w:val="22"/>
            <w:szCs w:val="22"/>
          </w:rPr>
          <w:tab/>
        </w:r>
        <w:r w:rsidR="005E5028" w:rsidRPr="005E5028">
          <w:rPr>
            <w:rFonts w:ascii="Times New Roman" w:hAnsi="Times New Roman" w:cs="Times New Roman"/>
            <w:noProof/>
            <w:webHidden/>
            <w:sz w:val="22"/>
            <w:szCs w:val="22"/>
          </w:rPr>
          <w:fldChar w:fldCharType="begin"/>
        </w:r>
        <w:r w:rsidR="005E5028" w:rsidRPr="005E5028">
          <w:rPr>
            <w:rFonts w:ascii="Times New Roman" w:hAnsi="Times New Roman" w:cs="Times New Roman"/>
            <w:noProof/>
            <w:webHidden/>
            <w:sz w:val="22"/>
            <w:szCs w:val="22"/>
          </w:rPr>
          <w:instrText xml:space="preserve"> PAGEREF _Toc125733235 \h </w:instrText>
        </w:r>
        <w:r w:rsidR="005E5028" w:rsidRPr="005E5028">
          <w:rPr>
            <w:rFonts w:ascii="Times New Roman" w:hAnsi="Times New Roman" w:cs="Times New Roman"/>
            <w:noProof/>
            <w:webHidden/>
            <w:sz w:val="22"/>
            <w:szCs w:val="22"/>
          </w:rPr>
        </w:r>
        <w:r w:rsidR="005E5028" w:rsidRPr="005E5028">
          <w:rPr>
            <w:rFonts w:ascii="Times New Roman" w:hAnsi="Times New Roman" w:cs="Times New Roman"/>
            <w:noProof/>
            <w:webHidden/>
            <w:sz w:val="22"/>
            <w:szCs w:val="22"/>
          </w:rPr>
          <w:fldChar w:fldCharType="separate"/>
        </w:r>
        <w:r w:rsidR="006F4BE5">
          <w:rPr>
            <w:rFonts w:ascii="Times New Roman" w:hAnsi="Times New Roman" w:cs="Times New Roman"/>
            <w:noProof/>
            <w:webHidden/>
            <w:sz w:val="22"/>
            <w:szCs w:val="22"/>
          </w:rPr>
          <w:t>62</w:t>
        </w:r>
        <w:r w:rsidR="005E5028" w:rsidRPr="005E5028">
          <w:rPr>
            <w:rFonts w:ascii="Times New Roman" w:hAnsi="Times New Roman" w:cs="Times New Roman"/>
            <w:noProof/>
            <w:webHidden/>
            <w:sz w:val="22"/>
            <w:szCs w:val="22"/>
          </w:rPr>
          <w:fldChar w:fldCharType="end"/>
        </w:r>
      </w:hyperlink>
    </w:p>
    <w:p w14:paraId="46CFAB2E" w14:textId="17B814B7" w:rsidR="005E5028" w:rsidRPr="005E5028" w:rsidRDefault="00F30D99">
      <w:pPr>
        <w:pStyle w:val="Tabladeilustraciones"/>
        <w:tabs>
          <w:tab w:val="right" w:leader="dot" w:pos="8828"/>
        </w:tabs>
        <w:rPr>
          <w:rFonts w:ascii="Times New Roman" w:hAnsi="Times New Roman" w:cs="Times New Roman"/>
          <w:noProof/>
          <w:sz w:val="22"/>
          <w:szCs w:val="22"/>
          <w:lang w:eastAsia="es-GT"/>
        </w:rPr>
      </w:pPr>
      <w:hyperlink w:anchor="_Toc125733236" w:history="1">
        <w:r w:rsidR="005E5028" w:rsidRPr="005E5028">
          <w:rPr>
            <w:rStyle w:val="Hipervnculo"/>
            <w:rFonts w:ascii="Times New Roman" w:eastAsia="Times New Roman" w:hAnsi="Times New Roman"/>
            <w:noProof/>
            <w:sz w:val="22"/>
            <w:szCs w:val="22"/>
          </w:rPr>
          <w:t>Gráfico 40.</w:t>
        </w:r>
        <w:r w:rsidR="005E5028" w:rsidRPr="005E5028">
          <w:rPr>
            <w:rStyle w:val="Hipervnculo"/>
            <w:rFonts w:ascii="Times New Roman" w:eastAsia="Times New Roman" w:hAnsi="Times New Roman"/>
            <w:noProof/>
            <w:sz w:val="22"/>
            <w:szCs w:val="22"/>
            <w:lang w:val="es-MX" w:eastAsia="es-ES"/>
          </w:rPr>
          <w:t xml:space="preserve"> Tasa líder</w:t>
        </w:r>
        <w:r w:rsidR="005E5028" w:rsidRPr="005E5028">
          <w:rPr>
            <w:rFonts w:ascii="Times New Roman" w:hAnsi="Times New Roman" w:cs="Times New Roman"/>
            <w:noProof/>
            <w:webHidden/>
            <w:sz w:val="22"/>
            <w:szCs w:val="22"/>
          </w:rPr>
          <w:tab/>
        </w:r>
        <w:r w:rsidR="005E5028" w:rsidRPr="005E5028">
          <w:rPr>
            <w:rFonts w:ascii="Times New Roman" w:hAnsi="Times New Roman" w:cs="Times New Roman"/>
            <w:noProof/>
            <w:webHidden/>
            <w:sz w:val="22"/>
            <w:szCs w:val="22"/>
          </w:rPr>
          <w:fldChar w:fldCharType="begin"/>
        </w:r>
        <w:r w:rsidR="005E5028" w:rsidRPr="005E5028">
          <w:rPr>
            <w:rFonts w:ascii="Times New Roman" w:hAnsi="Times New Roman" w:cs="Times New Roman"/>
            <w:noProof/>
            <w:webHidden/>
            <w:sz w:val="22"/>
            <w:szCs w:val="22"/>
          </w:rPr>
          <w:instrText xml:space="preserve"> PAGEREF _Toc125733236 \h </w:instrText>
        </w:r>
        <w:r w:rsidR="005E5028" w:rsidRPr="005E5028">
          <w:rPr>
            <w:rFonts w:ascii="Times New Roman" w:hAnsi="Times New Roman" w:cs="Times New Roman"/>
            <w:noProof/>
            <w:webHidden/>
            <w:sz w:val="22"/>
            <w:szCs w:val="22"/>
          </w:rPr>
        </w:r>
        <w:r w:rsidR="005E5028" w:rsidRPr="005E5028">
          <w:rPr>
            <w:rFonts w:ascii="Times New Roman" w:hAnsi="Times New Roman" w:cs="Times New Roman"/>
            <w:noProof/>
            <w:webHidden/>
            <w:sz w:val="22"/>
            <w:szCs w:val="22"/>
          </w:rPr>
          <w:fldChar w:fldCharType="separate"/>
        </w:r>
        <w:r w:rsidR="006F4BE5">
          <w:rPr>
            <w:rFonts w:ascii="Times New Roman" w:hAnsi="Times New Roman" w:cs="Times New Roman"/>
            <w:noProof/>
            <w:webHidden/>
            <w:sz w:val="22"/>
            <w:szCs w:val="22"/>
          </w:rPr>
          <w:t>62</w:t>
        </w:r>
        <w:r w:rsidR="005E5028" w:rsidRPr="005E5028">
          <w:rPr>
            <w:rFonts w:ascii="Times New Roman" w:hAnsi="Times New Roman" w:cs="Times New Roman"/>
            <w:noProof/>
            <w:webHidden/>
            <w:sz w:val="22"/>
            <w:szCs w:val="22"/>
          </w:rPr>
          <w:fldChar w:fldCharType="end"/>
        </w:r>
      </w:hyperlink>
    </w:p>
    <w:p w14:paraId="27E6DD8D" w14:textId="62DADAF2" w:rsidR="005E5028" w:rsidRPr="005E5028" w:rsidRDefault="00F30D99">
      <w:pPr>
        <w:pStyle w:val="Tabladeilustraciones"/>
        <w:tabs>
          <w:tab w:val="right" w:leader="dot" w:pos="8828"/>
        </w:tabs>
        <w:rPr>
          <w:rFonts w:ascii="Times New Roman" w:hAnsi="Times New Roman" w:cs="Times New Roman"/>
          <w:noProof/>
          <w:sz w:val="22"/>
          <w:szCs w:val="22"/>
          <w:lang w:eastAsia="es-GT"/>
        </w:rPr>
      </w:pPr>
      <w:hyperlink w:anchor="_Toc125733237" w:history="1">
        <w:r w:rsidR="005E5028" w:rsidRPr="005E5028">
          <w:rPr>
            <w:rStyle w:val="Hipervnculo"/>
            <w:rFonts w:ascii="Times New Roman" w:eastAsia="Times New Roman" w:hAnsi="Times New Roman"/>
            <w:noProof/>
            <w:sz w:val="22"/>
            <w:szCs w:val="22"/>
          </w:rPr>
          <w:t>Gráfico 41.</w:t>
        </w:r>
        <w:r w:rsidR="005E5028" w:rsidRPr="005E5028">
          <w:rPr>
            <w:rStyle w:val="Hipervnculo"/>
            <w:rFonts w:ascii="Times New Roman" w:eastAsia="Times New Roman" w:hAnsi="Times New Roman"/>
            <w:noProof/>
            <w:sz w:val="22"/>
            <w:szCs w:val="22"/>
            <w:lang w:val="es-MX" w:eastAsia="es-ES"/>
          </w:rPr>
          <w:t xml:space="preserve"> </w:t>
        </w:r>
        <w:r w:rsidR="005E5028" w:rsidRPr="005E5028">
          <w:rPr>
            <w:rStyle w:val="Hipervnculo"/>
            <w:rFonts w:ascii="Times New Roman" w:hAnsi="Times New Roman"/>
            <w:noProof/>
            <w:sz w:val="22"/>
            <w:szCs w:val="22"/>
            <w:lang w:val="es-MX"/>
          </w:rPr>
          <w:t>Cobertura de los estados de operaciones conforme al MEFP 2014</w:t>
        </w:r>
        <w:r w:rsidR="005E5028" w:rsidRPr="005E5028">
          <w:rPr>
            <w:rFonts w:ascii="Times New Roman" w:hAnsi="Times New Roman" w:cs="Times New Roman"/>
            <w:noProof/>
            <w:webHidden/>
            <w:sz w:val="22"/>
            <w:szCs w:val="22"/>
          </w:rPr>
          <w:tab/>
        </w:r>
        <w:r w:rsidR="005E5028" w:rsidRPr="005E5028">
          <w:rPr>
            <w:rFonts w:ascii="Times New Roman" w:hAnsi="Times New Roman" w:cs="Times New Roman"/>
            <w:noProof/>
            <w:webHidden/>
            <w:sz w:val="22"/>
            <w:szCs w:val="22"/>
          </w:rPr>
          <w:fldChar w:fldCharType="begin"/>
        </w:r>
        <w:r w:rsidR="005E5028" w:rsidRPr="005E5028">
          <w:rPr>
            <w:rFonts w:ascii="Times New Roman" w:hAnsi="Times New Roman" w:cs="Times New Roman"/>
            <w:noProof/>
            <w:webHidden/>
            <w:sz w:val="22"/>
            <w:szCs w:val="22"/>
          </w:rPr>
          <w:instrText xml:space="preserve"> PAGEREF _Toc125733237 \h </w:instrText>
        </w:r>
        <w:r w:rsidR="005E5028" w:rsidRPr="005E5028">
          <w:rPr>
            <w:rFonts w:ascii="Times New Roman" w:hAnsi="Times New Roman" w:cs="Times New Roman"/>
            <w:noProof/>
            <w:webHidden/>
            <w:sz w:val="22"/>
            <w:szCs w:val="22"/>
          </w:rPr>
        </w:r>
        <w:r w:rsidR="005E5028" w:rsidRPr="005E5028">
          <w:rPr>
            <w:rFonts w:ascii="Times New Roman" w:hAnsi="Times New Roman" w:cs="Times New Roman"/>
            <w:noProof/>
            <w:webHidden/>
            <w:sz w:val="22"/>
            <w:szCs w:val="22"/>
          </w:rPr>
          <w:fldChar w:fldCharType="separate"/>
        </w:r>
        <w:r w:rsidR="006F4BE5">
          <w:rPr>
            <w:rFonts w:ascii="Times New Roman" w:hAnsi="Times New Roman" w:cs="Times New Roman"/>
            <w:noProof/>
            <w:webHidden/>
            <w:sz w:val="22"/>
            <w:szCs w:val="22"/>
          </w:rPr>
          <w:t>63</w:t>
        </w:r>
        <w:r w:rsidR="005E5028" w:rsidRPr="005E5028">
          <w:rPr>
            <w:rFonts w:ascii="Times New Roman" w:hAnsi="Times New Roman" w:cs="Times New Roman"/>
            <w:noProof/>
            <w:webHidden/>
            <w:sz w:val="22"/>
            <w:szCs w:val="22"/>
          </w:rPr>
          <w:fldChar w:fldCharType="end"/>
        </w:r>
      </w:hyperlink>
    </w:p>
    <w:p w14:paraId="1F93598B" w14:textId="5ECE3BE5" w:rsidR="00196A75" w:rsidRDefault="0038200B" w:rsidP="002B4D2B">
      <w:pPr>
        <w:spacing w:line="276" w:lineRule="auto"/>
        <w:contextualSpacing/>
        <w:jc w:val="center"/>
        <w:rPr>
          <w:rFonts w:ascii="Times New Roman" w:eastAsia="Times New Roman" w:hAnsi="Times New Roman" w:cs="Times New Roman"/>
          <w:sz w:val="22"/>
          <w:szCs w:val="22"/>
        </w:rPr>
      </w:pPr>
      <w:r w:rsidRPr="002B4D2B">
        <w:rPr>
          <w:rFonts w:ascii="Times New Roman" w:eastAsia="Times New Roman" w:hAnsi="Times New Roman" w:cs="Times New Roman"/>
          <w:sz w:val="22"/>
          <w:szCs w:val="22"/>
        </w:rPr>
        <w:fldChar w:fldCharType="end"/>
      </w:r>
    </w:p>
    <w:p w14:paraId="6F61F97E" w14:textId="77777777" w:rsidR="00196A75" w:rsidRDefault="00196A75" w:rsidP="002B4D2B">
      <w:pPr>
        <w:spacing w:line="276" w:lineRule="auto"/>
        <w:contextualSpacing/>
        <w:jc w:val="center"/>
        <w:rPr>
          <w:rFonts w:ascii="Times New Roman" w:eastAsia="Times New Roman" w:hAnsi="Times New Roman" w:cs="Times New Roman"/>
          <w:sz w:val="22"/>
          <w:szCs w:val="22"/>
        </w:rPr>
      </w:pPr>
    </w:p>
    <w:p w14:paraId="3CBB76EF" w14:textId="77777777" w:rsidR="00196A75" w:rsidRDefault="00196A75" w:rsidP="002B4D2B">
      <w:pPr>
        <w:spacing w:line="276" w:lineRule="auto"/>
        <w:contextualSpacing/>
        <w:jc w:val="center"/>
        <w:rPr>
          <w:rFonts w:ascii="Times New Roman" w:eastAsia="Times New Roman" w:hAnsi="Times New Roman" w:cs="Times New Roman"/>
          <w:sz w:val="22"/>
          <w:szCs w:val="22"/>
        </w:rPr>
      </w:pPr>
    </w:p>
    <w:p w14:paraId="565A7C8A" w14:textId="77777777" w:rsidR="00196A75" w:rsidRDefault="00196A75" w:rsidP="002B4D2B">
      <w:pPr>
        <w:spacing w:line="276" w:lineRule="auto"/>
        <w:contextualSpacing/>
        <w:jc w:val="center"/>
        <w:rPr>
          <w:rFonts w:ascii="Times New Roman" w:eastAsia="Times New Roman" w:hAnsi="Times New Roman" w:cs="Times New Roman"/>
          <w:sz w:val="22"/>
          <w:szCs w:val="22"/>
        </w:rPr>
      </w:pPr>
    </w:p>
    <w:p w14:paraId="1FB2D698" w14:textId="7ECE95EC" w:rsidR="007C704B" w:rsidRPr="007C704B" w:rsidRDefault="007C704B" w:rsidP="002B4D2B">
      <w:pPr>
        <w:spacing w:line="276" w:lineRule="auto"/>
        <w:contextualSpacing/>
        <w:jc w:val="center"/>
        <w:rPr>
          <w:rFonts w:ascii="Times New Roman" w:hAnsi="Times New Roman"/>
          <w:b/>
          <w:bCs/>
        </w:rPr>
      </w:pPr>
      <w:r w:rsidRPr="007C704B">
        <w:rPr>
          <w:rFonts w:ascii="Times New Roman" w:hAnsi="Times New Roman"/>
          <w:b/>
          <w:bCs/>
          <w:lang w:val="es-ES"/>
        </w:rPr>
        <w:lastRenderedPageBreak/>
        <w:t>Contenido</w:t>
      </w:r>
      <w:r>
        <w:rPr>
          <w:rFonts w:ascii="Times New Roman" w:hAnsi="Times New Roman"/>
          <w:b/>
          <w:bCs/>
          <w:lang w:val="es-ES"/>
        </w:rPr>
        <w:t xml:space="preserve"> en tablas</w:t>
      </w:r>
    </w:p>
    <w:p w14:paraId="197AB75F" w14:textId="10EFA01A" w:rsidR="00FD0AB7" w:rsidRDefault="00FD0AB7" w:rsidP="008D7BB4">
      <w:pPr>
        <w:spacing w:line="276" w:lineRule="auto"/>
        <w:contextualSpacing/>
        <w:jc w:val="center"/>
        <w:rPr>
          <w:rFonts w:ascii="Times New Roman" w:eastAsia="Times New Roman" w:hAnsi="Times New Roman" w:cs="Times New Roman"/>
          <w:b/>
          <w:bCs/>
          <w:sz w:val="22"/>
          <w:szCs w:val="22"/>
        </w:rPr>
      </w:pPr>
    </w:p>
    <w:p w14:paraId="2807EBB3" w14:textId="1FD990F9" w:rsidR="004C42AB" w:rsidRPr="00C77ABE" w:rsidRDefault="0038017B" w:rsidP="008D7BB4">
      <w:pPr>
        <w:pStyle w:val="Tabladeilustraciones"/>
        <w:tabs>
          <w:tab w:val="right" w:leader="dot" w:pos="8828"/>
        </w:tabs>
        <w:spacing w:line="276" w:lineRule="auto"/>
        <w:contextualSpacing/>
        <w:rPr>
          <w:rFonts w:ascii="Times New Roman" w:hAnsi="Times New Roman" w:cs="Times New Roman"/>
          <w:noProof/>
          <w:sz w:val="22"/>
          <w:szCs w:val="22"/>
          <w:lang w:eastAsia="es-GT"/>
        </w:rPr>
      </w:pPr>
      <w:r w:rsidRPr="00DD448F">
        <w:rPr>
          <w:rFonts w:ascii="Times New Roman" w:eastAsia="Times New Roman" w:hAnsi="Times New Roman" w:cs="Times New Roman"/>
          <w:sz w:val="22"/>
          <w:szCs w:val="22"/>
        </w:rPr>
        <w:fldChar w:fldCharType="begin"/>
      </w:r>
      <w:r w:rsidRPr="00DD448F">
        <w:rPr>
          <w:rFonts w:ascii="Times New Roman" w:eastAsia="Times New Roman" w:hAnsi="Times New Roman" w:cs="Times New Roman"/>
          <w:sz w:val="22"/>
          <w:szCs w:val="22"/>
        </w:rPr>
        <w:instrText xml:space="preserve"> TOC \h \z \c "Tabla" </w:instrText>
      </w:r>
      <w:r w:rsidRPr="00DD448F">
        <w:rPr>
          <w:rFonts w:ascii="Times New Roman" w:eastAsia="Times New Roman" w:hAnsi="Times New Roman" w:cs="Times New Roman"/>
          <w:sz w:val="22"/>
          <w:szCs w:val="22"/>
        </w:rPr>
        <w:fldChar w:fldCharType="separate"/>
      </w:r>
      <w:hyperlink w:anchor="_Toc125534810" w:history="1">
        <w:r w:rsidR="004C42AB" w:rsidRPr="00C77ABE">
          <w:rPr>
            <w:rStyle w:val="Hipervnculo"/>
            <w:rFonts w:ascii="Times New Roman" w:hAnsi="Times New Roman"/>
            <w:noProof/>
            <w:sz w:val="22"/>
            <w:szCs w:val="22"/>
          </w:rPr>
          <w:t xml:space="preserve">Tabla 1. </w:t>
        </w:r>
        <w:r w:rsidR="004C42AB" w:rsidRPr="00C77ABE">
          <w:rPr>
            <w:rStyle w:val="Hipervnculo"/>
            <w:rFonts w:ascii="Times New Roman" w:eastAsia="Times New Roman" w:hAnsi="Times New Roman"/>
            <w:noProof/>
            <w:sz w:val="22"/>
            <w:szCs w:val="22"/>
          </w:rPr>
          <w:t>Ejecución del Gasto social y de los Acuerdos de Paz</w:t>
        </w:r>
        <w:r w:rsidR="004C42AB" w:rsidRPr="00C77ABE">
          <w:rPr>
            <w:rFonts w:ascii="Times New Roman" w:hAnsi="Times New Roman" w:cs="Times New Roman"/>
            <w:noProof/>
            <w:webHidden/>
            <w:sz w:val="22"/>
            <w:szCs w:val="22"/>
          </w:rPr>
          <w:tab/>
        </w:r>
        <w:r w:rsidR="004C42AB" w:rsidRPr="00C77ABE">
          <w:rPr>
            <w:rFonts w:ascii="Times New Roman" w:hAnsi="Times New Roman" w:cs="Times New Roman"/>
            <w:noProof/>
            <w:webHidden/>
            <w:sz w:val="22"/>
            <w:szCs w:val="22"/>
          </w:rPr>
          <w:fldChar w:fldCharType="begin"/>
        </w:r>
        <w:r w:rsidR="004C42AB" w:rsidRPr="00C77ABE">
          <w:rPr>
            <w:rFonts w:ascii="Times New Roman" w:hAnsi="Times New Roman" w:cs="Times New Roman"/>
            <w:noProof/>
            <w:webHidden/>
            <w:sz w:val="22"/>
            <w:szCs w:val="22"/>
          </w:rPr>
          <w:instrText xml:space="preserve"> PAGEREF _Toc125534810 \h </w:instrText>
        </w:r>
        <w:r w:rsidR="004C42AB" w:rsidRPr="00C77ABE">
          <w:rPr>
            <w:rFonts w:ascii="Times New Roman" w:hAnsi="Times New Roman" w:cs="Times New Roman"/>
            <w:noProof/>
            <w:webHidden/>
            <w:sz w:val="22"/>
            <w:szCs w:val="22"/>
          </w:rPr>
        </w:r>
        <w:r w:rsidR="004C42AB" w:rsidRPr="00C77ABE">
          <w:rPr>
            <w:rFonts w:ascii="Times New Roman" w:hAnsi="Times New Roman" w:cs="Times New Roman"/>
            <w:noProof/>
            <w:webHidden/>
            <w:sz w:val="22"/>
            <w:szCs w:val="22"/>
          </w:rPr>
          <w:fldChar w:fldCharType="separate"/>
        </w:r>
        <w:r w:rsidR="006F4BE5">
          <w:rPr>
            <w:rFonts w:ascii="Times New Roman" w:hAnsi="Times New Roman" w:cs="Times New Roman"/>
            <w:noProof/>
            <w:webHidden/>
            <w:sz w:val="22"/>
            <w:szCs w:val="22"/>
          </w:rPr>
          <w:t>26</w:t>
        </w:r>
        <w:r w:rsidR="004C42AB" w:rsidRPr="00C77ABE">
          <w:rPr>
            <w:rFonts w:ascii="Times New Roman" w:hAnsi="Times New Roman" w:cs="Times New Roman"/>
            <w:noProof/>
            <w:webHidden/>
            <w:sz w:val="22"/>
            <w:szCs w:val="22"/>
          </w:rPr>
          <w:fldChar w:fldCharType="end"/>
        </w:r>
      </w:hyperlink>
    </w:p>
    <w:p w14:paraId="52E9F90F" w14:textId="7D2BAFC0" w:rsidR="004C42AB" w:rsidRPr="00C77ABE" w:rsidRDefault="00F30D99" w:rsidP="008D7BB4">
      <w:pPr>
        <w:pStyle w:val="Tabladeilustraciones"/>
        <w:tabs>
          <w:tab w:val="right" w:leader="dot" w:pos="8828"/>
        </w:tabs>
        <w:spacing w:line="276" w:lineRule="auto"/>
        <w:contextualSpacing/>
        <w:rPr>
          <w:rFonts w:ascii="Times New Roman" w:hAnsi="Times New Roman" w:cs="Times New Roman"/>
          <w:noProof/>
          <w:sz w:val="22"/>
          <w:szCs w:val="22"/>
          <w:lang w:eastAsia="es-GT"/>
        </w:rPr>
      </w:pPr>
      <w:hyperlink w:anchor="_Toc125534811" w:history="1">
        <w:r w:rsidR="004C42AB" w:rsidRPr="00C77ABE">
          <w:rPr>
            <w:rStyle w:val="Hipervnculo"/>
            <w:rFonts w:ascii="Times New Roman" w:hAnsi="Times New Roman"/>
            <w:noProof/>
            <w:sz w:val="22"/>
            <w:szCs w:val="22"/>
          </w:rPr>
          <w:t xml:space="preserve">Tabla 2. </w:t>
        </w:r>
        <w:r w:rsidR="004C42AB" w:rsidRPr="00C77ABE">
          <w:rPr>
            <w:rStyle w:val="Hipervnculo"/>
            <w:rFonts w:ascii="Times New Roman" w:eastAsia="Times New Roman" w:hAnsi="Times New Roman"/>
            <w:noProof/>
            <w:sz w:val="22"/>
            <w:szCs w:val="22"/>
            <w:lang w:val="es-ES_tradnl" w:eastAsia="es-ES"/>
          </w:rPr>
          <w:t>Seguimiento de Programas en atención a las declaratorias de Estados de Calamidad</w:t>
        </w:r>
        <w:r w:rsidR="004C42AB" w:rsidRPr="00C77ABE">
          <w:rPr>
            <w:rFonts w:ascii="Times New Roman" w:hAnsi="Times New Roman" w:cs="Times New Roman"/>
            <w:noProof/>
            <w:webHidden/>
            <w:sz w:val="22"/>
            <w:szCs w:val="22"/>
          </w:rPr>
          <w:tab/>
        </w:r>
        <w:r w:rsidR="004C42AB" w:rsidRPr="00C77ABE">
          <w:rPr>
            <w:rFonts w:ascii="Times New Roman" w:hAnsi="Times New Roman" w:cs="Times New Roman"/>
            <w:noProof/>
            <w:webHidden/>
            <w:sz w:val="22"/>
            <w:szCs w:val="22"/>
          </w:rPr>
          <w:fldChar w:fldCharType="begin"/>
        </w:r>
        <w:r w:rsidR="004C42AB" w:rsidRPr="00C77ABE">
          <w:rPr>
            <w:rFonts w:ascii="Times New Roman" w:hAnsi="Times New Roman" w:cs="Times New Roman"/>
            <w:noProof/>
            <w:webHidden/>
            <w:sz w:val="22"/>
            <w:szCs w:val="22"/>
          </w:rPr>
          <w:instrText xml:space="preserve"> PAGEREF _Toc125534811 \h </w:instrText>
        </w:r>
        <w:r w:rsidR="004C42AB" w:rsidRPr="00C77ABE">
          <w:rPr>
            <w:rFonts w:ascii="Times New Roman" w:hAnsi="Times New Roman" w:cs="Times New Roman"/>
            <w:noProof/>
            <w:webHidden/>
            <w:sz w:val="22"/>
            <w:szCs w:val="22"/>
          </w:rPr>
        </w:r>
        <w:r w:rsidR="004C42AB" w:rsidRPr="00C77ABE">
          <w:rPr>
            <w:rFonts w:ascii="Times New Roman" w:hAnsi="Times New Roman" w:cs="Times New Roman"/>
            <w:noProof/>
            <w:webHidden/>
            <w:sz w:val="22"/>
            <w:szCs w:val="22"/>
          </w:rPr>
          <w:fldChar w:fldCharType="separate"/>
        </w:r>
        <w:r w:rsidR="006F4BE5">
          <w:rPr>
            <w:rFonts w:ascii="Times New Roman" w:hAnsi="Times New Roman" w:cs="Times New Roman"/>
            <w:noProof/>
            <w:webHidden/>
            <w:sz w:val="22"/>
            <w:szCs w:val="22"/>
          </w:rPr>
          <w:t>35</w:t>
        </w:r>
        <w:r w:rsidR="004C42AB" w:rsidRPr="00C77ABE">
          <w:rPr>
            <w:rFonts w:ascii="Times New Roman" w:hAnsi="Times New Roman" w:cs="Times New Roman"/>
            <w:noProof/>
            <w:webHidden/>
            <w:sz w:val="22"/>
            <w:szCs w:val="22"/>
          </w:rPr>
          <w:fldChar w:fldCharType="end"/>
        </w:r>
      </w:hyperlink>
    </w:p>
    <w:p w14:paraId="750495C7" w14:textId="41D9BFE4" w:rsidR="004C42AB" w:rsidRPr="00C77ABE" w:rsidRDefault="00F30D99" w:rsidP="008D7BB4">
      <w:pPr>
        <w:pStyle w:val="Tabladeilustraciones"/>
        <w:tabs>
          <w:tab w:val="right" w:leader="dot" w:pos="8828"/>
        </w:tabs>
        <w:spacing w:line="276" w:lineRule="auto"/>
        <w:contextualSpacing/>
        <w:rPr>
          <w:rFonts w:ascii="Times New Roman" w:hAnsi="Times New Roman" w:cs="Times New Roman"/>
          <w:noProof/>
          <w:sz w:val="22"/>
          <w:szCs w:val="22"/>
          <w:lang w:eastAsia="es-GT"/>
        </w:rPr>
      </w:pPr>
      <w:hyperlink w:anchor="_Toc125534812" w:history="1">
        <w:r w:rsidR="004C42AB" w:rsidRPr="00C77ABE">
          <w:rPr>
            <w:rStyle w:val="Hipervnculo"/>
            <w:rFonts w:ascii="Times New Roman" w:hAnsi="Times New Roman"/>
            <w:noProof/>
            <w:sz w:val="22"/>
            <w:szCs w:val="22"/>
          </w:rPr>
          <w:t xml:space="preserve">Tabla 3. </w:t>
        </w:r>
        <w:r w:rsidR="004C42AB" w:rsidRPr="00C77ABE">
          <w:rPr>
            <w:rStyle w:val="Hipervnculo"/>
            <w:rFonts w:ascii="Times New Roman" w:eastAsia="Times New Roman" w:hAnsi="Times New Roman"/>
            <w:noProof/>
            <w:sz w:val="22"/>
            <w:szCs w:val="22"/>
          </w:rPr>
          <w:t>Situación Financiera Resumida</w:t>
        </w:r>
        <w:r w:rsidR="004C42AB" w:rsidRPr="00C77ABE">
          <w:rPr>
            <w:rFonts w:ascii="Times New Roman" w:hAnsi="Times New Roman" w:cs="Times New Roman"/>
            <w:noProof/>
            <w:webHidden/>
            <w:sz w:val="22"/>
            <w:szCs w:val="22"/>
          </w:rPr>
          <w:tab/>
        </w:r>
        <w:r w:rsidR="004C42AB" w:rsidRPr="00C77ABE">
          <w:rPr>
            <w:rFonts w:ascii="Times New Roman" w:hAnsi="Times New Roman" w:cs="Times New Roman"/>
            <w:noProof/>
            <w:webHidden/>
            <w:sz w:val="22"/>
            <w:szCs w:val="22"/>
          </w:rPr>
          <w:fldChar w:fldCharType="begin"/>
        </w:r>
        <w:r w:rsidR="004C42AB" w:rsidRPr="00C77ABE">
          <w:rPr>
            <w:rFonts w:ascii="Times New Roman" w:hAnsi="Times New Roman" w:cs="Times New Roman"/>
            <w:noProof/>
            <w:webHidden/>
            <w:sz w:val="22"/>
            <w:szCs w:val="22"/>
          </w:rPr>
          <w:instrText xml:space="preserve"> PAGEREF _Toc125534812 \h </w:instrText>
        </w:r>
        <w:r w:rsidR="004C42AB" w:rsidRPr="00C77ABE">
          <w:rPr>
            <w:rFonts w:ascii="Times New Roman" w:hAnsi="Times New Roman" w:cs="Times New Roman"/>
            <w:noProof/>
            <w:webHidden/>
            <w:sz w:val="22"/>
            <w:szCs w:val="22"/>
          </w:rPr>
        </w:r>
        <w:r w:rsidR="004C42AB" w:rsidRPr="00C77ABE">
          <w:rPr>
            <w:rFonts w:ascii="Times New Roman" w:hAnsi="Times New Roman" w:cs="Times New Roman"/>
            <w:noProof/>
            <w:webHidden/>
            <w:sz w:val="22"/>
            <w:szCs w:val="22"/>
          </w:rPr>
          <w:fldChar w:fldCharType="separate"/>
        </w:r>
        <w:r w:rsidR="006F4BE5">
          <w:rPr>
            <w:rFonts w:ascii="Times New Roman" w:hAnsi="Times New Roman" w:cs="Times New Roman"/>
            <w:noProof/>
            <w:webHidden/>
            <w:sz w:val="22"/>
            <w:szCs w:val="22"/>
          </w:rPr>
          <w:t>36</w:t>
        </w:r>
        <w:r w:rsidR="004C42AB" w:rsidRPr="00C77ABE">
          <w:rPr>
            <w:rFonts w:ascii="Times New Roman" w:hAnsi="Times New Roman" w:cs="Times New Roman"/>
            <w:noProof/>
            <w:webHidden/>
            <w:sz w:val="22"/>
            <w:szCs w:val="22"/>
          </w:rPr>
          <w:fldChar w:fldCharType="end"/>
        </w:r>
      </w:hyperlink>
    </w:p>
    <w:p w14:paraId="4BF2F19F" w14:textId="6EA72774" w:rsidR="004C42AB" w:rsidRPr="00C77ABE" w:rsidRDefault="00F30D99" w:rsidP="008D7BB4">
      <w:pPr>
        <w:pStyle w:val="Tabladeilustraciones"/>
        <w:tabs>
          <w:tab w:val="right" w:leader="dot" w:pos="8828"/>
        </w:tabs>
        <w:spacing w:line="276" w:lineRule="auto"/>
        <w:contextualSpacing/>
        <w:rPr>
          <w:rFonts w:ascii="Times New Roman" w:hAnsi="Times New Roman" w:cs="Times New Roman"/>
          <w:noProof/>
          <w:sz w:val="22"/>
          <w:szCs w:val="22"/>
          <w:lang w:eastAsia="es-GT"/>
        </w:rPr>
      </w:pPr>
      <w:hyperlink w:anchor="_Toc125534813" w:history="1">
        <w:r w:rsidR="004C42AB" w:rsidRPr="00C77ABE">
          <w:rPr>
            <w:rStyle w:val="Hipervnculo"/>
            <w:rFonts w:ascii="Times New Roman" w:hAnsi="Times New Roman"/>
            <w:noProof/>
            <w:sz w:val="22"/>
            <w:szCs w:val="22"/>
          </w:rPr>
          <w:t xml:space="preserve">Tabla 4. </w:t>
        </w:r>
        <w:r w:rsidR="004C42AB" w:rsidRPr="00C77ABE">
          <w:rPr>
            <w:rStyle w:val="Hipervnculo"/>
            <w:rFonts w:ascii="Times New Roman" w:eastAsia="Times New Roman" w:hAnsi="Times New Roman"/>
            <w:noProof/>
            <w:sz w:val="22"/>
            <w:szCs w:val="22"/>
          </w:rPr>
          <w:t>Desembolsos de Préstamos por Organismo y Destino 2022</w:t>
        </w:r>
        <w:r w:rsidR="004C42AB" w:rsidRPr="00C77ABE">
          <w:rPr>
            <w:rFonts w:ascii="Times New Roman" w:hAnsi="Times New Roman" w:cs="Times New Roman"/>
            <w:noProof/>
            <w:webHidden/>
            <w:sz w:val="22"/>
            <w:szCs w:val="22"/>
          </w:rPr>
          <w:tab/>
        </w:r>
        <w:r w:rsidR="004C42AB" w:rsidRPr="00C77ABE">
          <w:rPr>
            <w:rFonts w:ascii="Times New Roman" w:hAnsi="Times New Roman" w:cs="Times New Roman"/>
            <w:noProof/>
            <w:webHidden/>
            <w:sz w:val="22"/>
            <w:szCs w:val="22"/>
          </w:rPr>
          <w:fldChar w:fldCharType="begin"/>
        </w:r>
        <w:r w:rsidR="004C42AB" w:rsidRPr="00C77ABE">
          <w:rPr>
            <w:rFonts w:ascii="Times New Roman" w:hAnsi="Times New Roman" w:cs="Times New Roman"/>
            <w:noProof/>
            <w:webHidden/>
            <w:sz w:val="22"/>
            <w:szCs w:val="22"/>
          </w:rPr>
          <w:instrText xml:space="preserve"> PAGEREF _Toc125534813 \h </w:instrText>
        </w:r>
        <w:r w:rsidR="004C42AB" w:rsidRPr="00C77ABE">
          <w:rPr>
            <w:rFonts w:ascii="Times New Roman" w:hAnsi="Times New Roman" w:cs="Times New Roman"/>
            <w:noProof/>
            <w:webHidden/>
            <w:sz w:val="22"/>
            <w:szCs w:val="22"/>
          </w:rPr>
        </w:r>
        <w:r w:rsidR="004C42AB" w:rsidRPr="00C77ABE">
          <w:rPr>
            <w:rFonts w:ascii="Times New Roman" w:hAnsi="Times New Roman" w:cs="Times New Roman"/>
            <w:noProof/>
            <w:webHidden/>
            <w:sz w:val="22"/>
            <w:szCs w:val="22"/>
          </w:rPr>
          <w:fldChar w:fldCharType="separate"/>
        </w:r>
        <w:r w:rsidR="006F4BE5">
          <w:rPr>
            <w:rFonts w:ascii="Times New Roman" w:hAnsi="Times New Roman" w:cs="Times New Roman"/>
            <w:noProof/>
            <w:webHidden/>
            <w:sz w:val="22"/>
            <w:szCs w:val="22"/>
          </w:rPr>
          <w:t>38</w:t>
        </w:r>
        <w:r w:rsidR="004C42AB" w:rsidRPr="00C77ABE">
          <w:rPr>
            <w:rFonts w:ascii="Times New Roman" w:hAnsi="Times New Roman" w:cs="Times New Roman"/>
            <w:noProof/>
            <w:webHidden/>
            <w:sz w:val="22"/>
            <w:szCs w:val="22"/>
          </w:rPr>
          <w:fldChar w:fldCharType="end"/>
        </w:r>
      </w:hyperlink>
    </w:p>
    <w:p w14:paraId="422C4431" w14:textId="557C8B8C" w:rsidR="004C42AB" w:rsidRPr="00C77ABE" w:rsidRDefault="00F30D99" w:rsidP="008D7BB4">
      <w:pPr>
        <w:pStyle w:val="Tabladeilustraciones"/>
        <w:tabs>
          <w:tab w:val="right" w:leader="dot" w:pos="8828"/>
        </w:tabs>
        <w:spacing w:line="276" w:lineRule="auto"/>
        <w:contextualSpacing/>
        <w:rPr>
          <w:rFonts w:ascii="Times New Roman" w:hAnsi="Times New Roman" w:cs="Times New Roman"/>
          <w:noProof/>
          <w:sz w:val="22"/>
          <w:szCs w:val="22"/>
          <w:lang w:eastAsia="es-GT"/>
        </w:rPr>
      </w:pPr>
      <w:hyperlink w:anchor="_Toc125534814" w:history="1">
        <w:r w:rsidR="004C42AB" w:rsidRPr="00C77ABE">
          <w:rPr>
            <w:rStyle w:val="Hipervnculo"/>
            <w:rFonts w:ascii="Times New Roman" w:hAnsi="Times New Roman"/>
            <w:noProof/>
            <w:sz w:val="22"/>
            <w:szCs w:val="22"/>
          </w:rPr>
          <w:t xml:space="preserve">Tabla 5. </w:t>
        </w:r>
        <w:r w:rsidR="004C42AB" w:rsidRPr="00C77ABE">
          <w:rPr>
            <w:rStyle w:val="Hipervnculo"/>
            <w:rFonts w:ascii="Times New Roman" w:eastAsia="Times New Roman" w:hAnsi="Times New Roman"/>
            <w:noProof/>
            <w:sz w:val="22"/>
            <w:szCs w:val="22"/>
          </w:rPr>
          <w:t>Metas de Política Fiscal para el período 2022-2026</w:t>
        </w:r>
        <w:r w:rsidR="004C42AB" w:rsidRPr="00C77ABE">
          <w:rPr>
            <w:rFonts w:ascii="Times New Roman" w:hAnsi="Times New Roman" w:cs="Times New Roman"/>
            <w:noProof/>
            <w:webHidden/>
            <w:sz w:val="22"/>
            <w:szCs w:val="22"/>
          </w:rPr>
          <w:tab/>
        </w:r>
        <w:r w:rsidR="004C42AB" w:rsidRPr="00C77ABE">
          <w:rPr>
            <w:rFonts w:ascii="Times New Roman" w:hAnsi="Times New Roman" w:cs="Times New Roman"/>
            <w:noProof/>
            <w:webHidden/>
            <w:sz w:val="22"/>
            <w:szCs w:val="22"/>
          </w:rPr>
          <w:fldChar w:fldCharType="begin"/>
        </w:r>
        <w:r w:rsidR="004C42AB" w:rsidRPr="00C77ABE">
          <w:rPr>
            <w:rFonts w:ascii="Times New Roman" w:hAnsi="Times New Roman" w:cs="Times New Roman"/>
            <w:noProof/>
            <w:webHidden/>
            <w:sz w:val="22"/>
            <w:szCs w:val="22"/>
          </w:rPr>
          <w:instrText xml:space="preserve"> PAGEREF _Toc125534814 \h </w:instrText>
        </w:r>
        <w:r w:rsidR="004C42AB" w:rsidRPr="00C77ABE">
          <w:rPr>
            <w:rFonts w:ascii="Times New Roman" w:hAnsi="Times New Roman" w:cs="Times New Roman"/>
            <w:noProof/>
            <w:webHidden/>
            <w:sz w:val="22"/>
            <w:szCs w:val="22"/>
          </w:rPr>
        </w:r>
        <w:r w:rsidR="004C42AB" w:rsidRPr="00C77ABE">
          <w:rPr>
            <w:rFonts w:ascii="Times New Roman" w:hAnsi="Times New Roman" w:cs="Times New Roman"/>
            <w:noProof/>
            <w:webHidden/>
            <w:sz w:val="22"/>
            <w:szCs w:val="22"/>
          </w:rPr>
          <w:fldChar w:fldCharType="separate"/>
        </w:r>
        <w:r w:rsidR="006F4BE5">
          <w:rPr>
            <w:rFonts w:ascii="Times New Roman" w:hAnsi="Times New Roman" w:cs="Times New Roman"/>
            <w:noProof/>
            <w:webHidden/>
            <w:sz w:val="22"/>
            <w:szCs w:val="22"/>
          </w:rPr>
          <w:t>41</w:t>
        </w:r>
        <w:r w:rsidR="004C42AB" w:rsidRPr="00C77ABE">
          <w:rPr>
            <w:rFonts w:ascii="Times New Roman" w:hAnsi="Times New Roman" w:cs="Times New Roman"/>
            <w:noProof/>
            <w:webHidden/>
            <w:sz w:val="22"/>
            <w:szCs w:val="22"/>
          </w:rPr>
          <w:fldChar w:fldCharType="end"/>
        </w:r>
      </w:hyperlink>
    </w:p>
    <w:p w14:paraId="3740E710" w14:textId="417475A8" w:rsidR="004C42AB" w:rsidRPr="00C77ABE" w:rsidRDefault="00F30D99" w:rsidP="008D7BB4">
      <w:pPr>
        <w:pStyle w:val="Tabladeilustraciones"/>
        <w:tabs>
          <w:tab w:val="right" w:leader="dot" w:pos="8828"/>
        </w:tabs>
        <w:spacing w:line="276" w:lineRule="auto"/>
        <w:contextualSpacing/>
        <w:rPr>
          <w:rFonts w:ascii="Times New Roman" w:hAnsi="Times New Roman" w:cs="Times New Roman"/>
          <w:noProof/>
          <w:sz w:val="22"/>
          <w:szCs w:val="22"/>
          <w:lang w:eastAsia="es-GT"/>
        </w:rPr>
      </w:pPr>
      <w:hyperlink w:anchor="_Toc125534815" w:history="1">
        <w:r w:rsidR="004C42AB" w:rsidRPr="00C77ABE">
          <w:rPr>
            <w:rStyle w:val="Hipervnculo"/>
            <w:rFonts w:ascii="Times New Roman" w:hAnsi="Times New Roman"/>
            <w:noProof/>
            <w:sz w:val="22"/>
            <w:szCs w:val="22"/>
          </w:rPr>
          <w:t xml:space="preserve">Tabla 6. </w:t>
        </w:r>
        <w:r w:rsidR="004C42AB" w:rsidRPr="00C77ABE">
          <w:rPr>
            <w:rStyle w:val="Hipervnculo"/>
            <w:rFonts w:ascii="Times New Roman" w:eastAsia="Times New Roman" w:hAnsi="Times New Roman"/>
            <w:noProof/>
            <w:sz w:val="22"/>
            <w:szCs w:val="22"/>
          </w:rPr>
          <w:t>Proyectos de presupuesto 2004-2023</w:t>
        </w:r>
        <w:r w:rsidR="004C42AB" w:rsidRPr="00C77ABE">
          <w:rPr>
            <w:rFonts w:ascii="Times New Roman" w:hAnsi="Times New Roman" w:cs="Times New Roman"/>
            <w:noProof/>
            <w:webHidden/>
            <w:sz w:val="22"/>
            <w:szCs w:val="22"/>
          </w:rPr>
          <w:tab/>
        </w:r>
        <w:r w:rsidR="004C42AB" w:rsidRPr="00C77ABE">
          <w:rPr>
            <w:rFonts w:ascii="Times New Roman" w:hAnsi="Times New Roman" w:cs="Times New Roman"/>
            <w:noProof/>
            <w:webHidden/>
            <w:sz w:val="22"/>
            <w:szCs w:val="22"/>
          </w:rPr>
          <w:fldChar w:fldCharType="begin"/>
        </w:r>
        <w:r w:rsidR="004C42AB" w:rsidRPr="00C77ABE">
          <w:rPr>
            <w:rFonts w:ascii="Times New Roman" w:hAnsi="Times New Roman" w:cs="Times New Roman"/>
            <w:noProof/>
            <w:webHidden/>
            <w:sz w:val="22"/>
            <w:szCs w:val="22"/>
          </w:rPr>
          <w:instrText xml:space="preserve"> PAGEREF _Toc125534815 \h </w:instrText>
        </w:r>
        <w:r w:rsidR="004C42AB" w:rsidRPr="00C77ABE">
          <w:rPr>
            <w:rFonts w:ascii="Times New Roman" w:hAnsi="Times New Roman" w:cs="Times New Roman"/>
            <w:noProof/>
            <w:webHidden/>
            <w:sz w:val="22"/>
            <w:szCs w:val="22"/>
          </w:rPr>
        </w:r>
        <w:r w:rsidR="004C42AB" w:rsidRPr="00C77ABE">
          <w:rPr>
            <w:rFonts w:ascii="Times New Roman" w:hAnsi="Times New Roman" w:cs="Times New Roman"/>
            <w:noProof/>
            <w:webHidden/>
            <w:sz w:val="22"/>
            <w:szCs w:val="22"/>
          </w:rPr>
          <w:fldChar w:fldCharType="separate"/>
        </w:r>
        <w:r w:rsidR="006F4BE5">
          <w:rPr>
            <w:rFonts w:ascii="Times New Roman" w:hAnsi="Times New Roman" w:cs="Times New Roman"/>
            <w:noProof/>
            <w:webHidden/>
            <w:sz w:val="22"/>
            <w:szCs w:val="22"/>
          </w:rPr>
          <w:t>51</w:t>
        </w:r>
        <w:r w:rsidR="004C42AB" w:rsidRPr="00C77ABE">
          <w:rPr>
            <w:rFonts w:ascii="Times New Roman" w:hAnsi="Times New Roman" w:cs="Times New Roman"/>
            <w:noProof/>
            <w:webHidden/>
            <w:sz w:val="22"/>
            <w:szCs w:val="22"/>
          </w:rPr>
          <w:fldChar w:fldCharType="end"/>
        </w:r>
      </w:hyperlink>
    </w:p>
    <w:p w14:paraId="4FED33CB" w14:textId="4831967C" w:rsidR="004C42AB" w:rsidRPr="00C77ABE" w:rsidRDefault="00F30D99" w:rsidP="008D7BB4">
      <w:pPr>
        <w:pStyle w:val="Tabladeilustraciones"/>
        <w:tabs>
          <w:tab w:val="right" w:leader="dot" w:pos="8828"/>
        </w:tabs>
        <w:spacing w:line="276" w:lineRule="auto"/>
        <w:contextualSpacing/>
        <w:rPr>
          <w:rFonts w:ascii="Times New Roman" w:hAnsi="Times New Roman" w:cs="Times New Roman"/>
          <w:noProof/>
          <w:sz w:val="22"/>
          <w:szCs w:val="22"/>
          <w:lang w:eastAsia="es-GT"/>
        </w:rPr>
      </w:pPr>
      <w:hyperlink w:anchor="_Toc125534816" w:history="1">
        <w:r w:rsidR="004C42AB" w:rsidRPr="00C77ABE">
          <w:rPr>
            <w:rStyle w:val="Hipervnculo"/>
            <w:rFonts w:ascii="Times New Roman" w:hAnsi="Times New Roman"/>
            <w:noProof/>
            <w:sz w:val="22"/>
            <w:szCs w:val="22"/>
          </w:rPr>
          <w:t xml:space="preserve">Tabla 7. </w:t>
        </w:r>
        <w:r w:rsidR="004C42AB" w:rsidRPr="00C77ABE">
          <w:rPr>
            <w:rStyle w:val="Hipervnculo"/>
            <w:rFonts w:ascii="Times New Roman" w:eastAsia="Times New Roman" w:hAnsi="Times New Roman"/>
            <w:noProof/>
            <w:sz w:val="22"/>
            <w:szCs w:val="22"/>
          </w:rPr>
          <w:t>Situación Financiera Resumida 2023</w:t>
        </w:r>
        <w:r w:rsidR="004C42AB" w:rsidRPr="00C77ABE">
          <w:rPr>
            <w:rFonts w:ascii="Times New Roman" w:hAnsi="Times New Roman" w:cs="Times New Roman"/>
            <w:noProof/>
            <w:webHidden/>
            <w:sz w:val="22"/>
            <w:szCs w:val="22"/>
          </w:rPr>
          <w:tab/>
        </w:r>
        <w:r w:rsidR="004C42AB" w:rsidRPr="00C77ABE">
          <w:rPr>
            <w:rFonts w:ascii="Times New Roman" w:hAnsi="Times New Roman" w:cs="Times New Roman"/>
            <w:noProof/>
            <w:webHidden/>
            <w:sz w:val="22"/>
            <w:szCs w:val="22"/>
          </w:rPr>
          <w:fldChar w:fldCharType="begin"/>
        </w:r>
        <w:r w:rsidR="004C42AB" w:rsidRPr="00C77ABE">
          <w:rPr>
            <w:rFonts w:ascii="Times New Roman" w:hAnsi="Times New Roman" w:cs="Times New Roman"/>
            <w:noProof/>
            <w:webHidden/>
            <w:sz w:val="22"/>
            <w:szCs w:val="22"/>
          </w:rPr>
          <w:instrText xml:space="preserve"> PAGEREF _Toc125534816 \h </w:instrText>
        </w:r>
        <w:r w:rsidR="004C42AB" w:rsidRPr="00C77ABE">
          <w:rPr>
            <w:rFonts w:ascii="Times New Roman" w:hAnsi="Times New Roman" w:cs="Times New Roman"/>
            <w:noProof/>
            <w:webHidden/>
            <w:sz w:val="22"/>
            <w:szCs w:val="22"/>
          </w:rPr>
        </w:r>
        <w:r w:rsidR="004C42AB" w:rsidRPr="00C77ABE">
          <w:rPr>
            <w:rFonts w:ascii="Times New Roman" w:hAnsi="Times New Roman" w:cs="Times New Roman"/>
            <w:noProof/>
            <w:webHidden/>
            <w:sz w:val="22"/>
            <w:szCs w:val="22"/>
          </w:rPr>
          <w:fldChar w:fldCharType="separate"/>
        </w:r>
        <w:r w:rsidR="006F4BE5">
          <w:rPr>
            <w:rFonts w:ascii="Times New Roman" w:hAnsi="Times New Roman" w:cs="Times New Roman"/>
            <w:noProof/>
            <w:webHidden/>
            <w:sz w:val="22"/>
            <w:szCs w:val="22"/>
          </w:rPr>
          <w:t>55</w:t>
        </w:r>
        <w:r w:rsidR="004C42AB" w:rsidRPr="00C77ABE">
          <w:rPr>
            <w:rFonts w:ascii="Times New Roman" w:hAnsi="Times New Roman" w:cs="Times New Roman"/>
            <w:noProof/>
            <w:webHidden/>
            <w:sz w:val="22"/>
            <w:szCs w:val="22"/>
          </w:rPr>
          <w:fldChar w:fldCharType="end"/>
        </w:r>
      </w:hyperlink>
    </w:p>
    <w:p w14:paraId="59E8CA90" w14:textId="52E2C5EC" w:rsidR="004C42AB" w:rsidRPr="00C77ABE" w:rsidRDefault="00F30D99" w:rsidP="008D7BB4">
      <w:pPr>
        <w:pStyle w:val="Tabladeilustraciones"/>
        <w:tabs>
          <w:tab w:val="right" w:leader="dot" w:pos="8828"/>
        </w:tabs>
        <w:spacing w:line="276" w:lineRule="auto"/>
        <w:contextualSpacing/>
        <w:rPr>
          <w:rFonts w:ascii="Times New Roman" w:hAnsi="Times New Roman" w:cs="Times New Roman"/>
          <w:noProof/>
          <w:sz w:val="22"/>
          <w:szCs w:val="22"/>
          <w:lang w:eastAsia="es-GT"/>
        </w:rPr>
      </w:pPr>
      <w:hyperlink w:anchor="_Toc125534817" w:history="1">
        <w:r w:rsidR="004C42AB" w:rsidRPr="00C77ABE">
          <w:rPr>
            <w:rStyle w:val="Hipervnculo"/>
            <w:rFonts w:ascii="Times New Roman" w:hAnsi="Times New Roman"/>
            <w:noProof/>
            <w:sz w:val="22"/>
            <w:szCs w:val="22"/>
          </w:rPr>
          <w:t xml:space="preserve">Tabla 8. </w:t>
        </w:r>
        <w:r w:rsidR="004C42AB" w:rsidRPr="00C77ABE">
          <w:rPr>
            <w:rStyle w:val="Hipervnculo"/>
            <w:rFonts w:ascii="Times New Roman" w:eastAsia="Times New Roman" w:hAnsi="Times New Roman"/>
            <w:noProof/>
            <w:sz w:val="22"/>
            <w:szCs w:val="22"/>
            <w:lang w:val="es-ES_tradnl" w:eastAsia="es-ES"/>
          </w:rPr>
          <w:t>Evolución de las estimaciones de cierre 2022 según el FMI</w:t>
        </w:r>
        <w:r w:rsidR="004C42AB" w:rsidRPr="00C77ABE">
          <w:rPr>
            <w:rFonts w:ascii="Times New Roman" w:hAnsi="Times New Roman" w:cs="Times New Roman"/>
            <w:noProof/>
            <w:webHidden/>
            <w:sz w:val="22"/>
            <w:szCs w:val="22"/>
          </w:rPr>
          <w:tab/>
        </w:r>
        <w:r w:rsidR="004C42AB" w:rsidRPr="00C77ABE">
          <w:rPr>
            <w:rFonts w:ascii="Times New Roman" w:hAnsi="Times New Roman" w:cs="Times New Roman"/>
            <w:noProof/>
            <w:webHidden/>
            <w:sz w:val="22"/>
            <w:szCs w:val="22"/>
          </w:rPr>
          <w:fldChar w:fldCharType="begin"/>
        </w:r>
        <w:r w:rsidR="004C42AB" w:rsidRPr="00C77ABE">
          <w:rPr>
            <w:rFonts w:ascii="Times New Roman" w:hAnsi="Times New Roman" w:cs="Times New Roman"/>
            <w:noProof/>
            <w:webHidden/>
            <w:sz w:val="22"/>
            <w:szCs w:val="22"/>
          </w:rPr>
          <w:instrText xml:space="preserve"> PAGEREF _Toc125534817 \h </w:instrText>
        </w:r>
        <w:r w:rsidR="004C42AB" w:rsidRPr="00C77ABE">
          <w:rPr>
            <w:rFonts w:ascii="Times New Roman" w:hAnsi="Times New Roman" w:cs="Times New Roman"/>
            <w:noProof/>
            <w:webHidden/>
            <w:sz w:val="22"/>
            <w:szCs w:val="22"/>
          </w:rPr>
        </w:r>
        <w:r w:rsidR="004C42AB" w:rsidRPr="00C77ABE">
          <w:rPr>
            <w:rFonts w:ascii="Times New Roman" w:hAnsi="Times New Roman" w:cs="Times New Roman"/>
            <w:noProof/>
            <w:webHidden/>
            <w:sz w:val="22"/>
            <w:szCs w:val="22"/>
          </w:rPr>
          <w:fldChar w:fldCharType="separate"/>
        </w:r>
        <w:r w:rsidR="006F4BE5">
          <w:rPr>
            <w:rFonts w:ascii="Times New Roman" w:hAnsi="Times New Roman" w:cs="Times New Roman"/>
            <w:noProof/>
            <w:webHidden/>
            <w:sz w:val="22"/>
            <w:szCs w:val="22"/>
          </w:rPr>
          <w:t>57</w:t>
        </w:r>
        <w:r w:rsidR="004C42AB" w:rsidRPr="00C77ABE">
          <w:rPr>
            <w:rFonts w:ascii="Times New Roman" w:hAnsi="Times New Roman" w:cs="Times New Roman"/>
            <w:noProof/>
            <w:webHidden/>
            <w:sz w:val="22"/>
            <w:szCs w:val="22"/>
          </w:rPr>
          <w:fldChar w:fldCharType="end"/>
        </w:r>
      </w:hyperlink>
    </w:p>
    <w:p w14:paraId="52AFCBA8" w14:textId="20BE4503" w:rsidR="004C42AB" w:rsidRPr="00C77ABE" w:rsidRDefault="00F30D99" w:rsidP="008D7BB4">
      <w:pPr>
        <w:pStyle w:val="Tabladeilustraciones"/>
        <w:tabs>
          <w:tab w:val="right" w:leader="dot" w:pos="8828"/>
        </w:tabs>
        <w:spacing w:line="276" w:lineRule="auto"/>
        <w:contextualSpacing/>
        <w:rPr>
          <w:rFonts w:ascii="Times New Roman" w:hAnsi="Times New Roman" w:cs="Times New Roman"/>
          <w:noProof/>
          <w:sz w:val="22"/>
          <w:szCs w:val="22"/>
          <w:lang w:eastAsia="es-GT"/>
        </w:rPr>
      </w:pPr>
      <w:hyperlink w:anchor="_Toc125534818" w:history="1">
        <w:r w:rsidR="004C42AB" w:rsidRPr="00C77ABE">
          <w:rPr>
            <w:rStyle w:val="Hipervnculo"/>
            <w:rFonts w:ascii="Times New Roman" w:hAnsi="Times New Roman"/>
            <w:noProof/>
            <w:sz w:val="22"/>
            <w:szCs w:val="22"/>
          </w:rPr>
          <w:t xml:space="preserve">Tabla 9. </w:t>
        </w:r>
        <w:r w:rsidR="004C42AB" w:rsidRPr="00C77ABE">
          <w:rPr>
            <w:rStyle w:val="Hipervnculo"/>
            <w:rFonts w:ascii="Times New Roman" w:eastAsia="Times New Roman" w:hAnsi="Times New Roman"/>
            <w:noProof/>
            <w:sz w:val="22"/>
            <w:szCs w:val="22"/>
            <w:lang w:val="es-ES_tradnl" w:eastAsia="es-ES"/>
          </w:rPr>
          <w:t>Principales indicadores Macroeconómicos y Fiscales de la región</w:t>
        </w:r>
        <w:r w:rsidR="004C42AB" w:rsidRPr="00C77ABE">
          <w:rPr>
            <w:rFonts w:ascii="Times New Roman" w:hAnsi="Times New Roman" w:cs="Times New Roman"/>
            <w:noProof/>
            <w:webHidden/>
            <w:sz w:val="22"/>
            <w:szCs w:val="22"/>
          </w:rPr>
          <w:tab/>
        </w:r>
        <w:r w:rsidR="004C42AB" w:rsidRPr="00C77ABE">
          <w:rPr>
            <w:rFonts w:ascii="Times New Roman" w:hAnsi="Times New Roman" w:cs="Times New Roman"/>
            <w:noProof/>
            <w:webHidden/>
            <w:sz w:val="22"/>
            <w:szCs w:val="22"/>
          </w:rPr>
          <w:fldChar w:fldCharType="begin"/>
        </w:r>
        <w:r w:rsidR="004C42AB" w:rsidRPr="00C77ABE">
          <w:rPr>
            <w:rFonts w:ascii="Times New Roman" w:hAnsi="Times New Roman" w:cs="Times New Roman"/>
            <w:noProof/>
            <w:webHidden/>
            <w:sz w:val="22"/>
            <w:szCs w:val="22"/>
          </w:rPr>
          <w:instrText xml:space="preserve"> PAGEREF _Toc125534818 \h </w:instrText>
        </w:r>
        <w:r w:rsidR="004C42AB" w:rsidRPr="00C77ABE">
          <w:rPr>
            <w:rFonts w:ascii="Times New Roman" w:hAnsi="Times New Roman" w:cs="Times New Roman"/>
            <w:noProof/>
            <w:webHidden/>
            <w:sz w:val="22"/>
            <w:szCs w:val="22"/>
          </w:rPr>
        </w:r>
        <w:r w:rsidR="004C42AB" w:rsidRPr="00C77ABE">
          <w:rPr>
            <w:rFonts w:ascii="Times New Roman" w:hAnsi="Times New Roman" w:cs="Times New Roman"/>
            <w:noProof/>
            <w:webHidden/>
            <w:sz w:val="22"/>
            <w:szCs w:val="22"/>
          </w:rPr>
          <w:fldChar w:fldCharType="separate"/>
        </w:r>
        <w:r w:rsidR="006F4BE5">
          <w:rPr>
            <w:rFonts w:ascii="Times New Roman" w:hAnsi="Times New Roman" w:cs="Times New Roman"/>
            <w:noProof/>
            <w:webHidden/>
            <w:sz w:val="22"/>
            <w:szCs w:val="22"/>
          </w:rPr>
          <w:t>59</w:t>
        </w:r>
        <w:r w:rsidR="004C42AB" w:rsidRPr="00C77ABE">
          <w:rPr>
            <w:rFonts w:ascii="Times New Roman" w:hAnsi="Times New Roman" w:cs="Times New Roman"/>
            <w:noProof/>
            <w:webHidden/>
            <w:sz w:val="22"/>
            <w:szCs w:val="22"/>
          </w:rPr>
          <w:fldChar w:fldCharType="end"/>
        </w:r>
      </w:hyperlink>
    </w:p>
    <w:p w14:paraId="3D24C19A" w14:textId="0FC7FA7A" w:rsidR="004C42AB" w:rsidRPr="00C77ABE" w:rsidRDefault="00F30D99" w:rsidP="008D7BB4">
      <w:pPr>
        <w:pStyle w:val="Tabladeilustraciones"/>
        <w:tabs>
          <w:tab w:val="right" w:leader="dot" w:pos="8828"/>
        </w:tabs>
        <w:spacing w:line="276" w:lineRule="auto"/>
        <w:contextualSpacing/>
        <w:rPr>
          <w:rFonts w:ascii="Times New Roman" w:hAnsi="Times New Roman" w:cs="Times New Roman"/>
          <w:noProof/>
          <w:sz w:val="22"/>
          <w:szCs w:val="22"/>
          <w:lang w:eastAsia="es-GT"/>
        </w:rPr>
      </w:pPr>
      <w:hyperlink w:anchor="_Toc125534819" w:history="1">
        <w:r w:rsidR="004C42AB" w:rsidRPr="00C77ABE">
          <w:rPr>
            <w:rStyle w:val="Hipervnculo"/>
            <w:rFonts w:ascii="Times New Roman" w:hAnsi="Times New Roman"/>
            <w:noProof/>
            <w:sz w:val="22"/>
            <w:szCs w:val="22"/>
          </w:rPr>
          <w:t>Tabla 10. Estado de operaciones del Gobierno Central Presupuestario</w:t>
        </w:r>
        <w:r w:rsidR="004C42AB" w:rsidRPr="00C77ABE">
          <w:rPr>
            <w:rFonts w:ascii="Times New Roman" w:hAnsi="Times New Roman" w:cs="Times New Roman"/>
            <w:noProof/>
            <w:webHidden/>
            <w:sz w:val="22"/>
            <w:szCs w:val="22"/>
          </w:rPr>
          <w:tab/>
        </w:r>
        <w:r w:rsidR="004C42AB" w:rsidRPr="00C77ABE">
          <w:rPr>
            <w:rFonts w:ascii="Times New Roman" w:hAnsi="Times New Roman" w:cs="Times New Roman"/>
            <w:noProof/>
            <w:webHidden/>
            <w:sz w:val="22"/>
            <w:szCs w:val="22"/>
          </w:rPr>
          <w:fldChar w:fldCharType="begin"/>
        </w:r>
        <w:r w:rsidR="004C42AB" w:rsidRPr="00C77ABE">
          <w:rPr>
            <w:rFonts w:ascii="Times New Roman" w:hAnsi="Times New Roman" w:cs="Times New Roman"/>
            <w:noProof/>
            <w:webHidden/>
            <w:sz w:val="22"/>
            <w:szCs w:val="22"/>
          </w:rPr>
          <w:instrText xml:space="preserve"> PAGEREF _Toc125534819 \h </w:instrText>
        </w:r>
        <w:r w:rsidR="004C42AB" w:rsidRPr="00C77ABE">
          <w:rPr>
            <w:rFonts w:ascii="Times New Roman" w:hAnsi="Times New Roman" w:cs="Times New Roman"/>
            <w:noProof/>
            <w:webHidden/>
            <w:sz w:val="22"/>
            <w:szCs w:val="22"/>
          </w:rPr>
        </w:r>
        <w:r w:rsidR="004C42AB" w:rsidRPr="00C77ABE">
          <w:rPr>
            <w:rFonts w:ascii="Times New Roman" w:hAnsi="Times New Roman" w:cs="Times New Roman"/>
            <w:noProof/>
            <w:webHidden/>
            <w:sz w:val="22"/>
            <w:szCs w:val="22"/>
          </w:rPr>
          <w:fldChar w:fldCharType="separate"/>
        </w:r>
        <w:r w:rsidR="006F4BE5">
          <w:rPr>
            <w:rFonts w:ascii="Times New Roman" w:hAnsi="Times New Roman" w:cs="Times New Roman"/>
            <w:noProof/>
            <w:webHidden/>
            <w:sz w:val="22"/>
            <w:szCs w:val="22"/>
          </w:rPr>
          <w:t>64</w:t>
        </w:r>
        <w:r w:rsidR="004C42AB" w:rsidRPr="00C77ABE">
          <w:rPr>
            <w:rFonts w:ascii="Times New Roman" w:hAnsi="Times New Roman" w:cs="Times New Roman"/>
            <w:noProof/>
            <w:webHidden/>
            <w:sz w:val="22"/>
            <w:szCs w:val="22"/>
          </w:rPr>
          <w:fldChar w:fldCharType="end"/>
        </w:r>
      </w:hyperlink>
    </w:p>
    <w:p w14:paraId="4623F50E" w14:textId="1A9D4FCB" w:rsidR="004C42AB" w:rsidRPr="00C77ABE" w:rsidRDefault="00F30D99" w:rsidP="008D7BB4">
      <w:pPr>
        <w:pStyle w:val="Tabladeilustraciones"/>
        <w:tabs>
          <w:tab w:val="right" w:leader="dot" w:pos="8828"/>
        </w:tabs>
        <w:spacing w:line="276" w:lineRule="auto"/>
        <w:contextualSpacing/>
        <w:rPr>
          <w:rFonts w:ascii="Times New Roman" w:hAnsi="Times New Roman" w:cs="Times New Roman"/>
          <w:noProof/>
          <w:sz w:val="22"/>
          <w:szCs w:val="22"/>
          <w:lang w:eastAsia="es-GT"/>
        </w:rPr>
      </w:pPr>
      <w:hyperlink w:anchor="_Toc125534820" w:history="1">
        <w:r w:rsidR="004C42AB" w:rsidRPr="00C77ABE">
          <w:rPr>
            <w:rStyle w:val="Hipervnculo"/>
            <w:rFonts w:ascii="Times New Roman" w:hAnsi="Times New Roman"/>
            <w:noProof/>
            <w:sz w:val="22"/>
            <w:szCs w:val="22"/>
          </w:rPr>
          <w:t>Tabla 11. Estado de operaciones del Gobierno General Consolidado</w:t>
        </w:r>
        <w:r w:rsidR="004C42AB" w:rsidRPr="00C77ABE">
          <w:rPr>
            <w:rFonts w:ascii="Times New Roman" w:hAnsi="Times New Roman" w:cs="Times New Roman"/>
            <w:noProof/>
            <w:webHidden/>
            <w:sz w:val="22"/>
            <w:szCs w:val="22"/>
          </w:rPr>
          <w:tab/>
        </w:r>
        <w:r w:rsidR="004C42AB" w:rsidRPr="00C77ABE">
          <w:rPr>
            <w:rFonts w:ascii="Times New Roman" w:hAnsi="Times New Roman" w:cs="Times New Roman"/>
            <w:noProof/>
            <w:webHidden/>
            <w:sz w:val="22"/>
            <w:szCs w:val="22"/>
          </w:rPr>
          <w:fldChar w:fldCharType="begin"/>
        </w:r>
        <w:r w:rsidR="004C42AB" w:rsidRPr="00C77ABE">
          <w:rPr>
            <w:rFonts w:ascii="Times New Roman" w:hAnsi="Times New Roman" w:cs="Times New Roman"/>
            <w:noProof/>
            <w:webHidden/>
            <w:sz w:val="22"/>
            <w:szCs w:val="22"/>
          </w:rPr>
          <w:instrText xml:space="preserve"> PAGEREF _Toc125534820 \h </w:instrText>
        </w:r>
        <w:r w:rsidR="004C42AB" w:rsidRPr="00C77ABE">
          <w:rPr>
            <w:rFonts w:ascii="Times New Roman" w:hAnsi="Times New Roman" w:cs="Times New Roman"/>
            <w:noProof/>
            <w:webHidden/>
            <w:sz w:val="22"/>
            <w:szCs w:val="22"/>
          </w:rPr>
        </w:r>
        <w:r w:rsidR="004C42AB" w:rsidRPr="00C77ABE">
          <w:rPr>
            <w:rFonts w:ascii="Times New Roman" w:hAnsi="Times New Roman" w:cs="Times New Roman"/>
            <w:noProof/>
            <w:webHidden/>
            <w:sz w:val="22"/>
            <w:szCs w:val="22"/>
          </w:rPr>
          <w:fldChar w:fldCharType="separate"/>
        </w:r>
        <w:r w:rsidR="006F4BE5">
          <w:rPr>
            <w:rFonts w:ascii="Times New Roman" w:hAnsi="Times New Roman" w:cs="Times New Roman"/>
            <w:noProof/>
            <w:webHidden/>
            <w:sz w:val="22"/>
            <w:szCs w:val="22"/>
          </w:rPr>
          <w:t>67</w:t>
        </w:r>
        <w:r w:rsidR="004C42AB" w:rsidRPr="00C77ABE">
          <w:rPr>
            <w:rFonts w:ascii="Times New Roman" w:hAnsi="Times New Roman" w:cs="Times New Roman"/>
            <w:noProof/>
            <w:webHidden/>
            <w:sz w:val="22"/>
            <w:szCs w:val="22"/>
          </w:rPr>
          <w:fldChar w:fldCharType="end"/>
        </w:r>
      </w:hyperlink>
    </w:p>
    <w:p w14:paraId="6C7CF832" w14:textId="5EAA92C7" w:rsidR="004C42AB" w:rsidRPr="00C77ABE" w:rsidRDefault="00F30D99" w:rsidP="008D7BB4">
      <w:pPr>
        <w:pStyle w:val="Tabladeilustraciones"/>
        <w:tabs>
          <w:tab w:val="right" w:leader="dot" w:pos="8828"/>
        </w:tabs>
        <w:spacing w:line="276" w:lineRule="auto"/>
        <w:contextualSpacing/>
        <w:rPr>
          <w:rFonts w:ascii="Times New Roman" w:hAnsi="Times New Roman" w:cs="Times New Roman"/>
          <w:noProof/>
          <w:sz w:val="22"/>
          <w:szCs w:val="22"/>
          <w:lang w:eastAsia="es-GT"/>
        </w:rPr>
      </w:pPr>
      <w:hyperlink w:anchor="_Toc125534821" w:history="1">
        <w:r w:rsidR="004C42AB" w:rsidRPr="00C77ABE">
          <w:rPr>
            <w:rStyle w:val="Hipervnculo"/>
            <w:rFonts w:ascii="Times New Roman" w:hAnsi="Times New Roman"/>
            <w:noProof/>
            <w:sz w:val="22"/>
            <w:szCs w:val="22"/>
          </w:rPr>
          <w:t>Tabla 12. Estado de operaciones del Sector Público No Financiero</w:t>
        </w:r>
        <w:r w:rsidR="004C42AB" w:rsidRPr="00C77ABE">
          <w:rPr>
            <w:rFonts w:ascii="Times New Roman" w:hAnsi="Times New Roman" w:cs="Times New Roman"/>
            <w:noProof/>
            <w:webHidden/>
            <w:sz w:val="22"/>
            <w:szCs w:val="22"/>
          </w:rPr>
          <w:tab/>
        </w:r>
        <w:r w:rsidR="004C42AB" w:rsidRPr="00C77ABE">
          <w:rPr>
            <w:rFonts w:ascii="Times New Roman" w:hAnsi="Times New Roman" w:cs="Times New Roman"/>
            <w:noProof/>
            <w:webHidden/>
            <w:sz w:val="22"/>
            <w:szCs w:val="22"/>
          </w:rPr>
          <w:fldChar w:fldCharType="begin"/>
        </w:r>
        <w:r w:rsidR="004C42AB" w:rsidRPr="00C77ABE">
          <w:rPr>
            <w:rFonts w:ascii="Times New Roman" w:hAnsi="Times New Roman" w:cs="Times New Roman"/>
            <w:noProof/>
            <w:webHidden/>
            <w:sz w:val="22"/>
            <w:szCs w:val="22"/>
          </w:rPr>
          <w:instrText xml:space="preserve"> PAGEREF _Toc125534821 \h </w:instrText>
        </w:r>
        <w:r w:rsidR="004C42AB" w:rsidRPr="00C77ABE">
          <w:rPr>
            <w:rFonts w:ascii="Times New Roman" w:hAnsi="Times New Roman" w:cs="Times New Roman"/>
            <w:noProof/>
            <w:webHidden/>
            <w:sz w:val="22"/>
            <w:szCs w:val="22"/>
          </w:rPr>
        </w:r>
        <w:r w:rsidR="004C42AB" w:rsidRPr="00C77ABE">
          <w:rPr>
            <w:rFonts w:ascii="Times New Roman" w:hAnsi="Times New Roman" w:cs="Times New Roman"/>
            <w:noProof/>
            <w:webHidden/>
            <w:sz w:val="22"/>
            <w:szCs w:val="22"/>
          </w:rPr>
          <w:fldChar w:fldCharType="separate"/>
        </w:r>
        <w:r w:rsidR="006F4BE5">
          <w:rPr>
            <w:rFonts w:ascii="Times New Roman" w:hAnsi="Times New Roman" w:cs="Times New Roman"/>
            <w:noProof/>
            <w:webHidden/>
            <w:sz w:val="22"/>
            <w:szCs w:val="22"/>
          </w:rPr>
          <w:t>69</w:t>
        </w:r>
        <w:r w:rsidR="004C42AB" w:rsidRPr="00C77ABE">
          <w:rPr>
            <w:rFonts w:ascii="Times New Roman" w:hAnsi="Times New Roman" w:cs="Times New Roman"/>
            <w:noProof/>
            <w:webHidden/>
            <w:sz w:val="22"/>
            <w:szCs w:val="22"/>
          </w:rPr>
          <w:fldChar w:fldCharType="end"/>
        </w:r>
      </w:hyperlink>
    </w:p>
    <w:p w14:paraId="53DDB819" w14:textId="114A7567" w:rsidR="0038017B" w:rsidRPr="00DD448F" w:rsidRDefault="0038017B" w:rsidP="008D7BB4">
      <w:pPr>
        <w:spacing w:line="276" w:lineRule="auto"/>
        <w:contextualSpacing/>
        <w:jc w:val="center"/>
        <w:rPr>
          <w:rFonts w:ascii="Times New Roman" w:eastAsia="Times New Roman" w:hAnsi="Times New Roman" w:cs="Times New Roman"/>
          <w:sz w:val="22"/>
          <w:szCs w:val="22"/>
        </w:rPr>
      </w:pPr>
      <w:r w:rsidRPr="00DD448F">
        <w:rPr>
          <w:rFonts w:ascii="Times New Roman" w:eastAsia="Times New Roman" w:hAnsi="Times New Roman" w:cs="Times New Roman"/>
          <w:sz w:val="22"/>
          <w:szCs w:val="22"/>
        </w:rPr>
        <w:fldChar w:fldCharType="end"/>
      </w:r>
    </w:p>
    <w:p w14:paraId="5C85E107" w14:textId="06B99AF7" w:rsidR="00FD0AB7" w:rsidRDefault="00FD0AB7" w:rsidP="008D7BB4">
      <w:pPr>
        <w:spacing w:line="276" w:lineRule="auto"/>
        <w:contextualSpacing/>
        <w:rPr>
          <w:rFonts w:ascii="Times New Roman" w:eastAsia="Times New Roman" w:hAnsi="Times New Roman" w:cs="Times New Roman"/>
          <w:b/>
          <w:bCs/>
          <w:sz w:val="22"/>
          <w:szCs w:val="22"/>
        </w:rPr>
        <w:sectPr w:rsidR="00FD0AB7" w:rsidSect="0045177A">
          <w:headerReference w:type="default" r:id="rId8"/>
          <w:footerReference w:type="default" r:id="rId9"/>
          <w:pgSz w:w="12240" w:h="15840"/>
          <w:pgMar w:top="2189" w:right="1701" w:bottom="1417" w:left="1701" w:header="708" w:footer="708" w:gutter="0"/>
          <w:pgNumType w:start="1"/>
          <w:cols w:space="708"/>
          <w:docGrid w:linePitch="360"/>
        </w:sectPr>
      </w:pPr>
    </w:p>
    <w:p w14:paraId="35BFABED" w14:textId="1A6EC9E4" w:rsidR="004A66F0" w:rsidRPr="001F7A6E" w:rsidRDefault="004A66F0" w:rsidP="008D7BB4">
      <w:pPr>
        <w:pStyle w:val="Ttulo1"/>
        <w:spacing w:line="276" w:lineRule="auto"/>
        <w:contextualSpacing/>
        <w:jc w:val="center"/>
        <w:rPr>
          <w:rFonts w:ascii="Times New Roman" w:eastAsia="Times New Roman" w:hAnsi="Times New Roman"/>
          <w:b/>
          <w:bCs/>
          <w:color w:val="auto"/>
          <w:sz w:val="24"/>
          <w:szCs w:val="24"/>
        </w:rPr>
      </w:pPr>
      <w:bookmarkStart w:id="0" w:name="_Toc125723274"/>
      <w:r w:rsidRPr="001F7A6E">
        <w:rPr>
          <w:rFonts w:ascii="Times New Roman" w:eastAsia="Times New Roman" w:hAnsi="Times New Roman"/>
          <w:b/>
          <w:bCs/>
          <w:color w:val="auto"/>
          <w:sz w:val="24"/>
          <w:szCs w:val="24"/>
        </w:rPr>
        <w:lastRenderedPageBreak/>
        <w:t>Introducción</w:t>
      </w:r>
      <w:bookmarkEnd w:id="0"/>
    </w:p>
    <w:p w14:paraId="15337599" w14:textId="77777777" w:rsidR="004A66F0" w:rsidRPr="004A66F0" w:rsidRDefault="004A66F0" w:rsidP="008D7BB4">
      <w:pPr>
        <w:spacing w:line="276" w:lineRule="auto"/>
        <w:contextualSpacing/>
        <w:rPr>
          <w:rFonts w:ascii="Arial" w:eastAsia="Times New Roman" w:hAnsi="Arial" w:cs="Arial"/>
          <w:sz w:val="22"/>
          <w:szCs w:val="22"/>
        </w:rPr>
      </w:pPr>
    </w:p>
    <w:p w14:paraId="13F7B748" w14:textId="52D0CC67" w:rsidR="005543F9" w:rsidRPr="004A66F0" w:rsidRDefault="005543F9" w:rsidP="005543F9">
      <w:pPr>
        <w:spacing w:line="276" w:lineRule="auto"/>
        <w:contextualSpacing/>
        <w:jc w:val="both"/>
        <w:rPr>
          <w:rFonts w:ascii="Times New Roman" w:eastAsiaTheme="majorEastAsia" w:hAnsi="Times New Roman" w:cs="Times New Roman"/>
          <w:bCs/>
          <w:sz w:val="22"/>
          <w:szCs w:val="22"/>
        </w:rPr>
      </w:pPr>
      <w:r w:rsidRPr="004A66F0">
        <w:rPr>
          <w:rFonts w:ascii="Times New Roman" w:eastAsiaTheme="majorEastAsia" w:hAnsi="Times New Roman" w:cs="Times New Roman"/>
          <w:bCs/>
          <w:sz w:val="22"/>
          <w:szCs w:val="22"/>
        </w:rPr>
        <w:t>El entorno internacional en 2022, estuvo determinado principalmente por un factor geopolítico importante, siendo este la guerra entre Rusia y Ucrania que inici</w:t>
      </w:r>
      <w:r>
        <w:rPr>
          <w:rFonts w:ascii="Times New Roman" w:eastAsiaTheme="majorEastAsia" w:hAnsi="Times New Roman" w:cs="Times New Roman"/>
          <w:bCs/>
          <w:sz w:val="22"/>
          <w:szCs w:val="22"/>
        </w:rPr>
        <w:t>ó</w:t>
      </w:r>
      <w:r w:rsidRPr="004A66F0">
        <w:rPr>
          <w:rFonts w:ascii="Times New Roman" w:eastAsiaTheme="majorEastAsia" w:hAnsi="Times New Roman" w:cs="Times New Roman"/>
          <w:bCs/>
          <w:sz w:val="22"/>
          <w:szCs w:val="22"/>
        </w:rPr>
        <w:t xml:space="preserve"> en febrero y que se mantu</w:t>
      </w:r>
      <w:r w:rsidR="00F410B2">
        <w:rPr>
          <w:rFonts w:ascii="Times New Roman" w:eastAsiaTheme="majorEastAsia" w:hAnsi="Times New Roman" w:cs="Times New Roman"/>
          <w:bCs/>
          <w:sz w:val="22"/>
          <w:szCs w:val="22"/>
        </w:rPr>
        <w:t>v</w:t>
      </w:r>
      <w:r w:rsidRPr="004A66F0">
        <w:rPr>
          <w:rFonts w:ascii="Times New Roman" w:eastAsiaTheme="majorEastAsia" w:hAnsi="Times New Roman" w:cs="Times New Roman"/>
          <w:bCs/>
          <w:sz w:val="22"/>
          <w:szCs w:val="22"/>
        </w:rPr>
        <w:t>o a lo largo del año, esto generó una serie de distorsiones en los mercados internacionales de valores y de mercancías</w:t>
      </w:r>
      <w:r>
        <w:rPr>
          <w:rFonts w:ascii="Times New Roman" w:eastAsiaTheme="majorEastAsia" w:hAnsi="Times New Roman" w:cs="Times New Roman"/>
          <w:bCs/>
          <w:sz w:val="22"/>
          <w:szCs w:val="22"/>
        </w:rPr>
        <w:t>,</w:t>
      </w:r>
      <w:r w:rsidRPr="004A66F0">
        <w:rPr>
          <w:rFonts w:ascii="Times New Roman" w:eastAsiaTheme="majorEastAsia" w:hAnsi="Times New Roman" w:cs="Times New Roman"/>
          <w:bCs/>
          <w:sz w:val="22"/>
          <w:szCs w:val="22"/>
        </w:rPr>
        <w:t xml:space="preserve"> principalmente, creando una fuerte volatilidad en las materias primas y alimentos, destacando en este caso el precio internacional del petróleo y sus derivados que aumentaron de manera inmediata y se mantuvo alto en la mayor parte del año. Esta situación generó distorsiones en la economía mundial, aunado a las secuelas del COVID-19 por la disrupción en la cadena de suministros que tuvo un impacto en el desabastecimiento de mercancías y en el alza de precios de los</w:t>
      </w:r>
      <w:r w:rsidRPr="008D7BB4">
        <w:rPr>
          <w:rFonts w:ascii="Times New Roman" w:eastAsiaTheme="majorEastAsia" w:hAnsi="Times New Roman" w:cs="Times New Roman"/>
          <w:bCs/>
          <w:i/>
          <w:iCs/>
          <w:sz w:val="22"/>
          <w:szCs w:val="22"/>
        </w:rPr>
        <w:t xml:space="preserve"> commodities</w:t>
      </w:r>
      <w:r w:rsidRPr="004A66F0">
        <w:rPr>
          <w:rFonts w:ascii="Times New Roman" w:eastAsiaTheme="majorEastAsia" w:hAnsi="Times New Roman" w:cs="Times New Roman"/>
          <w:bCs/>
          <w:sz w:val="22"/>
          <w:szCs w:val="22"/>
        </w:rPr>
        <w:t xml:space="preserve">. Entre ambos efectos produjeron un aumento importante en el nivel de inflación en prácticamente todos los países del mundo, que hizo necesario el endurecimiento de la política monetaria mediante el aumento en las tasas de interés de política y algunas otras medidas de control monetario que, si bien permiten contener en cierta forma las presiones inflacionarias, tiene como efecto colateral la desaceleración de la demanda agregada, propiciando niveles de crecimiento por debajo de lo previsto, tal y como se observó en las previsiones de los organismos internacionales como el FMI, Banco Mundial, CEPAL, entre otros.  </w:t>
      </w:r>
    </w:p>
    <w:p w14:paraId="213EF616" w14:textId="77777777" w:rsidR="005543F9" w:rsidRPr="004A66F0" w:rsidRDefault="005543F9" w:rsidP="005543F9">
      <w:pPr>
        <w:spacing w:line="276" w:lineRule="auto"/>
        <w:contextualSpacing/>
        <w:jc w:val="both"/>
        <w:rPr>
          <w:rFonts w:ascii="Times New Roman" w:eastAsiaTheme="majorEastAsia" w:hAnsi="Times New Roman" w:cs="Times New Roman"/>
          <w:bCs/>
          <w:sz w:val="22"/>
          <w:szCs w:val="22"/>
        </w:rPr>
      </w:pPr>
    </w:p>
    <w:p w14:paraId="077374ED" w14:textId="77777777" w:rsidR="005543F9" w:rsidRPr="004A66F0" w:rsidRDefault="005543F9" w:rsidP="005543F9">
      <w:pPr>
        <w:spacing w:line="276" w:lineRule="auto"/>
        <w:contextualSpacing/>
        <w:jc w:val="both"/>
        <w:rPr>
          <w:rFonts w:ascii="Times New Roman" w:eastAsiaTheme="majorEastAsia" w:hAnsi="Times New Roman" w:cs="Times New Roman"/>
          <w:bCs/>
          <w:sz w:val="22"/>
          <w:szCs w:val="22"/>
        </w:rPr>
      </w:pPr>
      <w:r w:rsidRPr="004A66F0">
        <w:rPr>
          <w:rFonts w:ascii="Times New Roman" w:eastAsiaTheme="majorEastAsia" w:hAnsi="Times New Roman" w:cs="Times New Roman"/>
          <w:bCs/>
          <w:sz w:val="22"/>
          <w:szCs w:val="22"/>
        </w:rPr>
        <w:t>Por su parte, la actividad económica nacional, en 2022, mostró una desaceleración con respecto a lo observado en 2021, llegando a un proceso de normalización después de la crisis económica que provocaron las medidas para contener el avance de la pandemia del COVID-19, así como el efecto de transmisión de la contracción económica mundial, particularmente de los principales socios comerciales.  De esa cuenta, el crecimiento económico en el país, pasó de una contracción de -1.8% en 2020, a un crecimiento dinámico en 2021 de 8.0%, producto de la reactivación económica, y para 2022</w:t>
      </w:r>
      <w:r>
        <w:rPr>
          <w:rFonts w:ascii="Times New Roman" w:eastAsiaTheme="majorEastAsia" w:hAnsi="Times New Roman" w:cs="Times New Roman"/>
          <w:bCs/>
          <w:sz w:val="22"/>
          <w:szCs w:val="22"/>
        </w:rPr>
        <w:t>,</w:t>
      </w:r>
      <w:r w:rsidRPr="004A66F0">
        <w:rPr>
          <w:rFonts w:ascii="Times New Roman" w:eastAsiaTheme="majorEastAsia" w:hAnsi="Times New Roman" w:cs="Times New Roman"/>
          <w:bCs/>
          <w:sz w:val="22"/>
          <w:szCs w:val="22"/>
        </w:rPr>
        <w:t xml:space="preserve"> dado el retorno a la normalización, se experimentó una desaceleración en el crecimiento, situándolo en 4.0%, aunque dicho nivel se encuentra aún por arriba de su nivel potencial que es de 3.5%.</w:t>
      </w:r>
    </w:p>
    <w:p w14:paraId="73594DC9" w14:textId="77777777" w:rsidR="005543F9" w:rsidRPr="004A66F0" w:rsidRDefault="005543F9" w:rsidP="005543F9">
      <w:pPr>
        <w:spacing w:line="276" w:lineRule="auto"/>
        <w:contextualSpacing/>
        <w:jc w:val="both"/>
        <w:rPr>
          <w:rFonts w:ascii="Times New Roman" w:eastAsiaTheme="majorEastAsia" w:hAnsi="Times New Roman" w:cs="Times New Roman"/>
          <w:bCs/>
          <w:sz w:val="22"/>
          <w:szCs w:val="22"/>
        </w:rPr>
      </w:pPr>
    </w:p>
    <w:p w14:paraId="4409FFDF" w14:textId="77777777" w:rsidR="005543F9" w:rsidRPr="004A66F0" w:rsidRDefault="005543F9" w:rsidP="005543F9">
      <w:pPr>
        <w:spacing w:line="276" w:lineRule="auto"/>
        <w:contextualSpacing/>
        <w:jc w:val="both"/>
        <w:rPr>
          <w:rFonts w:ascii="Times New Roman" w:eastAsiaTheme="majorEastAsia" w:hAnsi="Times New Roman" w:cs="Times New Roman"/>
          <w:bCs/>
          <w:sz w:val="22"/>
          <w:szCs w:val="22"/>
        </w:rPr>
      </w:pPr>
      <w:bookmarkStart w:id="1" w:name="_Hlk125366807"/>
      <w:r w:rsidRPr="004A66F0">
        <w:rPr>
          <w:rFonts w:ascii="Times New Roman" w:eastAsiaTheme="majorEastAsia" w:hAnsi="Times New Roman" w:cs="Times New Roman"/>
          <w:bCs/>
          <w:sz w:val="22"/>
          <w:szCs w:val="22"/>
        </w:rPr>
        <w:t>Cabe destacar el importante papel, que ha tenido la política fiscal, en la dinámica del ciclo económico y el de suavizar el impacto en el movimiento de dicho ciclo, ya que entre los años 2020-2022 la política fiscal ha sido claramente contra cíclica, además, la gestión de las finanzas públicas continúa destacándose por su manejo prudente y el fortalecimiento de la sostenibilidad de la deuda a mediano y largo plazo. Tanto el Fondo Monetario Internacional como las calificadoras de riesgo han afirmado que Guatemala muestra una buena prudencia financiera y se encuentra en una situación manejable y consistente con estabilidad macroeconómica.</w:t>
      </w:r>
    </w:p>
    <w:bookmarkEnd w:id="1"/>
    <w:p w14:paraId="4EA9DE8F" w14:textId="77777777" w:rsidR="005543F9" w:rsidRPr="004A66F0" w:rsidRDefault="005543F9" w:rsidP="005543F9">
      <w:pPr>
        <w:spacing w:line="276" w:lineRule="auto"/>
        <w:contextualSpacing/>
        <w:jc w:val="both"/>
        <w:rPr>
          <w:rFonts w:ascii="Times New Roman" w:eastAsiaTheme="majorEastAsia" w:hAnsi="Times New Roman" w:cs="Times New Roman"/>
          <w:bCs/>
          <w:sz w:val="22"/>
          <w:szCs w:val="22"/>
        </w:rPr>
      </w:pPr>
    </w:p>
    <w:p w14:paraId="65CBF7E7" w14:textId="77777777" w:rsidR="005543F9" w:rsidRDefault="005543F9" w:rsidP="005543F9">
      <w:pPr>
        <w:spacing w:line="276" w:lineRule="auto"/>
        <w:contextualSpacing/>
        <w:jc w:val="both"/>
        <w:rPr>
          <w:rFonts w:ascii="Times New Roman" w:eastAsiaTheme="majorEastAsia" w:hAnsi="Times New Roman" w:cs="Times New Roman"/>
          <w:bCs/>
          <w:sz w:val="22"/>
          <w:szCs w:val="22"/>
        </w:rPr>
      </w:pPr>
      <w:r w:rsidRPr="004A66F0">
        <w:rPr>
          <w:rFonts w:ascii="Times New Roman" w:eastAsiaTheme="majorEastAsia" w:hAnsi="Times New Roman" w:cs="Times New Roman"/>
          <w:bCs/>
          <w:sz w:val="22"/>
          <w:szCs w:val="22"/>
        </w:rPr>
        <w:t xml:space="preserve">En este sentido, merece especial atención el desempeño que mostró la recaudación tributaria en 2022, la cual registró nuevamente un aumento importante, situando la carga tributaria en 12.1%, nivel sin precedentes en la historia económica del país.  La meta de recaudación tributaria estaba en el orden de los Q76,315.0 millones, la cual fue superada en Q12,259.1 millones, equivalente a un incremento de 13.5%, que se explica por la evolución de la actividad económica nacional, el incremento de los </w:t>
      </w:r>
      <w:r w:rsidRPr="004A66F0">
        <w:rPr>
          <w:rFonts w:ascii="Times New Roman" w:eastAsiaTheme="majorEastAsia" w:hAnsi="Times New Roman" w:cs="Times New Roman"/>
          <w:bCs/>
          <w:sz w:val="22"/>
          <w:szCs w:val="22"/>
        </w:rPr>
        <w:lastRenderedPageBreak/>
        <w:t xml:space="preserve">precios internacionales del petróleo que permitieron un mayor valor en las importaciones y por </w:t>
      </w:r>
      <w:r>
        <w:rPr>
          <w:rFonts w:ascii="Times New Roman" w:eastAsiaTheme="majorEastAsia" w:hAnsi="Times New Roman" w:cs="Times New Roman"/>
          <w:bCs/>
          <w:sz w:val="22"/>
          <w:szCs w:val="22"/>
        </w:rPr>
        <w:t xml:space="preserve">una adecuada gestión en </w:t>
      </w:r>
      <w:r w:rsidRPr="004A66F0">
        <w:rPr>
          <w:rFonts w:ascii="Times New Roman" w:eastAsiaTheme="majorEastAsia" w:hAnsi="Times New Roman" w:cs="Times New Roman"/>
          <w:bCs/>
          <w:sz w:val="22"/>
          <w:szCs w:val="22"/>
        </w:rPr>
        <w:t xml:space="preserve">la Superintendencia de Administración Tributaria -SAT-;  cuyos esfuerzos estuvieron orientados a la reducción de la evasión fiscal en los impuestos internos, el combate de la defraudación aduanera y el aumento en la percepción de riesgo de los contribuyentes.   </w:t>
      </w:r>
    </w:p>
    <w:p w14:paraId="5CF23E98" w14:textId="77777777" w:rsidR="005543F9" w:rsidRDefault="005543F9" w:rsidP="005543F9">
      <w:pPr>
        <w:spacing w:line="276" w:lineRule="auto"/>
        <w:contextualSpacing/>
        <w:jc w:val="both"/>
        <w:rPr>
          <w:rFonts w:ascii="Times New Roman" w:eastAsiaTheme="majorEastAsia" w:hAnsi="Times New Roman" w:cs="Times New Roman"/>
          <w:bCs/>
          <w:sz w:val="22"/>
          <w:szCs w:val="22"/>
        </w:rPr>
      </w:pPr>
    </w:p>
    <w:p w14:paraId="545839B7" w14:textId="77777777" w:rsidR="005543F9" w:rsidRPr="004A66F0" w:rsidRDefault="005543F9" w:rsidP="005543F9">
      <w:pPr>
        <w:spacing w:line="276" w:lineRule="auto"/>
        <w:contextualSpacing/>
        <w:jc w:val="both"/>
        <w:rPr>
          <w:rFonts w:ascii="Times New Roman" w:eastAsiaTheme="majorEastAsia" w:hAnsi="Times New Roman" w:cs="Times New Roman"/>
          <w:bCs/>
          <w:sz w:val="22"/>
          <w:szCs w:val="22"/>
        </w:rPr>
      </w:pPr>
      <w:r w:rsidRPr="004A66F0">
        <w:rPr>
          <w:rFonts w:ascii="Times New Roman" w:eastAsiaTheme="majorEastAsia" w:hAnsi="Times New Roman" w:cs="Times New Roman"/>
          <w:bCs/>
          <w:sz w:val="22"/>
          <w:szCs w:val="22"/>
        </w:rPr>
        <w:t>El gasto público, por su parte, a diferencia de los dos últimos años contó con un presupuesto propio aprobado por el Congreso de la República, facilitando con ello la ejecución de los diferentes programas y proyectos institucionales.  Asimismo, derivado del alza en los precios de los combustibles, los diferentes estados de calamidad por fenómenos naturales</w:t>
      </w:r>
      <w:r>
        <w:rPr>
          <w:rFonts w:ascii="Times New Roman" w:eastAsiaTheme="majorEastAsia" w:hAnsi="Times New Roman" w:cs="Times New Roman"/>
          <w:bCs/>
          <w:sz w:val="22"/>
          <w:szCs w:val="22"/>
        </w:rPr>
        <w:t>,</w:t>
      </w:r>
      <w:r w:rsidRPr="004A66F0">
        <w:rPr>
          <w:rFonts w:ascii="Times New Roman" w:eastAsiaTheme="majorEastAsia" w:hAnsi="Times New Roman" w:cs="Times New Roman"/>
          <w:bCs/>
          <w:sz w:val="22"/>
          <w:szCs w:val="22"/>
        </w:rPr>
        <w:t xml:space="preserve"> incluyendo el gasto asociado para atender el COVID-19, el apoyo a la inversión pública mediante el aumento de gasto a la infraestructura vial para la reactivación económica y los compromisos derivados por arbitrajes internacionales (caso Teco), hizo que la ejecución se dinamizará en este año para atender estos gastos que podrían considerarse como no recurrentes pero importantes para apoyar a las familias y a la actividad económica en su conjunto, sin descuidar los otros compromisos ordinarios del Estado, incluyendo las obligaciones constitucionales y decretadas por leyes específicas, así como las que corresponden al pago de deuda pública, la nómina estatal, pensiones y otros compromisos derivados de las diferentes actividades que realizan las entidades del organismo ejecutivo.   </w:t>
      </w:r>
    </w:p>
    <w:p w14:paraId="57AAFBEB" w14:textId="77777777" w:rsidR="005543F9" w:rsidRPr="004A66F0" w:rsidRDefault="005543F9" w:rsidP="005543F9">
      <w:pPr>
        <w:spacing w:line="276" w:lineRule="auto"/>
        <w:contextualSpacing/>
        <w:jc w:val="both"/>
        <w:rPr>
          <w:rFonts w:ascii="Times New Roman" w:eastAsiaTheme="majorEastAsia" w:hAnsi="Times New Roman" w:cs="Times New Roman"/>
          <w:bCs/>
          <w:sz w:val="22"/>
          <w:szCs w:val="22"/>
        </w:rPr>
      </w:pPr>
    </w:p>
    <w:p w14:paraId="558F496D" w14:textId="3FAE6545" w:rsidR="005543F9" w:rsidRPr="004A66F0" w:rsidRDefault="005543F9" w:rsidP="005543F9">
      <w:pPr>
        <w:spacing w:line="276" w:lineRule="auto"/>
        <w:contextualSpacing/>
        <w:jc w:val="both"/>
        <w:rPr>
          <w:rFonts w:ascii="Times New Roman" w:eastAsiaTheme="majorEastAsia" w:hAnsi="Times New Roman" w:cs="Times New Roman"/>
          <w:bCs/>
          <w:sz w:val="22"/>
          <w:szCs w:val="22"/>
          <w:lang w:val="es-ES_tradnl" w:eastAsia="es-ES"/>
        </w:rPr>
      </w:pPr>
      <w:r w:rsidRPr="004A66F0">
        <w:rPr>
          <w:rFonts w:ascii="Times New Roman" w:eastAsiaTheme="majorEastAsia" w:hAnsi="Times New Roman" w:cs="Times New Roman"/>
          <w:bCs/>
          <w:sz w:val="22"/>
          <w:szCs w:val="22"/>
          <w:lang w:val="es-ES_tradnl" w:eastAsia="es-ES"/>
        </w:rPr>
        <w:t>En síntesis para 2022, derivado del buen desempeño de la recaudación tributaria, la ejecución prudente y racional del gasto público</w:t>
      </w:r>
      <w:r>
        <w:rPr>
          <w:rFonts w:ascii="Times New Roman" w:eastAsiaTheme="majorEastAsia" w:hAnsi="Times New Roman" w:cs="Times New Roman"/>
          <w:bCs/>
          <w:sz w:val="22"/>
          <w:szCs w:val="22"/>
          <w:lang w:val="es-ES_tradnl" w:eastAsia="es-ES"/>
        </w:rPr>
        <w:t>,</w:t>
      </w:r>
      <w:r w:rsidRPr="004A66F0">
        <w:rPr>
          <w:rFonts w:ascii="Times New Roman" w:eastAsiaTheme="majorEastAsia" w:hAnsi="Times New Roman" w:cs="Times New Roman"/>
          <w:bCs/>
          <w:sz w:val="22"/>
          <w:szCs w:val="22"/>
          <w:lang w:val="es-ES_tradnl" w:eastAsia="es-ES"/>
        </w:rPr>
        <w:t xml:space="preserve"> que alcanzó un nivel de 96.</w:t>
      </w:r>
      <w:r w:rsidR="00ED1458">
        <w:rPr>
          <w:rFonts w:ascii="Times New Roman" w:eastAsiaTheme="majorEastAsia" w:hAnsi="Times New Roman" w:cs="Times New Roman"/>
          <w:bCs/>
          <w:sz w:val="22"/>
          <w:szCs w:val="22"/>
          <w:lang w:val="es-ES_tradnl" w:eastAsia="es-ES"/>
        </w:rPr>
        <w:t>2</w:t>
      </w:r>
      <w:r w:rsidRPr="004A66F0">
        <w:rPr>
          <w:rFonts w:ascii="Times New Roman" w:eastAsiaTheme="majorEastAsia" w:hAnsi="Times New Roman" w:cs="Times New Roman"/>
          <w:bCs/>
          <w:sz w:val="22"/>
          <w:szCs w:val="22"/>
          <w:lang w:val="es-ES_tradnl" w:eastAsia="es-ES"/>
        </w:rPr>
        <w:t>% con respecto al presupuesto vigente, condujo a que el déficit fiscal del gobierno se situara en torno al 1.7% del PIB, el cual fue financiado principalmente por la colocación de títulos en el mercado nacional e internacional y con los depósitos del gobierno en el Banco Guatemala, propiciando con ello una reducción, en términos del PIB, del endeudamiento público pasando de 30.8% en 2021 a 29.3% en 2022, garantizando con ello el buen manejo de las finanzas públicas y la sostenibilidad de la deuda en el mediano y largo plazo.</w:t>
      </w:r>
    </w:p>
    <w:p w14:paraId="7500B961" w14:textId="77777777" w:rsidR="005543F9" w:rsidRPr="004A66F0" w:rsidRDefault="005543F9" w:rsidP="005543F9">
      <w:pPr>
        <w:spacing w:line="276" w:lineRule="auto"/>
        <w:contextualSpacing/>
        <w:jc w:val="both"/>
        <w:rPr>
          <w:rFonts w:ascii="Times New Roman" w:eastAsiaTheme="majorEastAsia" w:hAnsi="Times New Roman" w:cs="Times New Roman"/>
          <w:bCs/>
          <w:sz w:val="22"/>
          <w:szCs w:val="22"/>
          <w:lang w:val="es-ES_tradnl" w:eastAsia="es-ES"/>
        </w:rPr>
      </w:pPr>
    </w:p>
    <w:p w14:paraId="37D4B5D3" w14:textId="77777777" w:rsidR="005543F9" w:rsidRPr="004A66F0" w:rsidRDefault="005543F9" w:rsidP="005543F9">
      <w:pPr>
        <w:spacing w:line="276" w:lineRule="auto"/>
        <w:contextualSpacing/>
        <w:jc w:val="both"/>
        <w:rPr>
          <w:rFonts w:ascii="Times New Roman" w:eastAsiaTheme="majorEastAsia" w:hAnsi="Times New Roman" w:cs="Times New Roman"/>
          <w:bCs/>
          <w:sz w:val="22"/>
          <w:szCs w:val="22"/>
          <w:lang w:val="es-ES_tradnl" w:eastAsia="es-ES"/>
        </w:rPr>
      </w:pPr>
      <w:r w:rsidRPr="004A66F0">
        <w:rPr>
          <w:rFonts w:ascii="Times New Roman" w:eastAsiaTheme="majorEastAsia" w:hAnsi="Times New Roman" w:cs="Times New Roman"/>
          <w:bCs/>
          <w:sz w:val="22"/>
          <w:szCs w:val="22"/>
          <w:lang w:val="es-ES_tradnl" w:eastAsia="es-ES"/>
        </w:rPr>
        <w:t>Por último, las perspectivas fiscales para 2023, descansan en el Presupuesto General de Ingresos y Egresos del Estado que fue aprobado por el Congreso de la República, por lo que los resultados que podrían obtenerse son producto del consenso político y social.</w:t>
      </w:r>
    </w:p>
    <w:p w14:paraId="76503598" w14:textId="77777777" w:rsidR="005543F9" w:rsidRPr="004A66F0" w:rsidRDefault="005543F9" w:rsidP="005543F9">
      <w:pPr>
        <w:spacing w:line="276" w:lineRule="auto"/>
        <w:contextualSpacing/>
        <w:jc w:val="both"/>
        <w:rPr>
          <w:rFonts w:ascii="Times New Roman" w:eastAsiaTheme="majorEastAsia" w:hAnsi="Times New Roman" w:cs="Times New Roman"/>
          <w:bCs/>
          <w:color w:val="FF0000"/>
          <w:sz w:val="22"/>
          <w:szCs w:val="22"/>
          <w:lang w:val="es-ES_tradnl" w:eastAsia="es-ES"/>
        </w:rPr>
      </w:pPr>
    </w:p>
    <w:p w14:paraId="7E24EF2B" w14:textId="77777777" w:rsidR="005543F9" w:rsidRPr="004A66F0" w:rsidRDefault="005543F9" w:rsidP="005543F9">
      <w:pPr>
        <w:spacing w:line="276" w:lineRule="auto"/>
        <w:contextualSpacing/>
        <w:jc w:val="both"/>
        <w:rPr>
          <w:rFonts w:ascii="Times New Roman" w:eastAsiaTheme="majorEastAsia" w:hAnsi="Times New Roman" w:cs="Times New Roman"/>
          <w:b/>
          <w:bCs/>
          <w:color w:val="FF0000"/>
          <w:sz w:val="22"/>
          <w:szCs w:val="22"/>
          <w:lang w:val="es-ES_tradnl" w:eastAsia="es-ES"/>
        </w:rPr>
      </w:pPr>
      <w:r w:rsidRPr="004A66F0">
        <w:rPr>
          <w:rFonts w:ascii="Times New Roman" w:eastAsiaTheme="majorEastAsia" w:hAnsi="Times New Roman" w:cs="Times New Roman"/>
          <w:bCs/>
          <w:sz w:val="22"/>
          <w:szCs w:val="22"/>
          <w:lang w:val="es-ES_tradnl" w:eastAsia="es-ES"/>
        </w:rPr>
        <w:t xml:space="preserve">El presente documento es elaborado por la Dirección de Análisis y Política Fiscal del Ministerio de Finanzas Públicas – DAPF –, </w:t>
      </w:r>
      <w:r>
        <w:rPr>
          <w:rFonts w:ascii="Times New Roman" w:eastAsiaTheme="majorEastAsia" w:hAnsi="Times New Roman" w:cs="Times New Roman"/>
          <w:bCs/>
          <w:sz w:val="22"/>
          <w:szCs w:val="22"/>
          <w:lang w:val="es-ES_tradnl" w:eastAsia="es-ES"/>
        </w:rPr>
        <w:t>en</w:t>
      </w:r>
      <w:r w:rsidRPr="004A66F0">
        <w:rPr>
          <w:rFonts w:ascii="Times New Roman" w:eastAsiaTheme="majorEastAsia" w:hAnsi="Times New Roman" w:cs="Times New Roman"/>
          <w:bCs/>
          <w:sz w:val="22"/>
          <w:szCs w:val="22"/>
          <w:lang w:val="es-ES_tradnl" w:eastAsia="es-ES"/>
        </w:rPr>
        <w:t xml:space="preserve"> cumplimiento </w:t>
      </w:r>
      <w:r>
        <w:rPr>
          <w:rFonts w:ascii="Times New Roman" w:eastAsiaTheme="majorEastAsia" w:hAnsi="Times New Roman" w:cs="Times New Roman"/>
          <w:bCs/>
          <w:sz w:val="22"/>
          <w:szCs w:val="22"/>
          <w:lang w:val="es-ES_tradnl" w:eastAsia="es-ES"/>
        </w:rPr>
        <w:t>al</w:t>
      </w:r>
      <w:r w:rsidRPr="004A66F0">
        <w:rPr>
          <w:rFonts w:ascii="Times New Roman" w:eastAsiaTheme="majorEastAsia" w:hAnsi="Times New Roman" w:cs="Times New Roman"/>
          <w:bCs/>
          <w:sz w:val="22"/>
          <w:szCs w:val="22"/>
          <w:lang w:val="es-ES_tradnl" w:eastAsia="es-ES"/>
        </w:rPr>
        <w:t xml:space="preserve"> Acuerdo Gubernativo No. 118-2018, Reglamento Orgánico del Ministerio de Finanzas Públicas, el cual dicta en su Artículo 54, que dicha dependencia es responsable de la formulación y seguimiento de la política fiscal, así como de concentrar y proveer información de índole fiscal, mediante análisis económicos y fiscales. El “</w:t>
      </w:r>
      <w:r w:rsidRPr="004A66F0">
        <w:rPr>
          <w:rFonts w:ascii="Times New Roman" w:eastAsiaTheme="majorEastAsia" w:hAnsi="Times New Roman" w:cs="Times New Roman"/>
          <w:bCs/>
          <w:i/>
          <w:sz w:val="22"/>
          <w:szCs w:val="22"/>
          <w:u w:val="single"/>
          <w:lang w:val="es-ES_tradnl" w:eastAsia="es-ES"/>
        </w:rPr>
        <w:t>Informe de desempeño de la Política Fiscal 2022 y Perspectivas 2023</w:t>
      </w:r>
      <w:r w:rsidRPr="004A66F0">
        <w:rPr>
          <w:rFonts w:ascii="Times New Roman" w:eastAsiaTheme="majorEastAsia" w:hAnsi="Times New Roman" w:cs="Times New Roman"/>
          <w:bCs/>
          <w:sz w:val="22"/>
          <w:szCs w:val="22"/>
          <w:lang w:val="es-ES_tradnl" w:eastAsia="es-ES"/>
        </w:rPr>
        <w:t xml:space="preserve">”, contiene los aspectos más relevantes de la evolución en materia de ingresos, gasto público y financiamiento y las medidas de política fiscal impulsadas por la actual administración.  Asimismo, el documento incluye un anexo macroeconómico con el comportamiento de la economía tanto en el ámbito nacional como internacional. </w:t>
      </w:r>
    </w:p>
    <w:p w14:paraId="69F834A3" w14:textId="77777777" w:rsidR="005543F9" w:rsidRPr="004A66F0" w:rsidRDefault="005543F9" w:rsidP="005543F9">
      <w:pPr>
        <w:spacing w:line="276" w:lineRule="auto"/>
        <w:contextualSpacing/>
        <w:jc w:val="both"/>
        <w:rPr>
          <w:rFonts w:ascii="Times New Roman" w:eastAsiaTheme="majorEastAsia" w:hAnsi="Times New Roman" w:cs="Times New Roman"/>
          <w:b/>
          <w:bCs/>
          <w:color w:val="FF0000"/>
          <w:szCs w:val="26"/>
          <w:lang w:val="es-ES_tradnl" w:eastAsia="es-ES"/>
        </w:rPr>
      </w:pPr>
    </w:p>
    <w:p w14:paraId="08991D12" w14:textId="77777777" w:rsidR="004A66F0" w:rsidRPr="004A66F0" w:rsidRDefault="004A66F0" w:rsidP="008D7BB4">
      <w:pPr>
        <w:spacing w:line="276" w:lineRule="auto"/>
        <w:contextualSpacing/>
        <w:jc w:val="both"/>
        <w:rPr>
          <w:rFonts w:ascii="Times New Roman" w:eastAsiaTheme="majorEastAsia" w:hAnsi="Times New Roman" w:cs="Times New Roman"/>
          <w:b/>
          <w:bCs/>
          <w:color w:val="FF0000"/>
          <w:szCs w:val="26"/>
          <w:lang w:val="es-ES_tradnl" w:eastAsia="es-ES"/>
        </w:rPr>
      </w:pPr>
    </w:p>
    <w:p w14:paraId="4F1768A4" w14:textId="77777777" w:rsidR="004A66F0" w:rsidRPr="00CD72A1" w:rsidRDefault="004A66F0" w:rsidP="00B357BB">
      <w:pPr>
        <w:pStyle w:val="Prrafodelista"/>
        <w:numPr>
          <w:ilvl w:val="0"/>
          <w:numId w:val="20"/>
        </w:numPr>
        <w:spacing w:line="276" w:lineRule="auto"/>
        <w:ind w:left="284" w:hanging="284"/>
        <w:jc w:val="center"/>
        <w:outlineLvl w:val="0"/>
        <w:rPr>
          <w:rFonts w:ascii="Times New Roman" w:eastAsiaTheme="majorEastAsia" w:hAnsi="Times New Roman" w:cs="Times New Roman"/>
          <w:b/>
          <w:bCs/>
          <w:sz w:val="26"/>
          <w:szCs w:val="26"/>
          <w:lang w:val="es-ES_tradnl" w:eastAsia="es-ES"/>
        </w:rPr>
      </w:pPr>
      <w:bookmarkStart w:id="2" w:name="_Toc125723275"/>
      <w:r w:rsidRPr="00CD72A1">
        <w:rPr>
          <w:rFonts w:ascii="Times New Roman" w:eastAsiaTheme="majorEastAsia" w:hAnsi="Times New Roman" w:cs="Times New Roman"/>
          <w:b/>
          <w:bCs/>
          <w:sz w:val="26"/>
          <w:szCs w:val="26"/>
          <w:lang w:val="es-ES_tradnl" w:eastAsia="es-ES"/>
        </w:rPr>
        <w:lastRenderedPageBreak/>
        <w:t>Ingresos Fiscales</w:t>
      </w:r>
      <w:bookmarkEnd w:id="2"/>
    </w:p>
    <w:p w14:paraId="5016284E" w14:textId="77777777" w:rsidR="004A66F0" w:rsidRPr="004A66F0" w:rsidRDefault="004A66F0" w:rsidP="008D7BB4">
      <w:pPr>
        <w:spacing w:line="276" w:lineRule="auto"/>
        <w:contextualSpacing/>
        <w:rPr>
          <w:rFonts w:ascii="Times New Roman" w:eastAsia="Times New Roman" w:hAnsi="Times New Roman" w:cs="Times New Roman"/>
          <w:sz w:val="26"/>
          <w:szCs w:val="26"/>
        </w:rPr>
      </w:pPr>
    </w:p>
    <w:p w14:paraId="42AAFCBA" w14:textId="77777777" w:rsidR="005543F9" w:rsidRPr="004A66F0" w:rsidRDefault="004A66F0" w:rsidP="005543F9">
      <w:pPr>
        <w:keepNext/>
        <w:keepLines/>
        <w:numPr>
          <w:ilvl w:val="1"/>
          <w:numId w:val="41"/>
        </w:numPr>
        <w:spacing w:line="276" w:lineRule="auto"/>
        <w:ind w:left="567" w:hanging="283"/>
        <w:contextualSpacing/>
        <w:outlineLvl w:val="1"/>
        <w:rPr>
          <w:rFonts w:ascii="Times New Roman" w:eastAsiaTheme="majorEastAsia" w:hAnsi="Times New Roman" w:cs="Times New Roman"/>
          <w:b/>
          <w:bCs/>
          <w:sz w:val="22"/>
          <w:szCs w:val="26"/>
        </w:rPr>
      </w:pPr>
      <w:bookmarkStart w:id="3" w:name="_Toc94259620"/>
      <w:r w:rsidRPr="004A66F0">
        <w:rPr>
          <w:rFonts w:ascii="Times New Roman" w:eastAsiaTheme="majorEastAsia" w:hAnsi="Times New Roman" w:cs="Times New Roman"/>
          <w:b/>
          <w:bCs/>
          <w:sz w:val="22"/>
          <w:szCs w:val="26"/>
        </w:rPr>
        <w:t xml:space="preserve"> </w:t>
      </w:r>
      <w:bookmarkStart w:id="4" w:name="_Toc471987131"/>
      <w:bookmarkStart w:id="5" w:name="_Toc64025420"/>
      <w:bookmarkStart w:id="6" w:name="_Toc125723276"/>
      <w:bookmarkEnd w:id="3"/>
      <w:r w:rsidR="005543F9" w:rsidRPr="004A66F0">
        <w:rPr>
          <w:rFonts w:ascii="Times New Roman" w:eastAsiaTheme="majorEastAsia" w:hAnsi="Times New Roman" w:cs="Times New Roman"/>
          <w:b/>
          <w:bCs/>
          <w:sz w:val="22"/>
          <w:szCs w:val="26"/>
        </w:rPr>
        <w:t xml:space="preserve">Recaudación tributaria </w:t>
      </w:r>
      <w:bookmarkEnd w:id="4"/>
      <w:r w:rsidR="005543F9">
        <w:rPr>
          <w:rFonts w:ascii="Times New Roman" w:eastAsiaTheme="majorEastAsia" w:hAnsi="Times New Roman" w:cs="Times New Roman"/>
          <w:b/>
          <w:bCs/>
          <w:sz w:val="22"/>
          <w:szCs w:val="26"/>
        </w:rPr>
        <w:t xml:space="preserve">de 2022 </w:t>
      </w:r>
      <w:r w:rsidR="005543F9" w:rsidRPr="004A66F0">
        <w:rPr>
          <w:rFonts w:ascii="Times New Roman" w:eastAsiaTheme="majorEastAsia" w:hAnsi="Times New Roman" w:cs="Times New Roman"/>
          <w:b/>
          <w:bCs/>
          <w:sz w:val="22"/>
          <w:szCs w:val="26"/>
        </w:rPr>
        <w:t>mant</w:t>
      </w:r>
      <w:r w:rsidR="005543F9">
        <w:rPr>
          <w:rFonts w:ascii="Times New Roman" w:eastAsiaTheme="majorEastAsia" w:hAnsi="Times New Roman" w:cs="Times New Roman"/>
          <w:b/>
          <w:bCs/>
          <w:sz w:val="22"/>
          <w:szCs w:val="26"/>
        </w:rPr>
        <w:t>uvo</w:t>
      </w:r>
      <w:r w:rsidR="005543F9" w:rsidRPr="004A66F0">
        <w:rPr>
          <w:rFonts w:ascii="Times New Roman" w:eastAsiaTheme="majorEastAsia" w:hAnsi="Times New Roman" w:cs="Times New Roman"/>
          <w:b/>
          <w:bCs/>
          <w:sz w:val="22"/>
          <w:szCs w:val="26"/>
        </w:rPr>
        <w:t xml:space="preserve"> el dinamismo</w:t>
      </w:r>
      <w:bookmarkEnd w:id="5"/>
      <w:r w:rsidR="005543F9" w:rsidRPr="004A66F0">
        <w:rPr>
          <w:rFonts w:ascii="Times New Roman" w:eastAsiaTheme="majorEastAsia" w:hAnsi="Times New Roman" w:cs="Times New Roman"/>
          <w:b/>
          <w:bCs/>
          <w:sz w:val="22"/>
          <w:szCs w:val="26"/>
        </w:rPr>
        <w:t xml:space="preserve"> observado en 2021</w:t>
      </w:r>
      <w:bookmarkEnd w:id="6"/>
    </w:p>
    <w:p w14:paraId="34AE3560" w14:textId="77777777" w:rsidR="005543F9" w:rsidRPr="004A66F0" w:rsidRDefault="005543F9" w:rsidP="005543F9">
      <w:pPr>
        <w:spacing w:line="276" w:lineRule="auto"/>
        <w:contextualSpacing/>
        <w:jc w:val="both"/>
        <w:rPr>
          <w:rFonts w:ascii="Times New Roman" w:eastAsia="Times New Roman" w:hAnsi="Times New Roman" w:cs="Times New Roman"/>
          <w:b/>
          <w:sz w:val="22"/>
          <w:szCs w:val="22"/>
          <w:lang w:val="es-MX"/>
        </w:rPr>
      </w:pPr>
    </w:p>
    <w:p w14:paraId="1A427A7F" w14:textId="77777777" w:rsidR="005543F9" w:rsidRPr="004A66F0" w:rsidRDefault="005543F9" w:rsidP="005543F9">
      <w:pPr>
        <w:spacing w:line="276" w:lineRule="auto"/>
        <w:contextualSpacing/>
        <w:jc w:val="both"/>
        <w:rPr>
          <w:rFonts w:ascii="Times New Roman" w:eastAsia="Times New Roman" w:hAnsi="Times New Roman" w:cs="Times New Roman"/>
          <w:sz w:val="22"/>
          <w:szCs w:val="22"/>
        </w:rPr>
      </w:pPr>
      <w:r w:rsidRPr="004A66F0">
        <w:rPr>
          <w:rFonts w:ascii="Times New Roman" w:eastAsia="Times New Roman" w:hAnsi="Times New Roman" w:cs="Times New Roman"/>
          <w:sz w:val="22"/>
          <w:szCs w:val="22"/>
        </w:rPr>
        <w:t>La recaudación tributaria en el ejercicio fiscal de 2022 estuvo determinada por el desempeño de la actividad económica que regresa en cierto sentido a la normalidad, luego de la apertura gradual de la economía nacional.   Sin embargo, en dicho año se presentaron eventos que crearon cierta volatilidad en los mercados internacionales y que permearon la economía nacional.   De esa cuenta, el escenario macroeconómico proporcionado por el Banco de Guatemala el 15 diciembre de 2021, pronosticaba mayor dinámica para 2022, un crecimiento de la economía en torno a</w:t>
      </w:r>
      <w:r>
        <w:rPr>
          <w:rFonts w:ascii="Times New Roman" w:eastAsia="Times New Roman" w:hAnsi="Times New Roman" w:cs="Times New Roman"/>
          <w:sz w:val="22"/>
          <w:szCs w:val="22"/>
        </w:rPr>
        <w:t>l</w:t>
      </w:r>
      <w:r w:rsidRPr="004A66F0">
        <w:rPr>
          <w:rFonts w:ascii="Times New Roman" w:eastAsia="Times New Roman" w:hAnsi="Times New Roman" w:cs="Times New Roman"/>
          <w:sz w:val="22"/>
          <w:szCs w:val="22"/>
        </w:rPr>
        <w:t xml:space="preserve"> 4.5% ± 1%, PIB nominal de 8.0% ± 1% y un crecimiento en las importaciones de 7.5% ± 1.5%. </w:t>
      </w:r>
    </w:p>
    <w:p w14:paraId="03620CB8" w14:textId="77777777" w:rsidR="005543F9" w:rsidRPr="004A66F0" w:rsidRDefault="005543F9" w:rsidP="005543F9">
      <w:pPr>
        <w:spacing w:line="276" w:lineRule="auto"/>
        <w:contextualSpacing/>
        <w:jc w:val="both"/>
        <w:rPr>
          <w:rFonts w:ascii="Times New Roman" w:eastAsia="Times New Roman" w:hAnsi="Times New Roman" w:cs="Times New Roman"/>
          <w:sz w:val="22"/>
          <w:szCs w:val="22"/>
        </w:rPr>
      </w:pPr>
    </w:p>
    <w:p w14:paraId="638E9342" w14:textId="77777777" w:rsidR="005543F9" w:rsidRPr="004A66F0" w:rsidRDefault="005543F9" w:rsidP="005543F9">
      <w:pPr>
        <w:spacing w:line="276" w:lineRule="auto"/>
        <w:contextualSpacing/>
        <w:jc w:val="both"/>
        <w:rPr>
          <w:rFonts w:ascii="Times New Roman" w:eastAsia="Times New Roman" w:hAnsi="Times New Roman" w:cs="Times New Roman"/>
          <w:sz w:val="22"/>
          <w:szCs w:val="22"/>
        </w:rPr>
      </w:pPr>
      <w:r w:rsidRPr="004A66F0">
        <w:rPr>
          <w:rFonts w:ascii="Times New Roman" w:eastAsia="Times New Roman" w:hAnsi="Times New Roman" w:cs="Times New Roman"/>
          <w:sz w:val="22"/>
          <w:szCs w:val="22"/>
        </w:rPr>
        <w:t>La recaudación tributaria total de 2022 fue de Q88,574.0 millones, superior en Q12,259.1 millones respecto a lo establecido en la meta de presupuesto</w:t>
      </w:r>
      <w:r w:rsidRPr="004A66F0">
        <w:rPr>
          <w:rFonts w:ascii="Times New Roman" w:eastAsia="Times New Roman" w:hAnsi="Times New Roman" w:cs="Times New Roman"/>
          <w:sz w:val="22"/>
          <w:szCs w:val="22"/>
          <w:vertAlign w:val="superscript"/>
        </w:rPr>
        <w:footnoteReference w:id="1"/>
      </w:r>
      <w:r>
        <w:rPr>
          <w:rFonts w:ascii="Times New Roman" w:eastAsia="Times New Roman" w:hAnsi="Times New Roman" w:cs="Times New Roman"/>
          <w:sz w:val="22"/>
          <w:szCs w:val="22"/>
        </w:rPr>
        <w:t>,</w:t>
      </w:r>
      <w:r w:rsidRPr="004A66F0">
        <w:rPr>
          <w:rFonts w:ascii="Times New Roman" w:eastAsia="Times New Roman" w:hAnsi="Times New Roman" w:cs="Times New Roman"/>
          <w:sz w:val="22"/>
          <w:szCs w:val="22"/>
        </w:rPr>
        <w:t xml:space="preserve"> que se situaba en Q76,314.9 millones y</w:t>
      </w:r>
      <w:r>
        <w:rPr>
          <w:rFonts w:ascii="Times New Roman" w:eastAsia="Times New Roman" w:hAnsi="Times New Roman" w:cs="Times New Roman"/>
          <w:sz w:val="22"/>
          <w:szCs w:val="22"/>
        </w:rPr>
        <w:t xml:space="preserve"> superior en</w:t>
      </w:r>
      <w:r w:rsidRPr="004A66F0">
        <w:rPr>
          <w:rFonts w:ascii="Times New Roman" w:eastAsia="Times New Roman" w:hAnsi="Times New Roman" w:cs="Times New Roman"/>
          <w:sz w:val="22"/>
          <w:szCs w:val="22"/>
        </w:rPr>
        <w:t xml:space="preserve"> Q10,554.9 millones (13.5%) </w:t>
      </w:r>
      <w:r>
        <w:rPr>
          <w:rFonts w:ascii="Times New Roman" w:eastAsia="Times New Roman" w:hAnsi="Times New Roman" w:cs="Times New Roman"/>
          <w:sz w:val="22"/>
          <w:szCs w:val="22"/>
        </w:rPr>
        <w:t>a</w:t>
      </w:r>
      <w:r w:rsidRPr="004A66F0">
        <w:rPr>
          <w:rFonts w:ascii="Times New Roman" w:eastAsia="Times New Roman" w:hAnsi="Times New Roman" w:cs="Times New Roman"/>
          <w:sz w:val="22"/>
          <w:szCs w:val="22"/>
        </w:rPr>
        <w:t xml:space="preserve"> lo recaudado en 2021. </w:t>
      </w:r>
      <w:r w:rsidRPr="004A66F0" w:rsidDel="00C835AD">
        <w:rPr>
          <w:rFonts w:ascii="Times New Roman" w:eastAsia="Times New Roman" w:hAnsi="Times New Roman" w:cs="Times New Roman"/>
          <w:sz w:val="22"/>
          <w:szCs w:val="22"/>
        </w:rPr>
        <w:t xml:space="preserve"> </w:t>
      </w:r>
    </w:p>
    <w:p w14:paraId="6FB42F74" w14:textId="77777777" w:rsidR="005543F9" w:rsidRPr="004A66F0" w:rsidRDefault="005543F9" w:rsidP="005543F9">
      <w:pPr>
        <w:spacing w:line="276" w:lineRule="auto"/>
        <w:contextualSpacing/>
        <w:jc w:val="center"/>
        <w:rPr>
          <w:rFonts w:ascii="Times New Roman" w:eastAsia="Times New Roman" w:hAnsi="Times New Roman" w:cs="Times New Roman"/>
          <w:b/>
          <w:sz w:val="22"/>
          <w:szCs w:val="22"/>
        </w:rPr>
      </w:pPr>
    </w:p>
    <w:p w14:paraId="6E8D653B" w14:textId="77777777" w:rsidR="005543F9" w:rsidRPr="004A66F0" w:rsidRDefault="005543F9" w:rsidP="005543F9">
      <w:pPr>
        <w:spacing w:line="276" w:lineRule="auto"/>
        <w:contextualSpacing/>
        <w:jc w:val="both"/>
        <w:rPr>
          <w:rFonts w:ascii="Times New Roman" w:eastAsia="Times New Roman" w:hAnsi="Times New Roman" w:cs="Times New Roman"/>
          <w:sz w:val="22"/>
          <w:szCs w:val="22"/>
        </w:rPr>
      </w:pPr>
      <w:r w:rsidRPr="004A66F0">
        <w:rPr>
          <w:rFonts w:ascii="Times New Roman" w:eastAsia="Times New Roman" w:hAnsi="Times New Roman" w:cs="Times New Roman"/>
          <w:sz w:val="22"/>
          <w:szCs w:val="22"/>
        </w:rPr>
        <w:t xml:space="preserve">Este resultado en la recaudación tributaria obedece a factores internos entre los que destacan las acciones que ha implementado la Superintendencia de Administración Tributaria -SAT- a través de sus </w:t>
      </w:r>
      <w:r>
        <w:rPr>
          <w:rFonts w:ascii="Times New Roman" w:eastAsia="Times New Roman" w:hAnsi="Times New Roman" w:cs="Times New Roman"/>
          <w:sz w:val="22"/>
          <w:szCs w:val="22"/>
        </w:rPr>
        <w:t>I</w:t>
      </w:r>
      <w:r w:rsidRPr="004A66F0">
        <w:rPr>
          <w:rFonts w:ascii="Times New Roman" w:eastAsia="Times New Roman" w:hAnsi="Times New Roman" w:cs="Times New Roman"/>
          <w:sz w:val="22"/>
          <w:szCs w:val="22"/>
        </w:rPr>
        <w:t>ntendencias para garantizar el combate a la defraudación y contrabando aduanero, el incremento a la percepción de riesgo de los contribuyentes y la modernización aduanera</w:t>
      </w:r>
      <w:r>
        <w:rPr>
          <w:rFonts w:ascii="Times New Roman" w:eastAsia="Times New Roman" w:hAnsi="Times New Roman" w:cs="Times New Roman"/>
          <w:sz w:val="22"/>
          <w:szCs w:val="22"/>
        </w:rPr>
        <w:t>.  P</w:t>
      </w:r>
      <w:r w:rsidRPr="004A66F0">
        <w:rPr>
          <w:rFonts w:ascii="Times New Roman" w:eastAsia="Times New Roman" w:hAnsi="Times New Roman" w:cs="Times New Roman"/>
          <w:sz w:val="22"/>
          <w:szCs w:val="22"/>
        </w:rPr>
        <w:t>or otro lado, la recaudación luego de declarada la pandemia en 2020 y la reapertura gradual de la economía en 2021 ha sido afectada de manera positiva por factores externos, en 2022 la guerra de Rusia y Ucrania afectó de manera directa el precio de las importaciones y de los principales commodities</w:t>
      </w:r>
      <w:r>
        <w:rPr>
          <w:rFonts w:ascii="Times New Roman" w:eastAsia="Times New Roman" w:hAnsi="Times New Roman" w:cs="Times New Roman"/>
          <w:sz w:val="22"/>
          <w:szCs w:val="22"/>
        </w:rPr>
        <w:t>,</w:t>
      </w:r>
      <w:r w:rsidRPr="004A66F0">
        <w:rPr>
          <w:rFonts w:ascii="Times New Roman" w:eastAsia="Times New Roman" w:hAnsi="Times New Roman" w:cs="Times New Roman"/>
          <w:sz w:val="22"/>
          <w:szCs w:val="22"/>
        </w:rPr>
        <w:t xml:space="preserve"> que incidió positivamente en el nivel de recaudación.   </w:t>
      </w:r>
    </w:p>
    <w:p w14:paraId="41717E72" w14:textId="77777777" w:rsidR="005543F9" w:rsidRPr="004A66F0" w:rsidRDefault="005543F9" w:rsidP="005543F9">
      <w:pPr>
        <w:spacing w:line="276" w:lineRule="auto"/>
        <w:contextualSpacing/>
        <w:jc w:val="both"/>
        <w:rPr>
          <w:rFonts w:ascii="Times New Roman" w:eastAsia="Times New Roman" w:hAnsi="Times New Roman" w:cs="Times New Roman"/>
          <w:sz w:val="22"/>
          <w:szCs w:val="22"/>
        </w:rPr>
      </w:pPr>
    </w:p>
    <w:p w14:paraId="3A0CB88D" w14:textId="71FAAABD" w:rsidR="005543F9" w:rsidRDefault="005543F9" w:rsidP="005543F9">
      <w:pPr>
        <w:spacing w:line="276" w:lineRule="auto"/>
        <w:contextualSpacing/>
        <w:jc w:val="both"/>
        <w:rPr>
          <w:rFonts w:ascii="Times New Roman" w:eastAsia="Times New Roman" w:hAnsi="Times New Roman" w:cs="Times New Roman"/>
          <w:sz w:val="22"/>
          <w:szCs w:val="22"/>
        </w:rPr>
      </w:pPr>
      <w:r w:rsidRPr="004A66F0">
        <w:rPr>
          <w:rFonts w:ascii="Times New Roman" w:eastAsia="Times New Roman" w:hAnsi="Times New Roman" w:cs="Times New Roman"/>
          <w:sz w:val="22"/>
          <w:szCs w:val="22"/>
        </w:rPr>
        <w:t xml:space="preserve">Los principales impuestos que </w:t>
      </w:r>
      <w:r>
        <w:rPr>
          <w:rFonts w:ascii="Times New Roman" w:eastAsia="Times New Roman" w:hAnsi="Times New Roman" w:cs="Times New Roman"/>
          <w:sz w:val="22"/>
          <w:szCs w:val="22"/>
        </w:rPr>
        <w:t>contribuyeron</w:t>
      </w:r>
      <w:r w:rsidRPr="004A66F0">
        <w:rPr>
          <w:rFonts w:ascii="Times New Roman" w:eastAsia="Times New Roman" w:hAnsi="Times New Roman" w:cs="Times New Roman"/>
          <w:sz w:val="22"/>
          <w:szCs w:val="22"/>
        </w:rPr>
        <w:t xml:space="preserve"> con la brecha positiva en la recaudación tributaria </w:t>
      </w:r>
      <w:r>
        <w:rPr>
          <w:rFonts w:ascii="Times New Roman" w:eastAsia="Times New Roman" w:hAnsi="Times New Roman" w:cs="Times New Roman"/>
          <w:sz w:val="22"/>
          <w:szCs w:val="22"/>
        </w:rPr>
        <w:t>fueron</w:t>
      </w:r>
      <w:r w:rsidRPr="004A66F0">
        <w:rPr>
          <w:rFonts w:ascii="Times New Roman" w:eastAsia="Times New Roman" w:hAnsi="Times New Roman" w:cs="Times New Roman"/>
          <w:sz w:val="22"/>
          <w:szCs w:val="22"/>
        </w:rPr>
        <w:t xml:space="preserve"> el Impuesto Sobre la Renta, Impuesto de Solidaridad, el Impuesto al Valor Agregado, los Derechos Arancelarios a la Importación (DAI) y los impuestos no administrados por la SAT</w:t>
      </w:r>
      <w:r>
        <w:rPr>
          <w:rFonts w:ascii="Times New Roman" w:eastAsia="Times New Roman" w:hAnsi="Times New Roman" w:cs="Times New Roman"/>
          <w:sz w:val="22"/>
          <w:szCs w:val="22"/>
        </w:rPr>
        <w:t>,</w:t>
      </w:r>
      <w:r w:rsidRPr="004A66F0">
        <w:rPr>
          <w:rFonts w:ascii="Times New Roman" w:eastAsia="Times New Roman" w:hAnsi="Times New Roman" w:cs="Times New Roman"/>
          <w:sz w:val="22"/>
          <w:szCs w:val="22"/>
        </w:rPr>
        <w:t xml:space="preserve"> siendo estos el Impuesto a las Regalías e Hidrocarburos Compartibles y el Impuesto de Salidas del País.</w:t>
      </w:r>
    </w:p>
    <w:p w14:paraId="3875062D" w14:textId="2DF28B45" w:rsidR="00B357BB" w:rsidRDefault="00B357BB" w:rsidP="005543F9">
      <w:pPr>
        <w:spacing w:line="276" w:lineRule="auto"/>
        <w:contextualSpacing/>
        <w:jc w:val="both"/>
        <w:rPr>
          <w:rFonts w:ascii="Times New Roman" w:eastAsia="Times New Roman" w:hAnsi="Times New Roman" w:cs="Times New Roman"/>
          <w:sz w:val="22"/>
          <w:szCs w:val="22"/>
        </w:rPr>
      </w:pPr>
    </w:p>
    <w:p w14:paraId="3BB9153D" w14:textId="77777777" w:rsidR="00720946" w:rsidRDefault="00720946" w:rsidP="00720946">
      <w:pPr>
        <w:spacing w:line="276" w:lineRule="auto"/>
        <w:contextualSpacing/>
        <w:jc w:val="both"/>
        <w:rPr>
          <w:rFonts w:ascii="Times New Roman" w:eastAsia="Times New Roman" w:hAnsi="Times New Roman" w:cs="Times New Roman"/>
          <w:sz w:val="22"/>
          <w:szCs w:val="22"/>
        </w:rPr>
      </w:pPr>
      <w:r w:rsidRPr="004A66F0">
        <w:rPr>
          <w:rFonts w:ascii="Times New Roman" w:eastAsia="Times New Roman" w:hAnsi="Times New Roman" w:cs="Times New Roman"/>
          <w:sz w:val="22"/>
          <w:szCs w:val="22"/>
        </w:rPr>
        <w:t>La recaudación tributaria asociada al comercio exterior</w:t>
      </w:r>
      <w:r>
        <w:rPr>
          <w:rFonts w:ascii="Times New Roman" w:eastAsia="Times New Roman" w:hAnsi="Times New Roman" w:cs="Times New Roman"/>
          <w:sz w:val="22"/>
          <w:szCs w:val="22"/>
        </w:rPr>
        <w:t>,</w:t>
      </w:r>
      <w:r w:rsidRPr="004A66F0">
        <w:rPr>
          <w:rFonts w:ascii="Times New Roman" w:eastAsia="Times New Roman" w:hAnsi="Times New Roman" w:cs="Times New Roman"/>
          <w:sz w:val="22"/>
          <w:szCs w:val="22"/>
        </w:rPr>
        <w:t xml:space="preserve"> luego del repunte observado hasta septiembre 2021</w:t>
      </w:r>
      <w:r>
        <w:rPr>
          <w:rFonts w:ascii="Times New Roman" w:eastAsia="Times New Roman" w:hAnsi="Times New Roman" w:cs="Times New Roman"/>
          <w:sz w:val="22"/>
          <w:szCs w:val="22"/>
        </w:rPr>
        <w:t>,</w:t>
      </w:r>
      <w:r w:rsidRPr="004A66F0">
        <w:rPr>
          <w:rFonts w:ascii="Times New Roman" w:eastAsia="Times New Roman" w:hAnsi="Times New Roman" w:cs="Times New Roman"/>
          <w:sz w:val="22"/>
          <w:szCs w:val="22"/>
        </w:rPr>
        <w:t xml:space="preserve"> mes en el cual alcanzó su máximo histórico (45.7%)</w:t>
      </w:r>
      <w:r>
        <w:rPr>
          <w:rFonts w:ascii="Times New Roman" w:eastAsia="Times New Roman" w:hAnsi="Times New Roman" w:cs="Times New Roman"/>
          <w:sz w:val="22"/>
          <w:szCs w:val="22"/>
        </w:rPr>
        <w:t>,</w:t>
      </w:r>
      <w:r w:rsidRPr="004A66F0">
        <w:rPr>
          <w:rFonts w:ascii="Times New Roman" w:eastAsia="Times New Roman" w:hAnsi="Times New Roman" w:cs="Times New Roman"/>
          <w:sz w:val="22"/>
          <w:szCs w:val="22"/>
        </w:rPr>
        <w:t xml:space="preserve"> ha mostrado desaceleración, pero con crecimiento de 2 dígitos aún (20.4%) y ha generado una brecha positiva de Q6,276.7 millones respecto a la meta, y con relación a lo observado en 2021, de Q4,843.5 millones de esa brecha positiva</w:t>
      </w:r>
      <w:r>
        <w:rPr>
          <w:rFonts w:ascii="Times New Roman" w:eastAsia="Times New Roman" w:hAnsi="Times New Roman" w:cs="Times New Roman"/>
          <w:sz w:val="22"/>
          <w:szCs w:val="22"/>
        </w:rPr>
        <w:t>,</w:t>
      </w:r>
      <w:r w:rsidRPr="004A66F0">
        <w:rPr>
          <w:rFonts w:ascii="Times New Roman" w:eastAsia="Times New Roman" w:hAnsi="Times New Roman" w:cs="Times New Roman"/>
          <w:sz w:val="22"/>
          <w:szCs w:val="22"/>
        </w:rPr>
        <w:t xml:space="preserve"> el IVA de importaciones supera lo observado en 2021 en Q4,426.2 millones y los </w:t>
      </w:r>
      <w:r>
        <w:rPr>
          <w:rFonts w:ascii="Times New Roman" w:eastAsia="Times New Roman" w:hAnsi="Times New Roman" w:cs="Times New Roman"/>
          <w:sz w:val="22"/>
          <w:szCs w:val="22"/>
        </w:rPr>
        <w:t>D</w:t>
      </w:r>
      <w:r w:rsidRPr="004A66F0">
        <w:rPr>
          <w:rFonts w:ascii="Times New Roman" w:eastAsia="Times New Roman" w:hAnsi="Times New Roman" w:cs="Times New Roman"/>
          <w:sz w:val="22"/>
          <w:szCs w:val="22"/>
        </w:rPr>
        <w:t xml:space="preserve">erechos </w:t>
      </w:r>
      <w:r>
        <w:rPr>
          <w:rFonts w:ascii="Times New Roman" w:eastAsia="Times New Roman" w:hAnsi="Times New Roman" w:cs="Times New Roman"/>
          <w:sz w:val="22"/>
          <w:szCs w:val="22"/>
        </w:rPr>
        <w:t>A</w:t>
      </w:r>
      <w:r w:rsidRPr="004A66F0">
        <w:rPr>
          <w:rFonts w:ascii="Times New Roman" w:eastAsia="Times New Roman" w:hAnsi="Times New Roman" w:cs="Times New Roman"/>
          <w:sz w:val="22"/>
          <w:szCs w:val="22"/>
        </w:rPr>
        <w:t xml:space="preserve">rancelarios en Q529.1 millones. Este resultado combina, por una parte, el seguimiento de las medidas implementadas en 2021 en el ramo de aduanas, en donde se implementaron acciones para combatir la defraudación y el contrabando aduanero, tales como, mayor eficiencia del control </w:t>
      </w:r>
      <w:r w:rsidRPr="004A66F0">
        <w:rPr>
          <w:rFonts w:ascii="Times New Roman" w:eastAsia="Times New Roman" w:hAnsi="Times New Roman" w:cs="Times New Roman"/>
          <w:sz w:val="22"/>
          <w:szCs w:val="22"/>
        </w:rPr>
        <w:lastRenderedPageBreak/>
        <w:t>aduanero, seguimiento del plan de combate al contrabando aduanero mediante la puesta en marcha de puestos de control interinstitucional (a la fecha van 7) a la simplificación, automatización y transparencia en</w:t>
      </w:r>
      <w:r>
        <w:rPr>
          <w:rFonts w:ascii="Times New Roman" w:eastAsia="Times New Roman" w:hAnsi="Times New Roman" w:cs="Times New Roman"/>
          <w:sz w:val="22"/>
          <w:szCs w:val="22"/>
        </w:rPr>
        <w:t xml:space="preserve"> </w:t>
      </w:r>
      <w:r w:rsidRPr="004A66F0">
        <w:rPr>
          <w:rFonts w:ascii="Times New Roman" w:eastAsia="Times New Roman" w:hAnsi="Times New Roman" w:cs="Times New Roman"/>
          <w:sz w:val="22"/>
          <w:szCs w:val="22"/>
        </w:rPr>
        <w:t xml:space="preserve">el ingreso y salida de la carga vía aérea, fortalecimiento de la gestión de riesgo, operativos interinstitucionales en aduanas aéreas, terrestres, marítimas, puestos fronterizos, depósitos aduaneros y zonas francas, puesta en marcha del sistema de etiquetas de radiofrecuencia -RFID-, fortalecimiento del intercambio de información con otros Estados Partes, fortalecimiento de la valoración aduanera  y a las mejoras en el tiempo de atención de solicitudes entre otras, pero a su vez también un efecto del precio de los combustibles que </w:t>
      </w:r>
      <w:r>
        <w:rPr>
          <w:rFonts w:ascii="Times New Roman" w:eastAsia="Times New Roman" w:hAnsi="Times New Roman" w:cs="Times New Roman"/>
          <w:sz w:val="22"/>
          <w:szCs w:val="22"/>
        </w:rPr>
        <w:t>mantenía</w:t>
      </w:r>
      <w:r w:rsidRPr="004A66F0">
        <w:rPr>
          <w:rFonts w:ascii="Times New Roman" w:eastAsia="Times New Roman" w:hAnsi="Times New Roman" w:cs="Times New Roman"/>
          <w:sz w:val="22"/>
          <w:szCs w:val="22"/>
        </w:rPr>
        <w:t xml:space="preserve"> una tendencia alcista y que impacta en el mismo sentido en la recaudación aduanera asociada a dicho producto. </w:t>
      </w:r>
    </w:p>
    <w:p w14:paraId="1510CA99" w14:textId="77777777" w:rsidR="005543F9" w:rsidRPr="004A66F0" w:rsidRDefault="005543F9" w:rsidP="005543F9">
      <w:pPr>
        <w:spacing w:line="276" w:lineRule="auto"/>
        <w:contextualSpacing/>
        <w:jc w:val="both"/>
        <w:rPr>
          <w:rFonts w:ascii="Times New Roman" w:eastAsia="Times New Roman" w:hAnsi="Times New Roman" w:cs="Times New Roman"/>
          <w:sz w:val="22"/>
          <w:szCs w:val="22"/>
        </w:rPr>
      </w:pPr>
    </w:p>
    <w:p w14:paraId="40390D19" w14:textId="692E5B2E" w:rsidR="005543F9" w:rsidRPr="004A66F0" w:rsidRDefault="005543F9" w:rsidP="005543F9">
      <w:pPr>
        <w:spacing w:line="276" w:lineRule="auto"/>
        <w:contextualSpacing/>
        <w:jc w:val="center"/>
        <w:rPr>
          <w:rFonts w:ascii="Times New Roman" w:eastAsia="Times New Roman" w:hAnsi="Times New Roman" w:cs="Times New Roman"/>
          <w:b/>
          <w:sz w:val="22"/>
          <w:szCs w:val="22"/>
        </w:rPr>
      </w:pPr>
      <w:bookmarkStart w:id="7" w:name="_Toc125733197"/>
      <w:r w:rsidRPr="00A11E1A">
        <w:rPr>
          <w:rFonts w:ascii="Times New Roman" w:eastAsia="Times New Roman" w:hAnsi="Times New Roman" w:cs="Times New Roman"/>
          <w:b/>
          <w:sz w:val="22"/>
          <w:szCs w:val="22"/>
        </w:rPr>
        <w:t xml:space="preserve">Gráfico </w:t>
      </w:r>
      <w:r w:rsidRPr="00A11E1A">
        <w:rPr>
          <w:rFonts w:ascii="Times New Roman" w:eastAsia="Times New Roman" w:hAnsi="Times New Roman" w:cs="Times New Roman"/>
          <w:b/>
          <w:sz w:val="22"/>
          <w:szCs w:val="22"/>
        </w:rPr>
        <w:fldChar w:fldCharType="begin"/>
      </w:r>
      <w:r w:rsidRPr="00A11E1A">
        <w:rPr>
          <w:rFonts w:ascii="Times New Roman" w:eastAsia="Times New Roman" w:hAnsi="Times New Roman" w:cs="Times New Roman"/>
          <w:b/>
          <w:sz w:val="22"/>
          <w:szCs w:val="22"/>
        </w:rPr>
        <w:instrText xml:space="preserve"> SEQ Gráfico \* ARABIC </w:instrText>
      </w:r>
      <w:r w:rsidRPr="00A11E1A">
        <w:rPr>
          <w:rFonts w:ascii="Times New Roman" w:eastAsia="Times New Roman" w:hAnsi="Times New Roman" w:cs="Times New Roman"/>
          <w:b/>
          <w:sz w:val="22"/>
          <w:szCs w:val="22"/>
        </w:rPr>
        <w:fldChar w:fldCharType="separate"/>
      </w:r>
      <w:r w:rsidR="006F4BE5">
        <w:rPr>
          <w:rFonts w:ascii="Times New Roman" w:eastAsia="Times New Roman" w:hAnsi="Times New Roman" w:cs="Times New Roman"/>
          <w:b/>
          <w:noProof/>
          <w:sz w:val="22"/>
          <w:szCs w:val="22"/>
        </w:rPr>
        <w:t>1</w:t>
      </w:r>
      <w:r w:rsidRPr="00A11E1A">
        <w:rPr>
          <w:rFonts w:ascii="Times New Roman" w:eastAsia="Times New Roman" w:hAnsi="Times New Roman" w:cs="Times New Roman"/>
          <w:b/>
          <w:sz w:val="22"/>
          <w:szCs w:val="22"/>
        </w:rPr>
        <w:fldChar w:fldCharType="end"/>
      </w:r>
      <w:r w:rsidRPr="00A11E1A">
        <w:rPr>
          <w:rFonts w:ascii="Times New Roman" w:eastAsia="Times New Roman" w:hAnsi="Times New Roman" w:cs="Times New Roman"/>
          <w:b/>
          <w:sz w:val="22"/>
          <w:szCs w:val="22"/>
        </w:rPr>
        <w:t xml:space="preserve">. </w:t>
      </w:r>
      <w:r w:rsidRPr="004A66F0">
        <w:rPr>
          <w:rFonts w:ascii="Times New Roman" w:eastAsia="Times New Roman" w:hAnsi="Times New Roman" w:cs="Times New Roman"/>
          <w:b/>
          <w:sz w:val="22"/>
          <w:szCs w:val="22"/>
        </w:rPr>
        <w:t>Variación de la recaudación tributaria neta</w:t>
      </w:r>
      <w:bookmarkEnd w:id="7"/>
    </w:p>
    <w:p w14:paraId="67B856CA" w14:textId="77777777" w:rsidR="005543F9" w:rsidRPr="004A66F0" w:rsidRDefault="005543F9" w:rsidP="005543F9">
      <w:pPr>
        <w:spacing w:line="276" w:lineRule="auto"/>
        <w:contextualSpacing/>
        <w:jc w:val="center"/>
        <w:rPr>
          <w:rFonts w:ascii="Times New Roman" w:eastAsia="Times New Roman" w:hAnsi="Times New Roman" w:cs="Times New Roman"/>
          <w:sz w:val="22"/>
          <w:szCs w:val="22"/>
        </w:rPr>
      </w:pPr>
      <w:r w:rsidRPr="004A66F0">
        <w:rPr>
          <w:rFonts w:ascii="Times New Roman" w:eastAsia="Times New Roman" w:hAnsi="Times New Roman" w:cs="Times New Roman"/>
          <w:noProof/>
          <w:sz w:val="16"/>
          <w:szCs w:val="18"/>
          <w:lang w:val="es-MX"/>
        </w:rPr>
        <w:drawing>
          <wp:inline distT="0" distB="0" distL="0" distR="0" wp14:anchorId="5B5B9592" wp14:editId="04ABA372">
            <wp:extent cx="5629275" cy="3869740"/>
            <wp:effectExtent l="0" t="0" r="9525" b="0"/>
            <wp:docPr id="31" name="Gráfico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5E67400" w14:textId="77777777" w:rsidR="005543F9" w:rsidRPr="008C3120" w:rsidRDefault="005543F9" w:rsidP="005543F9">
      <w:pPr>
        <w:spacing w:line="276" w:lineRule="auto"/>
        <w:contextualSpacing/>
        <w:rPr>
          <w:rFonts w:ascii="Times New Roman" w:eastAsia="Times New Roman" w:hAnsi="Times New Roman" w:cs="Times New Roman"/>
          <w:sz w:val="18"/>
          <w:szCs w:val="18"/>
          <w:lang w:val="es-MX"/>
        </w:rPr>
      </w:pPr>
      <w:r w:rsidRPr="008C3120">
        <w:rPr>
          <w:rFonts w:ascii="Times New Roman" w:eastAsia="Times New Roman" w:hAnsi="Times New Roman" w:cs="Times New Roman"/>
          <w:sz w:val="18"/>
          <w:szCs w:val="18"/>
          <w:lang w:val="es-MX"/>
        </w:rPr>
        <w:t>Fuente: Dirección de Análisis y Política Fiscal.</w:t>
      </w:r>
    </w:p>
    <w:p w14:paraId="14FCFE11" w14:textId="77777777" w:rsidR="005543F9" w:rsidRPr="004A66F0" w:rsidRDefault="005543F9" w:rsidP="005543F9">
      <w:pPr>
        <w:spacing w:line="276" w:lineRule="auto"/>
        <w:contextualSpacing/>
        <w:jc w:val="both"/>
        <w:rPr>
          <w:rFonts w:ascii="Times New Roman" w:eastAsia="Times New Roman" w:hAnsi="Times New Roman" w:cs="Times New Roman"/>
          <w:b/>
          <w:sz w:val="22"/>
          <w:szCs w:val="22"/>
        </w:rPr>
      </w:pPr>
    </w:p>
    <w:p w14:paraId="791BD35A" w14:textId="67F7F157" w:rsidR="005543F9" w:rsidRDefault="005543F9" w:rsidP="005543F9">
      <w:pPr>
        <w:spacing w:line="276" w:lineRule="auto"/>
        <w:contextualSpacing/>
        <w:jc w:val="both"/>
        <w:rPr>
          <w:rFonts w:ascii="Times New Roman" w:eastAsia="Times New Roman" w:hAnsi="Times New Roman" w:cs="Times New Roman"/>
          <w:sz w:val="22"/>
          <w:szCs w:val="22"/>
        </w:rPr>
      </w:pPr>
      <w:r w:rsidRPr="004A66F0">
        <w:rPr>
          <w:rFonts w:ascii="Calibri" w:eastAsia="Times New Roman" w:hAnsi="Calibri" w:cs="Calibri"/>
          <w:noProof/>
          <w:sz w:val="22"/>
          <w:szCs w:val="22"/>
        </w:rPr>
        <w:lastRenderedPageBreak/>
        <mc:AlternateContent>
          <mc:Choice Requires="wps">
            <w:drawing>
              <wp:inline distT="0" distB="0" distL="0" distR="0" wp14:anchorId="2250ECE7" wp14:editId="159D1DCE">
                <wp:extent cx="5612130" cy="7511572"/>
                <wp:effectExtent l="0" t="0" r="26670" b="13335"/>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2130" cy="7511572"/>
                        </a:xfrm>
                        <a:prstGeom prst="rect">
                          <a:avLst/>
                        </a:prstGeom>
                        <a:solidFill>
                          <a:srgbClr val="4472C4">
                            <a:lumMod val="20000"/>
                            <a:lumOff val="80000"/>
                          </a:srgbClr>
                        </a:solidFill>
                        <a:ln w="6350" cap="flat" cmpd="sng" algn="ctr">
                          <a:solidFill>
                            <a:sysClr val="windowText" lastClr="000000"/>
                          </a:solidFill>
                          <a:prstDash val="solid"/>
                          <a:miter lim="800000"/>
                        </a:ln>
                        <a:effectLst/>
                      </wps:spPr>
                      <wps:txbx>
                        <w:txbxContent>
                          <w:p w14:paraId="19883606" w14:textId="77777777" w:rsidR="005543F9" w:rsidRPr="0072440C" w:rsidRDefault="005543F9" w:rsidP="005543F9">
                            <w:pPr>
                              <w:jc w:val="center"/>
                              <w:rPr>
                                <w:rFonts w:ascii="Times New Roman" w:hAnsi="Times New Roman" w:cs="Times New Roman"/>
                                <w:b/>
                                <w:bCs/>
                                <w:color w:val="002060"/>
                              </w:rPr>
                            </w:pPr>
                            <w:r>
                              <w:rPr>
                                <w:rFonts w:ascii="Times New Roman" w:eastAsia="Times New Roman" w:hAnsi="Times New Roman" w:cs="Times New Roman"/>
                                <w:b/>
                                <w:sz w:val="20"/>
                                <w:szCs w:val="20"/>
                                <w:lang w:val="es-MX"/>
                              </w:rPr>
                              <w:t xml:space="preserve">Recuadro 2. </w:t>
                            </w:r>
                            <w:r w:rsidRPr="00B85496">
                              <w:rPr>
                                <w:rFonts w:ascii="Times New Roman" w:eastAsia="Times New Roman" w:hAnsi="Times New Roman" w:cs="Times New Roman"/>
                                <w:b/>
                                <w:sz w:val="20"/>
                                <w:szCs w:val="20"/>
                                <w:lang w:val="es-MX"/>
                              </w:rPr>
                              <w:t>Acciones realizadas por SAT</w:t>
                            </w:r>
                          </w:p>
                          <w:p w14:paraId="198D3EED" w14:textId="77777777" w:rsidR="005543F9" w:rsidRDefault="005543F9" w:rsidP="005543F9">
                            <w:pPr>
                              <w:jc w:val="center"/>
                              <w:rPr>
                                <w:rFonts w:ascii="Times New Roman" w:hAnsi="Times New Roman" w:cs="Times New Roman"/>
                                <w:b/>
                                <w:bCs/>
                              </w:rPr>
                            </w:pPr>
                          </w:p>
                          <w:p w14:paraId="5AB3CD28" w14:textId="77777777" w:rsidR="005543F9" w:rsidRDefault="005543F9" w:rsidP="005543F9">
                            <w:pPr>
                              <w:jc w:val="both"/>
                              <w:rPr>
                                <w:rFonts w:ascii="Times New Roman" w:hAnsi="Times New Roman" w:cs="Times New Roman"/>
                                <w:noProof/>
                                <w:color w:val="000000" w:themeColor="text1"/>
                                <w:sz w:val="20"/>
                                <w:szCs w:val="20"/>
                                <w:lang w:eastAsia="es-GT"/>
                              </w:rPr>
                            </w:pPr>
                            <w:r w:rsidRPr="006F6A34">
                              <w:rPr>
                                <w:rFonts w:ascii="Times New Roman" w:hAnsi="Times New Roman" w:cs="Times New Roman"/>
                                <w:noProof/>
                                <w:color w:val="000000" w:themeColor="text1"/>
                                <w:sz w:val="20"/>
                                <w:szCs w:val="20"/>
                                <w:lang w:eastAsia="es-GT"/>
                              </w:rPr>
                              <w:t>La Superintendencia de Administración Tributaria, en 2022 sigui</w:t>
                            </w:r>
                            <w:r>
                              <w:rPr>
                                <w:rFonts w:ascii="Times New Roman" w:hAnsi="Times New Roman" w:cs="Times New Roman"/>
                                <w:noProof/>
                                <w:color w:val="000000" w:themeColor="text1"/>
                                <w:sz w:val="20"/>
                                <w:szCs w:val="20"/>
                                <w:lang w:eastAsia="es-GT"/>
                              </w:rPr>
                              <w:t>ó</w:t>
                            </w:r>
                            <w:r w:rsidRPr="006F6A34">
                              <w:rPr>
                                <w:rFonts w:ascii="Times New Roman" w:hAnsi="Times New Roman" w:cs="Times New Roman"/>
                                <w:noProof/>
                                <w:color w:val="000000" w:themeColor="text1"/>
                                <w:sz w:val="20"/>
                                <w:szCs w:val="20"/>
                                <w:lang w:eastAsia="es-GT"/>
                              </w:rPr>
                              <w:t xml:space="preserve"> implementando acciones para aumentar la recaudación tributaria en sus intendencias</w:t>
                            </w:r>
                            <w:r>
                              <w:rPr>
                                <w:rFonts w:ascii="Times New Roman" w:hAnsi="Times New Roman" w:cs="Times New Roman"/>
                                <w:noProof/>
                                <w:color w:val="000000" w:themeColor="text1"/>
                                <w:sz w:val="20"/>
                                <w:szCs w:val="20"/>
                                <w:lang w:eastAsia="es-GT"/>
                              </w:rPr>
                              <w:t>,</w:t>
                            </w:r>
                            <w:r w:rsidRPr="006F6A34">
                              <w:rPr>
                                <w:rFonts w:ascii="Times New Roman" w:hAnsi="Times New Roman" w:cs="Times New Roman"/>
                                <w:noProof/>
                                <w:color w:val="000000" w:themeColor="text1"/>
                                <w:sz w:val="20"/>
                                <w:szCs w:val="20"/>
                                <w:lang w:eastAsia="es-GT"/>
                              </w:rPr>
                              <w:t xml:space="preserve"> de las cuales destaca:</w:t>
                            </w:r>
                          </w:p>
                          <w:p w14:paraId="3ED2672D" w14:textId="77777777" w:rsidR="005543F9" w:rsidRPr="006F6A34" w:rsidRDefault="005543F9" w:rsidP="005543F9">
                            <w:pPr>
                              <w:jc w:val="both"/>
                              <w:rPr>
                                <w:rFonts w:ascii="Times New Roman" w:hAnsi="Times New Roman" w:cs="Times New Roman"/>
                                <w:noProof/>
                                <w:color w:val="000000" w:themeColor="text1"/>
                                <w:sz w:val="20"/>
                                <w:szCs w:val="20"/>
                                <w:lang w:eastAsia="es-GT"/>
                              </w:rPr>
                            </w:pPr>
                          </w:p>
                          <w:p w14:paraId="28CCF58D" w14:textId="77777777" w:rsidR="005543F9" w:rsidRPr="00066F88" w:rsidRDefault="005543F9" w:rsidP="005543F9">
                            <w:pPr>
                              <w:pStyle w:val="Prrafodelista"/>
                              <w:numPr>
                                <w:ilvl w:val="0"/>
                                <w:numId w:val="43"/>
                              </w:numPr>
                              <w:jc w:val="both"/>
                              <w:rPr>
                                <w:rFonts w:ascii="Times New Roman" w:hAnsi="Times New Roman" w:cs="Times New Roman"/>
                                <w:noProof/>
                                <w:sz w:val="20"/>
                                <w:szCs w:val="20"/>
                                <w:lang w:eastAsia="es-GT"/>
                              </w:rPr>
                            </w:pPr>
                            <w:r w:rsidRPr="006F6A34">
                              <w:rPr>
                                <w:rFonts w:ascii="Times New Roman" w:hAnsi="Times New Roman" w:cs="Times New Roman"/>
                                <w:noProof/>
                                <w:color w:val="000000" w:themeColor="text1"/>
                                <w:sz w:val="20"/>
                                <w:szCs w:val="20"/>
                                <w:lang w:eastAsia="es-GT"/>
                              </w:rPr>
                              <w:t xml:space="preserve">La intendencia de Atención al Contribuyente, puso en marcha sistemas y herramientas </w:t>
                            </w:r>
                            <w:r>
                              <w:rPr>
                                <w:rFonts w:ascii="Times New Roman" w:hAnsi="Times New Roman" w:cs="Times New Roman"/>
                                <w:noProof/>
                                <w:color w:val="000000" w:themeColor="text1"/>
                                <w:sz w:val="20"/>
                                <w:szCs w:val="20"/>
                                <w:lang w:eastAsia="es-GT"/>
                              </w:rPr>
                              <w:t>que</w:t>
                            </w:r>
                            <w:r w:rsidRPr="006F6A34">
                              <w:rPr>
                                <w:rFonts w:ascii="Times New Roman" w:hAnsi="Times New Roman" w:cs="Times New Roman"/>
                                <w:noProof/>
                                <w:color w:val="000000" w:themeColor="text1"/>
                                <w:sz w:val="20"/>
                                <w:szCs w:val="20"/>
                                <w:lang w:eastAsia="es-GT"/>
                              </w:rPr>
                              <w:t xml:space="preserve"> facilitan el </w:t>
                            </w:r>
                            <w:r>
                              <w:rPr>
                                <w:rFonts w:ascii="Times New Roman" w:hAnsi="Times New Roman" w:cs="Times New Roman"/>
                                <w:noProof/>
                                <w:color w:val="000000" w:themeColor="text1"/>
                                <w:sz w:val="20"/>
                                <w:szCs w:val="20"/>
                                <w:lang w:eastAsia="es-GT"/>
                              </w:rPr>
                              <w:t>acceso y manejo de</w:t>
                            </w:r>
                            <w:r w:rsidRPr="006F6A34">
                              <w:rPr>
                                <w:rFonts w:ascii="Times New Roman" w:hAnsi="Times New Roman" w:cs="Times New Roman"/>
                                <w:noProof/>
                                <w:color w:val="000000" w:themeColor="text1"/>
                                <w:sz w:val="20"/>
                                <w:szCs w:val="20"/>
                                <w:lang w:eastAsia="es-GT"/>
                              </w:rPr>
                              <w:t xml:space="preserve"> la Agencia Virtual, Sistema de Citas Controladas, Asistente de Respuesta Inteligente Tributaria y Aduanera, Libro Electrónico Tributario, Cese prescrito de Actividades, Sistema de Productores y Exportadores, Aplicación Móvil de SAT, Distribución de Placas de Circulación y Atención a través del Contac Center.</w:t>
                            </w:r>
                          </w:p>
                          <w:p w14:paraId="59F4F1A5" w14:textId="77777777" w:rsidR="005543F9" w:rsidRPr="006F6A34" w:rsidRDefault="005543F9" w:rsidP="005543F9">
                            <w:pPr>
                              <w:pStyle w:val="Prrafodelista"/>
                              <w:jc w:val="both"/>
                              <w:rPr>
                                <w:rFonts w:ascii="Times New Roman" w:hAnsi="Times New Roman" w:cs="Times New Roman"/>
                                <w:noProof/>
                                <w:sz w:val="20"/>
                                <w:szCs w:val="20"/>
                                <w:lang w:eastAsia="es-GT"/>
                              </w:rPr>
                            </w:pPr>
                          </w:p>
                          <w:p w14:paraId="24E73576" w14:textId="77777777" w:rsidR="005543F9" w:rsidRPr="006F6A34" w:rsidRDefault="005543F9" w:rsidP="005543F9">
                            <w:pPr>
                              <w:pStyle w:val="Prrafodelista"/>
                              <w:numPr>
                                <w:ilvl w:val="0"/>
                                <w:numId w:val="43"/>
                              </w:numPr>
                              <w:jc w:val="both"/>
                              <w:rPr>
                                <w:rFonts w:ascii="Times New Roman" w:hAnsi="Times New Roman" w:cs="Times New Roman"/>
                                <w:noProof/>
                                <w:color w:val="000000" w:themeColor="text1"/>
                                <w:sz w:val="20"/>
                                <w:szCs w:val="20"/>
                                <w:lang w:eastAsia="es-GT"/>
                              </w:rPr>
                            </w:pPr>
                            <w:r w:rsidRPr="006F6A34">
                              <w:rPr>
                                <w:rFonts w:ascii="Times New Roman" w:hAnsi="Times New Roman" w:cs="Times New Roman"/>
                                <w:noProof/>
                                <w:color w:val="000000" w:themeColor="text1"/>
                                <w:sz w:val="20"/>
                                <w:szCs w:val="20"/>
                                <w:lang w:eastAsia="es-GT"/>
                              </w:rPr>
                              <w:t>La Intendencia de Aduanas en atención a la evaluación de la Modernización Integral Aduanera -MIAD- se reestructur</w:t>
                            </w:r>
                            <w:r>
                              <w:rPr>
                                <w:rFonts w:ascii="Times New Roman" w:hAnsi="Times New Roman" w:cs="Times New Roman"/>
                                <w:noProof/>
                                <w:color w:val="000000" w:themeColor="text1"/>
                                <w:sz w:val="20"/>
                                <w:szCs w:val="20"/>
                                <w:lang w:eastAsia="es-GT"/>
                              </w:rPr>
                              <w:t>ó</w:t>
                            </w:r>
                            <w:r w:rsidRPr="006F6A34">
                              <w:rPr>
                                <w:rFonts w:ascii="Times New Roman" w:hAnsi="Times New Roman" w:cs="Times New Roman"/>
                                <w:noProof/>
                                <w:color w:val="000000" w:themeColor="text1"/>
                                <w:sz w:val="20"/>
                                <w:szCs w:val="20"/>
                                <w:lang w:eastAsia="es-GT"/>
                              </w:rPr>
                              <w:t xml:space="preserve"> en dos departamentos siendo estos el Departamento Normativo y de Facilitación de Comercio Exterior y el Departamento de Gestión Técnica de las Mercancias</w:t>
                            </w:r>
                            <w:r>
                              <w:rPr>
                                <w:rFonts w:ascii="Times New Roman" w:hAnsi="Times New Roman" w:cs="Times New Roman"/>
                                <w:noProof/>
                                <w:color w:val="000000" w:themeColor="text1"/>
                                <w:sz w:val="20"/>
                                <w:szCs w:val="20"/>
                                <w:lang w:eastAsia="es-GT"/>
                              </w:rPr>
                              <w:t>,</w:t>
                            </w:r>
                            <w:r w:rsidRPr="006F6A34">
                              <w:rPr>
                                <w:rFonts w:ascii="Times New Roman" w:hAnsi="Times New Roman" w:cs="Times New Roman"/>
                                <w:noProof/>
                                <w:color w:val="000000" w:themeColor="text1"/>
                                <w:sz w:val="20"/>
                                <w:szCs w:val="20"/>
                                <w:lang w:eastAsia="es-GT"/>
                              </w:rPr>
                              <w:t xml:space="preserve"> </w:t>
                            </w:r>
                            <w:r>
                              <w:rPr>
                                <w:rFonts w:ascii="Times New Roman" w:hAnsi="Times New Roman" w:cs="Times New Roman"/>
                                <w:noProof/>
                                <w:color w:val="000000" w:themeColor="text1"/>
                                <w:sz w:val="20"/>
                                <w:szCs w:val="20"/>
                                <w:lang w:eastAsia="es-GT"/>
                              </w:rPr>
                              <w:t>así como</w:t>
                            </w:r>
                            <w:r w:rsidRPr="006F6A34">
                              <w:rPr>
                                <w:rFonts w:ascii="Times New Roman" w:hAnsi="Times New Roman" w:cs="Times New Roman"/>
                                <w:noProof/>
                                <w:color w:val="000000" w:themeColor="text1"/>
                                <w:sz w:val="20"/>
                                <w:szCs w:val="20"/>
                                <w:lang w:eastAsia="es-GT"/>
                              </w:rPr>
                              <w:t xml:space="preserve"> encaminar acciones para combatir la defraudación y contrabando aduaneros mediante acciones como la introducción de equipos no intrusivos en todos los puertos aéreos y marítimos, plan integral de mejora continua, mejoras en la gestión de riesgo aduanero, plan de tecnología RFID, implementación del modelo de duda razonable, la fiscalización expost, mayores controles aduaneros especiales como el modelo de cuenta corriente de insumos, establecimiento de control remoto y digital mediante acceso a camaras, rayos x, servicios web, marchamo electrónico, mejoras en la gestíon de riesgo, implementación de puestos de control interinstitucional que para finales de 2022 eran siete y la modernización aduanera entre otros.</w:t>
                            </w:r>
                          </w:p>
                          <w:p w14:paraId="54FAC6A2" w14:textId="77777777" w:rsidR="005543F9" w:rsidRPr="006F6A34" w:rsidRDefault="005543F9" w:rsidP="005543F9">
                            <w:pPr>
                              <w:pStyle w:val="Prrafodelista"/>
                              <w:jc w:val="both"/>
                              <w:rPr>
                                <w:rFonts w:ascii="Times New Roman" w:hAnsi="Times New Roman" w:cs="Times New Roman"/>
                                <w:noProof/>
                                <w:color w:val="000000" w:themeColor="text1"/>
                                <w:sz w:val="20"/>
                                <w:szCs w:val="20"/>
                                <w:lang w:eastAsia="es-GT"/>
                              </w:rPr>
                            </w:pPr>
                          </w:p>
                          <w:p w14:paraId="33A31BBB" w14:textId="77777777" w:rsidR="005543F9" w:rsidRPr="006F6A34" w:rsidRDefault="005543F9" w:rsidP="005543F9">
                            <w:pPr>
                              <w:pStyle w:val="Prrafodelista"/>
                              <w:numPr>
                                <w:ilvl w:val="0"/>
                                <w:numId w:val="43"/>
                              </w:numPr>
                              <w:jc w:val="both"/>
                              <w:rPr>
                                <w:rFonts w:ascii="Times New Roman" w:hAnsi="Times New Roman" w:cs="Times New Roman"/>
                                <w:noProof/>
                                <w:color w:val="000000" w:themeColor="text1"/>
                                <w:sz w:val="20"/>
                                <w:szCs w:val="20"/>
                                <w:lang w:eastAsia="es-GT"/>
                              </w:rPr>
                            </w:pPr>
                            <w:r w:rsidRPr="006F6A34">
                              <w:rPr>
                                <w:rFonts w:ascii="Times New Roman" w:hAnsi="Times New Roman" w:cs="Times New Roman"/>
                                <w:noProof/>
                                <w:color w:val="000000" w:themeColor="text1"/>
                                <w:sz w:val="20"/>
                                <w:szCs w:val="20"/>
                                <w:lang w:eastAsia="es-GT"/>
                              </w:rPr>
                              <w:t xml:space="preserve">La Intendencia de Asuntos Jurídicos implemento acciones como la generación de seguridad y certeza jurídica a los contribuyentes, alertivos en Agencia Virtual y Declaraguate, depuración de cartera de expedientes, modernización informatica y de gestión en procesos judiciales y Acercamiento con contribuyentes para solucionar conflictos tributarios, entre otros, además se crearon dos nuevas unidades la de Casaciones y la de Depuración de Cartera.  </w:t>
                            </w:r>
                          </w:p>
                          <w:p w14:paraId="136B9779" w14:textId="77777777" w:rsidR="005543F9" w:rsidRPr="006F6A34" w:rsidRDefault="005543F9" w:rsidP="005543F9">
                            <w:pPr>
                              <w:pStyle w:val="Prrafodelista"/>
                              <w:jc w:val="both"/>
                              <w:rPr>
                                <w:rFonts w:ascii="Times New Roman" w:hAnsi="Times New Roman" w:cs="Times New Roman"/>
                                <w:noProof/>
                                <w:color w:val="000000" w:themeColor="text1"/>
                                <w:sz w:val="20"/>
                                <w:szCs w:val="20"/>
                                <w:lang w:eastAsia="es-GT"/>
                              </w:rPr>
                            </w:pPr>
                          </w:p>
                          <w:p w14:paraId="219EBBD3" w14:textId="77777777" w:rsidR="005543F9" w:rsidRPr="006F6A34" w:rsidRDefault="005543F9" w:rsidP="005543F9">
                            <w:pPr>
                              <w:pStyle w:val="Prrafodelista"/>
                              <w:numPr>
                                <w:ilvl w:val="0"/>
                                <w:numId w:val="43"/>
                              </w:numPr>
                              <w:jc w:val="both"/>
                              <w:rPr>
                                <w:rFonts w:ascii="Times New Roman" w:hAnsi="Times New Roman" w:cs="Times New Roman"/>
                                <w:noProof/>
                                <w:color w:val="000000" w:themeColor="text1"/>
                                <w:sz w:val="20"/>
                                <w:szCs w:val="20"/>
                                <w:lang w:eastAsia="es-GT"/>
                              </w:rPr>
                            </w:pPr>
                            <w:r w:rsidRPr="006F6A34">
                              <w:rPr>
                                <w:rFonts w:ascii="Times New Roman" w:hAnsi="Times New Roman" w:cs="Times New Roman"/>
                                <w:noProof/>
                                <w:color w:val="000000" w:themeColor="text1"/>
                                <w:sz w:val="20"/>
                                <w:szCs w:val="20"/>
                                <w:lang w:eastAsia="es-GT"/>
                              </w:rPr>
                              <w:t>La reestructuración en la Intendencia de Fiscalización condujo a la creción de la unidad de fiscalización al comercio exterior a posteriori, la unidad de fiscalización de comercio electrónico y la unificación de auditorías selectivas con Precios de Transferencia.</w:t>
                            </w:r>
                          </w:p>
                          <w:p w14:paraId="61985056" w14:textId="77777777" w:rsidR="005543F9" w:rsidRPr="006F6A34" w:rsidRDefault="005543F9" w:rsidP="005543F9">
                            <w:pPr>
                              <w:pStyle w:val="Prrafodelista"/>
                              <w:jc w:val="both"/>
                              <w:rPr>
                                <w:rFonts w:ascii="Times New Roman" w:hAnsi="Times New Roman" w:cs="Times New Roman"/>
                                <w:noProof/>
                                <w:color w:val="000000" w:themeColor="text1"/>
                                <w:sz w:val="20"/>
                                <w:szCs w:val="20"/>
                                <w:lang w:eastAsia="es-GT"/>
                              </w:rPr>
                            </w:pPr>
                          </w:p>
                          <w:p w14:paraId="2B4EE669" w14:textId="77777777" w:rsidR="005543F9" w:rsidRDefault="005543F9" w:rsidP="005543F9">
                            <w:pPr>
                              <w:pStyle w:val="Prrafodelista"/>
                              <w:numPr>
                                <w:ilvl w:val="0"/>
                                <w:numId w:val="43"/>
                              </w:numPr>
                              <w:jc w:val="both"/>
                              <w:rPr>
                                <w:rFonts w:ascii="Times New Roman" w:hAnsi="Times New Roman" w:cs="Times New Roman"/>
                                <w:noProof/>
                                <w:color w:val="000000" w:themeColor="text1"/>
                                <w:sz w:val="20"/>
                                <w:szCs w:val="20"/>
                                <w:lang w:eastAsia="es-GT"/>
                              </w:rPr>
                            </w:pPr>
                            <w:r w:rsidRPr="00301F94">
                              <w:rPr>
                                <w:rFonts w:ascii="Times New Roman" w:hAnsi="Times New Roman" w:cs="Times New Roman"/>
                                <w:noProof/>
                                <w:color w:val="000000" w:themeColor="text1"/>
                                <w:sz w:val="20"/>
                                <w:szCs w:val="20"/>
                                <w:lang w:eastAsia="es-GT"/>
                              </w:rPr>
                              <w:t>La Intendencia de Recaudación luego de su reestructuración continúo con los sistemas y herramientas de facilitación y control con lo que se logro un aumentó el control de la facturación y presentación de declaraciones, implemento la construcción de potenciales de recaudación a través del uso de información de comercio exterior, mayor control sobre los omisos, integración de sistemas inteligentes, fortalecimiento del analisis sectorial, presentación de formularios Declaraguate por actividad económica y mayor control de entes exentos entre otras medidas.</w:t>
                            </w:r>
                          </w:p>
                          <w:p w14:paraId="0CEA0498" w14:textId="77777777" w:rsidR="005543F9" w:rsidRPr="00301F94" w:rsidRDefault="005543F9" w:rsidP="005543F9">
                            <w:pPr>
                              <w:jc w:val="both"/>
                              <w:rPr>
                                <w:rFonts w:ascii="Times New Roman" w:hAnsi="Times New Roman" w:cs="Times New Roman"/>
                                <w:noProof/>
                                <w:color w:val="000000" w:themeColor="text1"/>
                                <w:sz w:val="20"/>
                                <w:szCs w:val="20"/>
                                <w:lang w:eastAsia="es-GT"/>
                              </w:rPr>
                            </w:pPr>
                          </w:p>
                          <w:p w14:paraId="08BEE269" w14:textId="77777777" w:rsidR="005543F9" w:rsidRDefault="005543F9" w:rsidP="005543F9">
                            <w:pPr>
                              <w:pStyle w:val="Prrafodelista"/>
                              <w:numPr>
                                <w:ilvl w:val="0"/>
                                <w:numId w:val="43"/>
                              </w:numPr>
                              <w:jc w:val="center"/>
                              <w:rPr>
                                <w:rFonts w:ascii="Times New Roman" w:hAnsi="Times New Roman" w:cs="Times New Roman"/>
                                <w:noProof/>
                                <w:color w:val="000000" w:themeColor="text1"/>
                                <w:sz w:val="20"/>
                                <w:szCs w:val="20"/>
                                <w:lang w:eastAsia="es-GT"/>
                              </w:rPr>
                            </w:pPr>
                            <w:r w:rsidRPr="00C65B88">
                              <w:rPr>
                                <w:rFonts w:ascii="Times New Roman" w:hAnsi="Times New Roman" w:cs="Times New Roman"/>
                                <w:noProof/>
                                <w:lang w:eastAsia="es-GT"/>
                              </w:rPr>
                              <w:drawing>
                                <wp:inline distT="0" distB="0" distL="0" distR="0" wp14:anchorId="53AA3BCA" wp14:editId="44C4883A">
                                  <wp:extent cx="3189427" cy="1576657"/>
                                  <wp:effectExtent l="0" t="0" r="0" b="5080"/>
                                  <wp:docPr id="2144326659" name="Imagen 2144326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89427" cy="1576657"/>
                                          </a:xfrm>
                                          <a:prstGeom prst="rect">
                                            <a:avLst/>
                                          </a:prstGeom>
                                          <a:noFill/>
                                          <a:ln>
                                            <a:noFill/>
                                          </a:ln>
                                        </pic:spPr>
                                      </pic:pic>
                                    </a:graphicData>
                                  </a:graphic>
                                </wp:inline>
                              </w:drawing>
                            </w:r>
                          </w:p>
                          <w:p w14:paraId="1E00898C" w14:textId="77777777" w:rsidR="005543F9" w:rsidRPr="000D150A" w:rsidRDefault="005543F9" w:rsidP="005543F9">
                            <w:pPr>
                              <w:pStyle w:val="Prrafodelista"/>
                              <w:rPr>
                                <w:rFonts w:ascii="Times New Roman" w:hAnsi="Times New Roman" w:cs="Times New Roman"/>
                                <w:noProof/>
                                <w:color w:val="000000" w:themeColor="text1"/>
                                <w:sz w:val="20"/>
                                <w:szCs w:val="20"/>
                                <w:lang w:eastAsia="es-GT"/>
                              </w:rPr>
                            </w:pPr>
                          </w:p>
                          <w:p w14:paraId="15A98A91" w14:textId="77777777" w:rsidR="005543F9" w:rsidRPr="000D150A" w:rsidRDefault="005543F9" w:rsidP="005543F9">
                            <w:pPr>
                              <w:jc w:val="both"/>
                              <w:rPr>
                                <w:rFonts w:ascii="Times New Roman" w:hAnsi="Times New Roman" w:cs="Times New Roman"/>
                                <w:noProof/>
                                <w:color w:val="000000" w:themeColor="text1"/>
                                <w:sz w:val="2"/>
                                <w:szCs w:val="2"/>
                                <w:lang w:eastAsia="es-GT"/>
                              </w:rPr>
                            </w:pPr>
                          </w:p>
                          <w:p w14:paraId="243593D3" w14:textId="77777777" w:rsidR="005543F9" w:rsidRDefault="005543F9" w:rsidP="005543F9">
                            <w:pPr>
                              <w:pStyle w:val="Prrafodelista"/>
                              <w:jc w:val="center"/>
                              <w:rPr>
                                <w:rFonts w:ascii="Times New Roman" w:hAnsi="Times New Roman" w:cs="Times New Roman"/>
                                <w:noProof/>
                                <w:color w:val="000000" w:themeColor="text1"/>
                                <w:sz w:val="20"/>
                                <w:szCs w:val="20"/>
                                <w:lang w:eastAsia="es-GT"/>
                              </w:rPr>
                            </w:pPr>
                          </w:p>
                          <w:p w14:paraId="3674D381" w14:textId="77777777" w:rsidR="005543F9" w:rsidRPr="00066F88" w:rsidRDefault="005543F9" w:rsidP="005543F9">
                            <w:pPr>
                              <w:pStyle w:val="Prrafodelista"/>
                              <w:jc w:val="center"/>
                              <w:rPr>
                                <w:rFonts w:ascii="Times New Roman" w:hAnsi="Times New Roman" w:cs="Times New Roman"/>
                                <w:noProof/>
                                <w:color w:val="000000" w:themeColor="text1"/>
                                <w:sz w:val="20"/>
                                <w:szCs w:val="20"/>
                                <w:lang w:eastAsia="es-GT"/>
                              </w:rPr>
                            </w:pPr>
                          </w:p>
                          <w:p w14:paraId="3AE2CB23" w14:textId="77777777" w:rsidR="005543F9" w:rsidRPr="006F6A34" w:rsidRDefault="005543F9" w:rsidP="005543F9">
                            <w:pPr>
                              <w:pStyle w:val="Prrafodelista"/>
                              <w:jc w:val="both"/>
                              <w:rPr>
                                <w:rFonts w:ascii="Times New Roman" w:hAnsi="Times New Roman" w:cs="Times New Roman"/>
                                <w:noProof/>
                                <w:color w:val="000000" w:themeColor="text1"/>
                                <w:sz w:val="20"/>
                                <w:szCs w:val="20"/>
                                <w:lang w:eastAsia="es-GT"/>
                              </w:rPr>
                            </w:pPr>
                          </w:p>
                          <w:p w14:paraId="2997DE4D" w14:textId="77777777" w:rsidR="005543F9" w:rsidRPr="006F6A34" w:rsidRDefault="005543F9" w:rsidP="005543F9">
                            <w:pPr>
                              <w:jc w:val="center"/>
                              <w:rPr>
                                <w:rFonts w:ascii="Times New Roman" w:hAnsi="Times New Roman" w:cs="Times New Roman"/>
                                <w:b/>
                                <w:bCs/>
                                <w:sz w:val="20"/>
                                <w:szCs w:val="20"/>
                              </w:rPr>
                            </w:pPr>
                          </w:p>
                          <w:p w14:paraId="4237E89E" w14:textId="77777777" w:rsidR="005543F9" w:rsidRPr="006F6A34" w:rsidRDefault="005543F9" w:rsidP="005543F9">
                            <w:pPr>
                              <w:jc w:val="center"/>
                              <w:rPr>
                                <w:rFonts w:ascii="Times New Roman" w:hAnsi="Times New Roman" w:cs="Times New Roman"/>
                                <w:b/>
                                <w:bCs/>
                                <w:sz w:val="20"/>
                                <w:szCs w:val="20"/>
                              </w:rPr>
                            </w:pPr>
                          </w:p>
                          <w:p w14:paraId="75E3DB86" w14:textId="77777777" w:rsidR="005543F9" w:rsidRDefault="005543F9" w:rsidP="005543F9">
                            <w:pPr>
                              <w:jc w:val="center"/>
                              <w:rPr>
                                <w:rFonts w:ascii="Times New Roman" w:hAnsi="Times New Roman" w:cs="Times New Roman"/>
                                <w:b/>
                                <w:bCs/>
                              </w:rPr>
                            </w:pPr>
                          </w:p>
                          <w:p w14:paraId="4169939F" w14:textId="77777777" w:rsidR="005543F9" w:rsidRDefault="005543F9" w:rsidP="005543F9">
                            <w:pPr>
                              <w:jc w:val="center"/>
                              <w:rPr>
                                <w:rFonts w:ascii="Times New Roman" w:hAnsi="Times New Roman" w:cs="Times New Roman"/>
                                <w:b/>
                                <w:bCs/>
                              </w:rPr>
                            </w:pPr>
                          </w:p>
                          <w:p w14:paraId="0A5122FE" w14:textId="77777777" w:rsidR="005543F9" w:rsidRDefault="005543F9" w:rsidP="005543F9">
                            <w:pPr>
                              <w:jc w:val="center"/>
                              <w:rPr>
                                <w:rFonts w:ascii="Times New Roman" w:hAnsi="Times New Roman" w:cs="Times New Roman"/>
                                <w:b/>
                                <w:bCs/>
                              </w:rPr>
                            </w:pPr>
                          </w:p>
                          <w:p w14:paraId="65B810C9" w14:textId="77777777" w:rsidR="005543F9" w:rsidRDefault="005543F9" w:rsidP="005543F9">
                            <w:pPr>
                              <w:jc w:val="center"/>
                              <w:rPr>
                                <w:rFonts w:ascii="Times New Roman" w:hAnsi="Times New Roman" w:cs="Times New Roman"/>
                                <w:b/>
                                <w:bCs/>
                              </w:rPr>
                            </w:pPr>
                          </w:p>
                          <w:p w14:paraId="6168D6CB" w14:textId="77777777" w:rsidR="005543F9" w:rsidRDefault="005543F9" w:rsidP="005543F9">
                            <w:pPr>
                              <w:jc w:val="center"/>
                              <w:rPr>
                                <w:rFonts w:ascii="Times New Roman" w:hAnsi="Times New Roman" w:cs="Times New Roman"/>
                                <w:b/>
                                <w:bCs/>
                              </w:rPr>
                            </w:pPr>
                          </w:p>
                          <w:p w14:paraId="0E05198B" w14:textId="77777777" w:rsidR="005543F9" w:rsidRDefault="005543F9" w:rsidP="005543F9">
                            <w:pPr>
                              <w:jc w:val="center"/>
                              <w:rPr>
                                <w:rFonts w:ascii="Times New Roman" w:hAnsi="Times New Roman" w:cs="Times New Roman"/>
                                <w:b/>
                                <w:bCs/>
                              </w:rPr>
                            </w:pPr>
                          </w:p>
                          <w:p w14:paraId="74B19D45" w14:textId="77777777" w:rsidR="005543F9" w:rsidRDefault="005543F9" w:rsidP="005543F9">
                            <w:pPr>
                              <w:jc w:val="center"/>
                              <w:rPr>
                                <w:rFonts w:ascii="Times New Roman" w:hAnsi="Times New Roman" w:cs="Times New Roman"/>
                                <w:b/>
                                <w:bCs/>
                              </w:rPr>
                            </w:pPr>
                          </w:p>
                          <w:p w14:paraId="5CEB4D9C" w14:textId="77777777" w:rsidR="005543F9" w:rsidRDefault="005543F9" w:rsidP="005543F9">
                            <w:pPr>
                              <w:jc w:val="center"/>
                              <w:rPr>
                                <w:rFonts w:ascii="Times New Roman" w:hAnsi="Times New Roman" w:cs="Times New Roman"/>
                                <w:b/>
                                <w:bCs/>
                              </w:rPr>
                            </w:pPr>
                          </w:p>
                          <w:p w14:paraId="4A0D4917" w14:textId="77777777" w:rsidR="005543F9" w:rsidRDefault="005543F9" w:rsidP="005543F9">
                            <w:pPr>
                              <w:jc w:val="center"/>
                              <w:rPr>
                                <w:rFonts w:ascii="Times New Roman" w:hAnsi="Times New Roman" w:cs="Times New Roman"/>
                                <w:b/>
                                <w:bCs/>
                              </w:rPr>
                            </w:pPr>
                          </w:p>
                          <w:p w14:paraId="7AB9D503" w14:textId="77777777" w:rsidR="005543F9" w:rsidRDefault="005543F9" w:rsidP="005543F9">
                            <w:pPr>
                              <w:jc w:val="center"/>
                              <w:rPr>
                                <w:rFonts w:ascii="Times New Roman" w:hAnsi="Times New Roman" w:cs="Times New Roman"/>
                                <w:b/>
                                <w:bCs/>
                              </w:rPr>
                            </w:pPr>
                          </w:p>
                          <w:p w14:paraId="462DD63E" w14:textId="77777777" w:rsidR="005543F9" w:rsidRDefault="005543F9" w:rsidP="005543F9">
                            <w:pPr>
                              <w:jc w:val="center"/>
                              <w:rPr>
                                <w:rFonts w:ascii="Times New Roman" w:hAnsi="Times New Roman" w:cs="Times New Roman"/>
                                <w:b/>
                                <w:bCs/>
                              </w:rPr>
                            </w:pPr>
                          </w:p>
                          <w:p w14:paraId="6780CFA1" w14:textId="77777777" w:rsidR="005543F9" w:rsidRPr="008902B7" w:rsidRDefault="005543F9" w:rsidP="005543F9">
                            <w:pPr>
                              <w:jc w:val="center"/>
                              <w:rPr>
                                <w:rFonts w:ascii="Times New Roman" w:hAnsi="Times New Roman" w:cs="Times New Roman"/>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w:pict>
              <v:rect w14:anchorId="2250ECE7" id="Rectángulo 4" o:spid="_x0000_s1026" style="width:441.9pt;height:591.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" fillcolor="#dae3f3" strokecolor="windowText" strokeweight=".5pt">
                <v:path arrowok="t"/>
                <v:textbox>
                  <w:txbxContent>
                    <w:p w14:paraId="19883606" w14:textId="77777777" w:rsidR="005543F9" w:rsidRPr="0072440C" w:rsidRDefault="005543F9" w:rsidP="005543F9">
                      <w:pPr>
                        <w:jc w:val="center"/>
                        <w:rPr>
                          <w:rFonts w:ascii="Times New Roman" w:hAnsi="Times New Roman" w:cs="Times New Roman"/>
                          <w:b/>
                          <w:bCs/>
                          <w:color w:val="002060"/>
                        </w:rPr>
                      </w:pPr>
                      <w:r>
                        <w:rPr>
                          <w:rFonts w:ascii="Times New Roman" w:eastAsia="Times New Roman" w:hAnsi="Times New Roman" w:cs="Times New Roman"/>
                          <w:b/>
                          <w:sz w:val="20"/>
                          <w:szCs w:val="20"/>
                          <w:lang w:val="es-MX"/>
                        </w:rPr>
                        <w:t xml:space="preserve">Recuadro 2. </w:t>
                      </w:r>
                      <w:r w:rsidRPr="00B85496">
                        <w:rPr>
                          <w:rFonts w:ascii="Times New Roman" w:eastAsia="Times New Roman" w:hAnsi="Times New Roman" w:cs="Times New Roman"/>
                          <w:b/>
                          <w:sz w:val="20"/>
                          <w:szCs w:val="20"/>
                          <w:lang w:val="es-MX"/>
                        </w:rPr>
                        <w:t>Acciones realizadas por SAT</w:t>
                      </w:r>
                    </w:p>
                    <w:p w14:paraId="198D3EED" w14:textId="77777777" w:rsidR="005543F9" w:rsidRDefault="005543F9" w:rsidP="005543F9">
                      <w:pPr>
                        <w:jc w:val="center"/>
                        <w:rPr>
                          <w:rFonts w:ascii="Times New Roman" w:hAnsi="Times New Roman" w:cs="Times New Roman"/>
                          <w:b/>
                          <w:bCs/>
                        </w:rPr>
                      </w:pPr>
                    </w:p>
                    <w:p w14:paraId="5AB3CD28" w14:textId="77777777" w:rsidR="005543F9" w:rsidRDefault="005543F9" w:rsidP="005543F9">
                      <w:pPr>
                        <w:jc w:val="both"/>
                        <w:rPr>
                          <w:rFonts w:ascii="Times New Roman" w:hAnsi="Times New Roman" w:cs="Times New Roman"/>
                          <w:noProof/>
                          <w:color w:val="000000" w:themeColor="text1"/>
                          <w:sz w:val="20"/>
                          <w:szCs w:val="20"/>
                          <w:lang w:eastAsia="es-GT"/>
                        </w:rPr>
                      </w:pPr>
                      <w:r w:rsidRPr="006F6A34">
                        <w:rPr>
                          <w:rFonts w:ascii="Times New Roman" w:hAnsi="Times New Roman" w:cs="Times New Roman"/>
                          <w:noProof/>
                          <w:color w:val="000000" w:themeColor="text1"/>
                          <w:sz w:val="20"/>
                          <w:szCs w:val="20"/>
                          <w:lang w:eastAsia="es-GT"/>
                        </w:rPr>
                        <w:t>La Superintendencia de Administración Tributaria, en 2022 sigui</w:t>
                      </w:r>
                      <w:r>
                        <w:rPr>
                          <w:rFonts w:ascii="Times New Roman" w:hAnsi="Times New Roman" w:cs="Times New Roman"/>
                          <w:noProof/>
                          <w:color w:val="000000" w:themeColor="text1"/>
                          <w:sz w:val="20"/>
                          <w:szCs w:val="20"/>
                          <w:lang w:eastAsia="es-GT"/>
                        </w:rPr>
                        <w:t>ó</w:t>
                      </w:r>
                      <w:r w:rsidRPr="006F6A34">
                        <w:rPr>
                          <w:rFonts w:ascii="Times New Roman" w:hAnsi="Times New Roman" w:cs="Times New Roman"/>
                          <w:noProof/>
                          <w:color w:val="000000" w:themeColor="text1"/>
                          <w:sz w:val="20"/>
                          <w:szCs w:val="20"/>
                          <w:lang w:eastAsia="es-GT"/>
                        </w:rPr>
                        <w:t xml:space="preserve"> implementando acciones para aumentar la recaudación tributaria en sus intendencias</w:t>
                      </w:r>
                      <w:r>
                        <w:rPr>
                          <w:rFonts w:ascii="Times New Roman" w:hAnsi="Times New Roman" w:cs="Times New Roman"/>
                          <w:noProof/>
                          <w:color w:val="000000" w:themeColor="text1"/>
                          <w:sz w:val="20"/>
                          <w:szCs w:val="20"/>
                          <w:lang w:eastAsia="es-GT"/>
                        </w:rPr>
                        <w:t>,</w:t>
                      </w:r>
                      <w:r w:rsidRPr="006F6A34">
                        <w:rPr>
                          <w:rFonts w:ascii="Times New Roman" w:hAnsi="Times New Roman" w:cs="Times New Roman"/>
                          <w:noProof/>
                          <w:color w:val="000000" w:themeColor="text1"/>
                          <w:sz w:val="20"/>
                          <w:szCs w:val="20"/>
                          <w:lang w:eastAsia="es-GT"/>
                        </w:rPr>
                        <w:t xml:space="preserve"> de las cuales destaca:</w:t>
                      </w:r>
                    </w:p>
                    <w:p w14:paraId="3ED2672D" w14:textId="77777777" w:rsidR="005543F9" w:rsidRPr="006F6A34" w:rsidRDefault="005543F9" w:rsidP="005543F9">
                      <w:pPr>
                        <w:jc w:val="both"/>
                        <w:rPr>
                          <w:rFonts w:ascii="Times New Roman" w:hAnsi="Times New Roman" w:cs="Times New Roman"/>
                          <w:noProof/>
                          <w:color w:val="000000" w:themeColor="text1"/>
                          <w:sz w:val="20"/>
                          <w:szCs w:val="20"/>
                          <w:lang w:eastAsia="es-GT"/>
                        </w:rPr>
                      </w:pPr>
                    </w:p>
                    <w:p w14:paraId="28CCF58D" w14:textId="77777777" w:rsidR="005543F9" w:rsidRPr="00066F88" w:rsidRDefault="005543F9" w:rsidP="005543F9">
                      <w:pPr>
                        <w:pStyle w:val="Prrafodelista"/>
                        <w:numPr>
                          <w:ilvl w:val="0"/>
                          <w:numId w:val="43"/>
                        </w:numPr>
                        <w:jc w:val="both"/>
                        <w:rPr>
                          <w:rFonts w:ascii="Times New Roman" w:hAnsi="Times New Roman" w:cs="Times New Roman"/>
                          <w:noProof/>
                          <w:sz w:val="20"/>
                          <w:szCs w:val="20"/>
                          <w:lang w:eastAsia="es-GT"/>
                        </w:rPr>
                      </w:pPr>
                      <w:r w:rsidRPr="006F6A34">
                        <w:rPr>
                          <w:rFonts w:ascii="Times New Roman" w:hAnsi="Times New Roman" w:cs="Times New Roman"/>
                          <w:noProof/>
                          <w:color w:val="000000" w:themeColor="text1"/>
                          <w:sz w:val="20"/>
                          <w:szCs w:val="20"/>
                          <w:lang w:eastAsia="es-GT"/>
                        </w:rPr>
                        <w:t xml:space="preserve">La intendencia de Atención al Contribuyente, puso en marcha sistemas y herramientas </w:t>
                      </w:r>
                      <w:r>
                        <w:rPr>
                          <w:rFonts w:ascii="Times New Roman" w:hAnsi="Times New Roman" w:cs="Times New Roman"/>
                          <w:noProof/>
                          <w:color w:val="000000" w:themeColor="text1"/>
                          <w:sz w:val="20"/>
                          <w:szCs w:val="20"/>
                          <w:lang w:eastAsia="es-GT"/>
                        </w:rPr>
                        <w:t>que</w:t>
                      </w:r>
                      <w:r w:rsidRPr="006F6A34">
                        <w:rPr>
                          <w:rFonts w:ascii="Times New Roman" w:hAnsi="Times New Roman" w:cs="Times New Roman"/>
                          <w:noProof/>
                          <w:color w:val="000000" w:themeColor="text1"/>
                          <w:sz w:val="20"/>
                          <w:szCs w:val="20"/>
                          <w:lang w:eastAsia="es-GT"/>
                        </w:rPr>
                        <w:t xml:space="preserve"> facilitan el </w:t>
                      </w:r>
                      <w:r>
                        <w:rPr>
                          <w:rFonts w:ascii="Times New Roman" w:hAnsi="Times New Roman" w:cs="Times New Roman"/>
                          <w:noProof/>
                          <w:color w:val="000000" w:themeColor="text1"/>
                          <w:sz w:val="20"/>
                          <w:szCs w:val="20"/>
                          <w:lang w:eastAsia="es-GT"/>
                        </w:rPr>
                        <w:t>acceso y manejo de</w:t>
                      </w:r>
                      <w:r w:rsidRPr="006F6A34">
                        <w:rPr>
                          <w:rFonts w:ascii="Times New Roman" w:hAnsi="Times New Roman" w:cs="Times New Roman"/>
                          <w:noProof/>
                          <w:color w:val="000000" w:themeColor="text1"/>
                          <w:sz w:val="20"/>
                          <w:szCs w:val="20"/>
                          <w:lang w:eastAsia="es-GT"/>
                        </w:rPr>
                        <w:t xml:space="preserve"> la Agencia Virtual, Sistema de Citas Controladas, Asistente de Respuesta Inteligente Tributaria y Aduanera, Libro Electrónico Tributario, Cese prescrito de Actividades, Sistema de Productores y Exportadores, Aplicación Móvil de SAT, Distribución de Placas de Circulación y Atención a través del Contac Center.</w:t>
                      </w:r>
                    </w:p>
                    <w:p w14:paraId="59F4F1A5" w14:textId="77777777" w:rsidR="005543F9" w:rsidRPr="006F6A34" w:rsidRDefault="005543F9" w:rsidP="005543F9">
                      <w:pPr>
                        <w:pStyle w:val="Prrafodelista"/>
                        <w:jc w:val="both"/>
                        <w:rPr>
                          <w:rFonts w:ascii="Times New Roman" w:hAnsi="Times New Roman" w:cs="Times New Roman"/>
                          <w:noProof/>
                          <w:sz w:val="20"/>
                          <w:szCs w:val="20"/>
                          <w:lang w:eastAsia="es-GT"/>
                        </w:rPr>
                      </w:pPr>
                    </w:p>
                    <w:p w14:paraId="24E73576" w14:textId="77777777" w:rsidR="005543F9" w:rsidRPr="006F6A34" w:rsidRDefault="005543F9" w:rsidP="005543F9">
                      <w:pPr>
                        <w:pStyle w:val="Prrafodelista"/>
                        <w:numPr>
                          <w:ilvl w:val="0"/>
                          <w:numId w:val="43"/>
                        </w:numPr>
                        <w:jc w:val="both"/>
                        <w:rPr>
                          <w:rFonts w:ascii="Times New Roman" w:hAnsi="Times New Roman" w:cs="Times New Roman"/>
                          <w:noProof/>
                          <w:color w:val="000000" w:themeColor="text1"/>
                          <w:sz w:val="20"/>
                          <w:szCs w:val="20"/>
                          <w:lang w:eastAsia="es-GT"/>
                        </w:rPr>
                      </w:pPr>
                      <w:r w:rsidRPr="006F6A34">
                        <w:rPr>
                          <w:rFonts w:ascii="Times New Roman" w:hAnsi="Times New Roman" w:cs="Times New Roman"/>
                          <w:noProof/>
                          <w:color w:val="000000" w:themeColor="text1"/>
                          <w:sz w:val="20"/>
                          <w:szCs w:val="20"/>
                          <w:lang w:eastAsia="es-GT"/>
                        </w:rPr>
                        <w:t>La Intendencia de Aduanas en atención a la evaluación de la Modernización Integral Aduanera -MIAD- se reestructur</w:t>
                      </w:r>
                      <w:r>
                        <w:rPr>
                          <w:rFonts w:ascii="Times New Roman" w:hAnsi="Times New Roman" w:cs="Times New Roman"/>
                          <w:noProof/>
                          <w:color w:val="000000" w:themeColor="text1"/>
                          <w:sz w:val="20"/>
                          <w:szCs w:val="20"/>
                          <w:lang w:eastAsia="es-GT"/>
                        </w:rPr>
                        <w:t>ó</w:t>
                      </w:r>
                      <w:r w:rsidRPr="006F6A34">
                        <w:rPr>
                          <w:rFonts w:ascii="Times New Roman" w:hAnsi="Times New Roman" w:cs="Times New Roman"/>
                          <w:noProof/>
                          <w:color w:val="000000" w:themeColor="text1"/>
                          <w:sz w:val="20"/>
                          <w:szCs w:val="20"/>
                          <w:lang w:eastAsia="es-GT"/>
                        </w:rPr>
                        <w:t xml:space="preserve"> en dos departamentos siendo estos el Departamento Normativo y de Facilitación de Comercio Exterior y el Departamento de Gestión Técnica de las Mercancias</w:t>
                      </w:r>
                      <w:r>
                        <w:rPr>
                          <w:rFonts w:ascii="Times New Roman" w:hAnsi="Times New Roman" w:cs="Times New Roman"/>
                          <w:noProof/>
                          <w:color w:val="000000" w:themeColor="text1"/>
                          <w:sz w:val="20"/>
                          <w:szCs w:val="20"/>
                          <w:lang w:eastAsia="es-GT"/>
                        </w:rPr>
                        <w:t>,</w:t>
                      </w:r>
                      <w:r w:rsidRPr="006F6A34">
                        <w:rPr>
                          <w:rFonts w:ascii="Times New Roman" w:hAnsi="Times New Roman" w:cs="Times New Roman"/>
                          <w:noProof/>
                          <w:color w:val="000000" w:themeColor="text1"/>
                          <w:sz w:val="20"/>
                          <w:szCs w:val="20"/>
                          <w:lang w:eastAsia="es-GT"/>
                        </w:rPr>
                        <w:t xml:space="preserve"> </w:t>
                      </w:r>
                      <w:r>
                        <w:rPr>
                          <w:rFonts w:ascii="Times New Roman" w:hAnsi="Times New Roman" w:cs="Times New Roman"/>
                          <w:noProof/>
                          <w:color w:val="000000" w:themeColor="text1"/>
                          <w:sz w:val="20"/>
                          <w:szCs w:val="20"/>
                          <w:lang w:eastAsia="es-GT"/>
                        </w:rPr>
                        <w:t>así como</w:t>
                      </w:r>
                      <w:r w:rsidRPr="006F6A34">
                        <w:rPr>
                          <w:rFonts w:ascii="Times New Roman" w:hAnsi="Times New Roman" w:cs="Times New Roman"/>
                          <w:noProof/>
                          <w:color w:val="000000" w:themeColor="text1"/>
                          <w:sz w:val="20"/>
                          <w:szCs w:val="20"/>
                          <w:lang w:eastAsia="es-GT"/>
                        </w:rPr>
                        <w:t xml:space="preserve"> encaminar acciones para combatir la defraudación y contrabando aduaneros mediante acciones como la introducción de equipos no intrusivos en todos los puertos aéreos y marítimos, plan integral de mejora continua, mejoras en la gestión de riesgo aduanero, plan de tecnología RFID, implementación del modelo de duda razonable, la fiscalización expost, mayores controles aduaneros especiales como el modelo de cuenta corriente de insumos, establecimiento de control remoto y digital mediante acceso a camaras, rayos x, servicios web, marchamo electrónico, mejoras en la gestíon de riesgo, implementación de puestos de control interinstitucional que para finales de 2022 eran siete y la modernización aduanera entre otros.</w:t>
                      </w:r>
                    </w:p>
                    <w:p w14:paraId="54FAC6A2" w14:textId="77777777" w:rsidR="005543F9" w:rsidRPr="006F6A34" w:rsidRDefault="005543F9" w:rsidP="005543F9">
                      <w:pPr>
                        <w:pStyle w:val="Prrafodelista"/>
                        <w:jc w:val="both"/>
                        <w:rPr>
                          <w:rFonts w:ascii="Times New Roman" w:hAnsi="Times New Roman" w:cs="Times New Roman"/>
                          <w:noProof/>
                          <w:color w:val="000000" w:themeColor="text1"/>
                          <w:sz w:val="20"/>
                          <w:szCs w:val="20"/>
                          <w:lang w:eastAsia="es-GT"/>
                        </w:rPr>
                      </w:pPr>
                    </w:p>
                    <w:p w14:paraId="33A31BBB" w14:textId="77777777" w:rsidR="005543F9" w:rsidRPr="006F6A34" w:rsidRDefault="005543F9" w:rsidP="005543F9">
                      <w:pPr>
                        <w:pStyle w:val="Prrafodelista"/>
                        <w:numPr>
                          <w:ilvl w:val="0"/>
                          <w:numId w:val="43"/>
                        </w:numPr>
                        <w:jc w:val="both"/>
                        <w:rPr>
                          <w:rFonts w:ascii="Times New Roman" w:hAnsi="Times New Roman" w:cs="Times New Roman"/>
                          <w:noProof/>
                          <w:color w:val="000000" w:themeColor="text1"/>
                          <w:sz w:val="20"/>
                          <w:szCs w:val="20"/>
                          <w:lang w:eastAsia="es-GT"/>
                        </w:rPr>
                      </w:pPr>
                      <w:r w:rsidRPr="006F6A34">
                        <w:rPr>
                          <w:rFonts w:ascii="Times New Roman" w:hAnsi="Times New Roman" w:cs="Times New Roman"/>
                          <w:noProof/>
                          <w:color w:val="000000" w:themeColor="text1"/>
                          <w:sz w:val="20"/>
                          <w:szCs w:val="20"/>
                          <w:lang w:eastAsia="es-GT"/>
                        </w:rPr>
                        <w:t xml:space="preserve">La Intendencia de Asuntos Jurídicos implemento acciones como la generación de seguridad y certeza jurídica a los contribuyentes, alertivos en Agencia Virtual y Declaraguate, depuración de cartera de expedientes, modernización informatica y de gestión en procesos judiciales y Acercamiento con contribuyentes para solucionar conflictos tributarios, entre otros, además se crearon dos nuevas unidades la de Casaciones y la de Depuración de Cartera.  </w:t>
                      </w:r>
                    </w:p>
                    <w:p w14:paraId="136B9779" w14:textId="77777777" w:rsidR="005543F9" w:rsidRPr="006F6A34" w:rsidRDefault="005543F9" w:rsidP="005543F9">
                      <w:pPr>
                        <w:pStyle w:val="Prrafodelista"/>
                        <w:jc w:val="both"/>
                        <w:rPr>
                          <w:rFonts w:ascii="Times New Roman" w:hAnsi="Times New Roman" w:cs="Times New Roman"/>
                          <w:noProof/>
                          <w:color w:val="000000" w:themeColor="text1"/>
                          <w:sz w:val="20"/>
                          <w:szCs w:val="20"/>
                          <w:lang w:eastAsia="es-GT"/>
                        </w:rPr>
                      </w:pPr>
                    </w:p>
                    <w:p w14:paraId="219EBBD3" w14:textId="77777777" w:rsidR="005543F9" w:rsidRPr="006F6A34" w:rsidRDefault="005543F9" w:rsidP="005543F9">
                      <w:pPr>
                        <w:pStyle w:val="Prrafodelista"/>
                        <w:numPr>
                          <w:ilvl w:val="0"/>
                          <w:numId w:val="43"/>
                        </w:numPr>
                        <w:jc w:val="both"/>
                        <w:rPr>
                          <w:rFonts w:ascii="Times New Roman" w:hAnsi="Times New Roman" w:cs="Times New Roman"/>
                          <w:noProof/>
                          <w:color w:val="000000" w:themeColor="text1"/>
                          <w:sz w:val="20"/>
                          <w:szCs w:val="20"/>
                          <w:lang w:eastAsia="es-GT"/>
                        </w:rPr>
                      </w:pPr>
                      <w:r w:rsidRPr="006F6A34">
                        <w:rPr>
                          <w:rFonts w:ascii="Times New Roman" w:hAnsi="Times New Roman" w:cs="Times New Roman"/>
                          <w:noProof/>
                          <w:color w:val="000000" w:themeColor="text1"/>
                          <w:sz w:val="20"/>
                          <w:szCs w:val="20"/>
                          <w:lang w:eastAsia="es-GT"/>
                        </w:rPr>
                        <w:t>La reestructuración en la Intendencia de Fiscalización condujo a la creción de la unidad de fiscalización al comercio exterior a posteriori, la unidad de fiscalización de comercio electrónico y la unificación de auditorías selectivas con Precios de Transferencia.</w:t>
                      </w:r>
                    </w:p>
                    <w:p w14:paraId="61985056" w14:textId="77777777" w:rsidR="005543F9" w:rsidRPr="006F6A34" w:rsidRDefault="005543F9" w:rsidP="005543F9">
                      <w:pPr>
                        <w:pStyle w:val="Prrafodelista"/>
                        <w:jc w:val="both"/>
                        <w:rPr>
                          <w:rFonts w:ascii="Times New Roman" w:hAnsi="Times New Roman" w:cs="Times New Roman"/>
                          <w:noProof/>
                          <w:color w:val="000000" w:themeColor="text1"/>
                          <w:sz w:val="20"/>
                          <w:szCs w:val="20"/>
                          <w:lang w:eastAsia="es-GT"/>
                        </w:rPr>
                      </w:pPr>
                    </w:p>
                    <w:p w14:paraId="2B4EE669" w14:textId="77777777" w:rsidR="005543F9" w:rsidRDefault="005543F9" w:rsidP="005543F9">
                      <w:pPr>
                        <w:pStyle w:val="Prrafodelista"/>
                        <w:numPr>
                          <w:ilvl w:val="0"/>
                          <w:numId w:val="43"/>
                        </w:numPr>
                        <w:jc w:val="both"/>
                        <w:rPr>
                          <w:rFonts w:ascii="Times New Roman" w:hAnsi="Times New Roman" w:cs="Times New Roman"/>
                          <w:noProof/>
                          <w:color w:val="000000" w:themeColor="text1"/>
                          <w:sz w:val="20"/>
                          <w:szCs w:val="20"/>
                          <w:lang w:eastAsia="es-GT"/>
                        </w:rPr>
                      </w:pPr>
                      <w:r w:rsidRPr="00301F94">
                        <w:rPr>
                          <w:rFonts w:ascii="Times New Roman" w:hAnsi="Times New Roman" w:cs="Times New Roman"/>
                          <w:noProof/>
                          <w:color w:val="000000" w:themeColor="text1"/>
                          <w:sz w:val="20"/>
                          <w:szCs w:val="20"/>
                          <w:lang w:eastAsia="es-GT"/>
                        </w:rPr>
                        <w:t>La Intendencia de Recaudación luego de su reestructuración continúo con los sistemas y herramientas de facilitación y control con lo que se logro un aumentó el control de la facturación y presentación de declaraciones, implemento la construcción de potenciales de recaudación a través del uso de información de comercio exterior, mayor control sobre los omisos, integración de sistemas inteligentes, fortalecimiento del analisis sectorial, presentación de formularios Declaraguate por actividad económica y mayor control de entes exentos entre otras medidas.</w:t>
                      </w:r>
                    </w:p>
                    <w:p w14:paraId="0CEA0498" w14:textId="77777777" w:rsidR="005543F9" w:rsidRPr="00301F94" w:rsidRDefault="005543F9" w:rsidP="005543F9">
                      <w:pPr>
                        <w:jc w:val="both"/>
                        <w:rPr>
                          <w:rFonts w:ascii="Times New Roman" w:hAnsi="Times New Roman" w:cs="Times New Roman"/>
                          <w:noProof/>
                          <w:color w:val="000000" w:themeColor="text1"/>
                          <w:sz w:val="20"/>
                          <w:szCs w:val="20"/>
                          <w:lang w:eastAsia="es-GT"/>
                        </w:rPr>
                      </w:pPr>
                    </w:p>
                    <w:p w14:paraId="08BEE269" w14:textId="77777777" w:rsidR="005543F9" w:rsidRDefault="005543F9" w:rsidP="005543F9">
                      <w:pPr>
                        <w:pStyle w:val="Prrafodelista"/>
                        <w:numPr>
                          <w:ilvl w:val="0"/>
                          <w:numId w:val="43"/>
                        </w:numPr>
                        <w:jc w:val="center"/>
                        <w:rPr>
                          <w:rFonts w:ascii="Times New Roman" w:hAnsi="Times New Roman" w:cs="Times New Roman"/>
                          <w:noProof/>
                          <w:color w:val="000000" w:themeColor="text1"/>
                          <w:sz w:val="20"/>
                          <w:szCs w:val="20"/>
                          <w:lang w:eastAsia="es-GT"/>
                        </w:rPr>
                      </w:pPr>
                      <w:r w:rsidRPr="00C65B88">
                        <w:rPr>
                          <w:rFonts w:ascii="Times New Roman" w:hAnsi="Times New Roman" w:cs="Times New Roman"/>
                          <w:noProof/>
                          <w:lang w:eastAsia="es-GT"/>
                        </w:rPr>
                        <w:drawing>
                          <wp:inline distT="0" distB="0" distL="0" distR="0" wp14:anchorId="53AA3BCA" wp14:editId="44C4883A">
                            <wp:extent cx="3189427" cy="1576657"/>
                            <wp:effectExtent l="0" t="0" r="0" b="5080"/>
                            <wp:docPr id="2144326659" name="Imagen 2144326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9427" cy="1576657"/>
                                    </a:xfrm>
                                    <a:prstGeom prst="rect">
                                      <a:avLst/>
                                    </a:prstGeom>
                                    <a:noFill/>
                                    <a:ln>
                                      <a:noFill/>
                                    </a:ln>
                                  </pic:spPr>
                                </pic:pic>
                              </a:graphicData>
                            </a:graphic>
                          </wp:inline>
                        </w:drawing>
                      </w:r>
                    </w:p>
                    <w:p w14:paraId="1E00898C" w14:textId="77777777" w:rsidR="005543F9" w:rsidRPr="000D150A" w:rsidRDefault="005543F9" w:rsidP="005543F9">
                      <w:pPr>
                        <w:pStyle w:val="Prrafodelista"/>
                        <w:rPr>
                          <w:rFonts w:ascii="Times New Roman" w:hAnsi="Times New Roman" w:cs="Times New Roman"/>
                          <w:noProof/>
                          <w:color w:val="000000" w:themeColor="text1"/>
                          <w:sz w:val="20"/>
                          <w:szCs w:val="20"/>
                          <w:lang w:eastAsia="es-GT"/>
                        </w:rPr>
                      </w:pPr>
                    </w:p>
                    <w:p w14:paraId="15A98A91" w14:textId="77777777" w:rsidR="005543F9" w:rsidRPr="000D150A" w:rsidRDefault="005543F9" w:rsidP="005543F9">
                      <w:pPr>
                        <w:jc w:val="both"/>
                        <w:rPr>
                          <w:rFonts w:ascii="Times New Roman" w:hAnsi="Times New Roman" w:cs="Times New Roman"/>
                          <w:noProof/>
                          <w:color w:val="000000" w:themeColor="text1"/>
                          <w:sz w:val="2"/>
                          <w:szCs w:val="2"/>
                          <w:lang w:eastAsia="es-GT"/>
                        </w:rPr>
                      </w:pPr>
                    </w:p>
                    <w:p w14:paraId="243593D3" w14:textId="77777777" w:rsidR="005543F9" w:rsidRDefault="005543F9" w:rsidP="005543F9">
                      <w:pPr>
                        <w:pStyle w:val="Prrafodelista"/>
                        <w:jc w:val="center"/>
                        <w:rPr>
                          <w:rFonts w:ascii="Times New Roman" w:hAnsi="Times New Roman" w:cs="Times New Roman"/>
                          <w:noProof/>
                          <w:color w:val="000000" w:themeColor="text1"/>
                          <w:sz w:val="20"/>
                          <w:szCs w:val="20"/>
                          <w:lang w:eastAsia="es-GT"/>
                        </w:rPr>
                      </w:pPr>
                    </w:p>
                    <w:p w14:paraId="3674D381" w14:textId="77777777" w:rsidR="005543F9" w:rsidRPr="00066F88" w:rsidRDefault="005543F9" w:rsidP="005543F9">
                      <w:pPr>
                        <w:pStyle w:val="Prrafodelista"/>
                        <w:jc w:val="center"/>
                        <w:rPr>
                          <w:rFonts w:ascii="Times New Roman" w:hAnsi="Times New Roman" w:cs="Times New Roman"/>
                          <w:noProof/>
                          <w:color w:val="000000" w:themeColor="text1"/>
                          <w:sz w:val="20"/>
                          <w:szCs w:val="20"/>
                          <w:lang w:eastAsia="es-GT"/>
                        </w:rPr>
                      </w:pPr>
                    </w:p>
                    <w:p w14:paraId="3AE2CB23" w14:textId="77777777" w:rsidR="005543F9" w:rsidRPr="006F6A34" w:rsidRDefault="005543F9" w:rsidP="005543F9">
                      <w:pPr>
                        <w:pStyle w:val="Prrafodelista"/>
                        <w:jc w:val="both"/>
                        <w:rPr>
                          <w:rFonts w:ascii="Times New Roman" w:hAnsi="Times New Roman" w:cs="Times New Roman"/>
                          <w:noProof/>
                          <w:color w:val="000000" w:themeColor="text1"/>
                          <w:sz w:val="20"/>
                          <w:szCs w:val="20"/>
                          <w:lang w:eastAsia="es-GT"/>
                        </w:rPr>
                      </w:pPr>
                    </w:p>
                    <w:p w14:paraId="2997DE4D" w14:textId="77777777" w:rsidR="005543F9" w:rsidRPr="006F6A34" w:rsidRDefault="005543F9" w:rsidP="005543F9">
                      <w:pPr>
                        <w:jc w:val="center"/>
                        <w:rPr>
                          <w:rFonts w:ascii="Times New Roman" w:hAnsi="Times New Roman" w:cs="Times New Roman"/>
                          <w:b/>
                          <w:bCs/>
                          <w:sz w:val="20"/>
                          <w:szCs w:val="20"/>
                        </w:rPr>
                      </w:pPr>
                    </w:p>
                    <w:p w14:paraId="4237E89E" w14:textId="77777777" w:rsidR="005543F9" w:rsidRPr="006F6A34" w:rsidRDefault="005543F9" w:rsidP="005543F9">
                      <w:pPr>
                        <w:jc w:val="center"/>
                        <w:rPr>
                          <w:rFonts w:ascii="Times New Roman" w:hAnsi="Times New Roman" w:cs="Times New Roman"/>
                          <w:b/>
                          <w:bCs/>
                          <w:sz w:val="20"/>
                          <w:szCs w:val="20"/>
                        </w:rPr>
                      </w:pPr>
                    </w:p>
                    <w:p w14:paraId="75E3DB86" w14:textId="77777777" w:rsidR="005543F9" w:rsidRDefault="005543F9" w:rsidP="005543F9">
                      <w:pPr>
                        <w:jc w:val="center"/>
                        <w:rPr>
                          <w:rFonts w:ascii="Times New Roman" w:hAnsi="Times New Roman" w:cs="Times New Roman"/>
                          <w:b/>
                          <w:bCs/>
                        </w:rPr>
                      </w:pPr>
                    </w:p>
                    <w:p w14:paraId="4169939F" w14:textId="77777777" w:rsidR="005543F9" w:rsidRDefault="005543F9" w:rsidP="005543F9">
                      <w:pPr>
                        <w:jc w:val="center"/>
                        <w:rPr>
                          <w:rFonts w:ascii="Times New Roman" w:hAnsi="Times New Roman" w:cs="Times New Roman"/>
                          <w:b/>
                          <w:bCs/>
                        </w:rPr>
                      </w:pPr>
                    </w:p>
                    <w:p w14:paraId="0A5122FE" w14:textId="77777777" w:rsidR="005543F9" w:rsidRDefault="005543F9" w:rsidP="005543F9">
                      <w:pPr>
                        <w:jc w:val="center"/>
                        <w:rPr>
                          <w:rFonts w:ascii="Times New Roman" w:hAnsi="Times New Roman" w:cs="Times New Roman"/>
                          <w:b/>
                          <w:bCs/>
                        </w:rPr>
                      </w:pPr>
                    </w:p>
                    <w:p w14:paraId="65B810C9" w14:textId="77777777" w:rsidR="005543F9" w:rsidRDefault="005543F9" w:rsidP="005543F9">
                      <w:pPr>
                        <w:jc w:val="center"/>
                        <w:rPr>
                          <w:rFonts w:ascii="Times New Roman" w:hAnsi="Times New Roman" w:cs="Times New Roman"/>
                          <w:b/>
                          <w:bCs/>
                        </w:rPr>
                      </w:pPr>
                    </w:p>
                    <w:p w14:paraId="6168D6CB" w14:textId="77777777" w:rsidR="005543F9" w:rsidRDefault="005543F9" w:rsidP="005543F9">
                      <w:pPr>
                        <w:jc w:val="center"/>
                        <w:rPr>
                          <w:rFonts w:ascii="Times New Roman" w:hAnsi="Times New Roman" w:cs="Times New Roman"/>
                          <w:b/>
                          <w:bCs/>
                        </w:rPr>
                      </w:pPr>
                    </w:p>
                    <w:p w14:paraId="0E05198B" w14:textId="77777777" w:rsidR="005543F9" w:rsidRDefault="005543F9" w:rsidP="005543F9">
                      <w:pPr>
                        <w:jc w:val="center"/>
                        <w:rPr>
                          <w:rFonts w:ascii="Times New Roman" w:hAnsi="Times New Roman" w:cs="Times New Roman"/>
                          <w:b/>
                          <w:bCs/>
                        </w:rPr>
                      </w:pPr>
                    </w:p>
                    <w:p w14:paraId="74B19D45" w14:textId="77777777" w:rsidR="005543F9" w:rsidRDefault="005543F9" w:rsidP="005543F9">
                      <w:pPr>
                        <w:jc w:val="center"/>
                        <w:rPr>
                          <w:rFonts w:ascii="Times New Roman" w:hAnsi="Times New Roman" w:cs="Times New Roman"/>
                          <w:b/>
                          <w:bCs/>
                        </w:rPr>
                      </w:pPr>
                    </w:p>
                    <w:p w14:paraId="5CEB4D9C" w14:textId="77777777" w:rsidR="005543F9" w:rsidRDefault="005543F9" w:rsidP="005543F9">
                      <w:pPr>
                        <w:jc w:val="center"/>
                        <w:rPr>
                          <w:rFonts w:ascii="Times New Roman" w:hAnsi="Times New Roman" w:cs="Times New Roman"/>
                          <w:b/>
                          <w:bCs/>
                        </w:rPr>
                      </w:pPr>
                    </w:p>
                    <w:p w14:paraId="4A0D4917" w14:textId="77777777" w:rsidR="005543F9" w:rsidRDefault="005543F9" w:rsidP="005543F9">
                      <w:pPr>
                        <w:jc w:val="center"/>
                        <w:rPr>
                          <w:rFonts w:ascii="Times New Roman" w:hAnsi="Times New Roman" w:cs="Times New Roman"/>
                          <w:b/>
                          <w:bCs/>
                        </w:rPr>
                      </w:pPr>
                    </w:p>
                    <w:p w14:paraId="7AB9D503" w14:textId="77777777" w:rsidR="005543F9" w:rsidRDefault="005543F9" w:rsidP="005543F9">
                      <w:pPr>
                        <w:jc w:val="center"/>
                        <w:rPr>
                          <w:rFonts w:ascii="Times New Roman" w:hAnsi="Times New Roman" w:cs="Times New Roman"/>
                          <w:b/>
                          <w:bCs/>
                        </w:rPr>
                      </w:pPr>
                    </w:p>
                    <w:p w14:paraId="462DD63E" w14:textId="77777777" w:rsidR="005543F9" w:rsidRDefault="005543F9" w:rsidP="005543F9">
                      <w:pPr>
                        <w:jc w:val="center"/>
                        <w:rPr>
                          <w:rFonts w:ascii="Times New Roman" w:hAnsi="Times New Roman" w:cs="Times New Roman"/>
                          <w:b/>
                          <w:bCs/>
                        </w:rPr>
                      </w:pPr>
                    </w:p>
                    <w:p w14:paraId="6780CFA1" w14:textId="77777777" w:rsidR="005543F9" w:rsidRPr="008902B7" w:rsidRDefault="005543F9" w:rsidP="005543F9">
                      <w:pPr>
                        <w:jc w:val="center"/>
                        <w:rPr>
                          <w:rFonts w:ascii="Times New Roman" w:hAnsi="Times New Roman" w:cs="Times New Roman"/>
                          <w:b/>
                          <w:bCs/>
                        </w:rPr>
                      </w:pPr>
                    </w:p>
                  </w:txbxContent>
                </v:textbox>
                <w10:anchorlock/>
              </v:rect>
            </w:pict>
          </mc:Fallback>
        </mc:AlternateContent>
      </w:r>
    </w:p>
    <w:p w14:paraId="6F439268" w14:textId="54E9B928" w:rsidR="005543F9" w:rsidRPr="0059756B" w:rsidRDefault="00B357BB" w:rsidP="005543F9">
      <w:pPr>
        <w:keepNext/>
        <w:keepLines/>
        <w:numPr>
          <w:ilvl w:val="1"/>
          <w:numId w:val="41"/>
        </w:numPr>
        <w:spacing w:line="276" w:lineRule="auto"/>
        <w:ind w:left="567" w:hanging="283"/>
        <w:contextualSpacing/>
        <w:outlineLvl w:val="1"/>
        <w:rPr>
          <w:rFonts w:ascii="Times New Roman" w:eastAsiaTheme="majorEastAsia" w:hAnsi="Times New Roman" w:cs="Times New Roman"/>
          <w:b/>
          <w:bCs/>
          <w:sz w:val="22"/>
          <w:szCs w:val="26"/>
        </w:rPr>
      </w:pPr>
      <w:bookmarkStart w:id="8" w:name="_Toc64025428"/>
      <w:bookmarkStart w:id="9" w:name="_Toc94259622"/>
      <w:r>
        <w:rPr>
          <w:rFonts w:ascii="Times New Roman" w:eastAsia="Times New Roman" w:hAnsi="Times New Roman" w:cs="Times New Roman"/>
          <w:sz w:val="22"/>
          <w:szCs w:val="22"/>
        </w:rPr>
        <w:lastRenderedPageBreak/>
        <w:t xml:space="preserve"> </w:t>
      </w:r>
      <w:bookmarkStart w:id="10" w:name="_Toc125723277"/>
      <w:r w:rsidR="005543F9" w:rsidRPr="0059756B">
        <w:rPr>
          <w:rFonts w:ascii="Times New Roman" w:eastAsiaTheme="majorEastAsia" w:hAnsi="Times New Roman" w:cs="Times New Roman"/>
          <w:b/>
          <w:bCs/>
          <w:sz w:val="22"/>
          <w:szCs w:val="26"/>
        </w:rPr>
        <w:t xml:space="preserve">Impuesto </w:t>
      </w:r>
      <w:r w:rsidR="005543F9">
        <w:rPr>
          <w:rFonts w:ascii="Times New Roman" w:eastAsiaTheme="majorEastAsia" w:hAnsi="Times New Roman" w:cs="Times New Roman"/>
          <w:b/>
          <w:bCs/>
          <w:sz w:val="22"/>
          <w:szCs w:val="26"/>
        </w:rPr>
        <w:t>S</w:t>
      </w:r>
      <w:r w:rsidR="005543F9" w:rsidRPr="0059756B">
        <w:rPr>
          <w:rFonts w:ascii="Times New Roman" w:eastAsiaTheme="majorEastAsia" w:hAnsi="Times New Roman" w:cs="Times New Roman"/>
          <w:b/>
          <w:bCs/>
          <w:sz w:val="22"/>
          <w:szCs w:val="26"/>
        </w:rPr>
        <w:t xml:space="preserve">obre la </w:t>
      </w:r>
      <w:r w:rsidR="005543F9">
        <w:rPr>
          <w:rFonts w:ascii="Times New Roman" w:eastAsiaTheme="majorEastAsia" w:hAnsi="Times New Roman" w:cs="Times New Roman"/>
          <w:b/>
          <w:bCs/>
          <w:sz w:val="22"/>
          <w:szCs w:val="26"/>
        </w:rPr>
        <w:t>R</w:t>
      </w:r>
      <w:r w:rsidR="005543F9" w:rsidRPr="0059756B">
        <w:rPr>
          <w:rFonts w:ascii="Times New Roman" w:eastAsiaTheme="majorEastAsia" w:hAnsi="Times New Roman" w:cs="Times New Roman"/>
          <w:b/>
          <w:bCs/>
          <w:sz w:val="22"/>
          <w:szCs w:val="26"/>
        </w:rPr>
        <w:t>enta -ISR-</w:t>
      </w:r>
      <w:bookmarkEnd w:id="8"/>
      <w:bookmarkEnd w:id="9"/>
      <w:r w:rsidR="005543F9" w:rsidRPr="0059756B">
        <w:rPr>
          <w:rFonts w:ascii="Times New Roman" w:eastAsiaTheme="majorEastAsia" w:hAnsi="Times New Roman" w:cs="Times New Roman"/>
          <w:b/>
          <w:bCs/>
          <w:sz w:val="22"/>
          <w:szCs w:val="26"/>
        </w:rPr>
        <w:t xml:space="preserve"> y el Impuesto de Solidaridad -ISO-</w:t>
      </w:r>
      <w:bookmarkEnd w:id="10"/>
    </w:p>
    <w:p w14:paraId="0E5481A4" w14:textId="77777777" w:rsidR="005543F9" w:rsidRPr="004A66F0" w:rsidRDefault="005543F9" w:rsidP="005543F9">
      <w:pPr>
        <w:spacing w:line="276" w:lineRule="auto"/>
        <w:contextualSpacing/>
        <w:jc w:val="both"/>
        <w:rPr>
          <w:rFonts w:ascii="Times New Roman" w:eastAsia="Times New Roman" w:hAnsi="Times New Roman" w:cs="Times New Roman"/>
          <w:sz w:val="22"/>
          <w:szCs w:val="22"/>
          <w:lang w:val="es-MX"/>
        </w:rPr>
      </w:pPr>
    </w:p>
    <w:p w14:paraId="5AFE2CBF" w14:textId="77777777" w:rsidR="005543F9" w:rsidRPr="004A66F0" w:rsidRDefault="005543F9" w:rsidP="005543F9">
      <w:pPr>
        <w:spacing w:line="276" w:lineRule="auto"/>
        <w:contextualSpacing/>
        <w:jc w:val="both"/>
        <w:rPr>
          <w:rFonts w:ascii="Times New Roman" w:eastAsia="Times New Roman" w:hAnsi="Times New Roman" w:cs="Times New Roman"/>
          <w:sz w:val="22"/>
          <w:szCs w:val="22"/>
          <w:lang w:val="es-MX"/>
        </w:rPr>
      </w:pPr>
      <w:r w:rsidRPr="004A66F0">
        <w:rPr>
          <w:rFonts w:ascii="Times New Roman" w:eastAsia="Times New Roman" w:hAnsi="Times New Roman" w:cs="Times New Roman"/>
          <w:sz w:val="22"/>
          <w:szCs w:val="22"/>
          <w:lang w:val="es-MX"/>
        </w:rPr>
        <w:t xml:space="preserve">Estos dos impuestos lograron recaudar, en su conjunto, Q31,774.2 millones, de un estimado de Q27,793.2 millones, lo que generó una brecha positiva de Q3,981.0 millones respecto a la meta. </w:t>
      </w:r>
    </w:p>
    <w:p w14:paraId="64076FC1" w14:textId="77777777" w:rsidR="005543F9" w:rsidRPr="004A66F0" w:rsidRDefault="005543F9" w:rsidP="005543F9">
      <w:pPr>
        <w:spacing w:line="276" w:lineRule="auto"/>
        <w:contextualSpacing/>
        <w:jc w:val="both"/>
        <w:rPr>
          <w:rFonts w:ascii="Times New Roman" w:eastAsia="Times New Roman" w:hAnsi="Times New Roman" w:cs="Times New Roman"/>
          <w:sz w:val="22"/>
          <w:szCs w:val="22"/>
          <w:lang w:val="es-MX"/>
        </w:rPr>
      </w:pPr>
    </w:p>
    <w:p w14:paraId="0C572D30" w14:textId="77777777" w:rsidR="005543F9" w:rsidRPr="004A66F0" w:rsidRDefault="005543F9" w:rsidP="005543F9">
      <w:pPr>
        <w:spacing w:line="276" w:lineRule="auto"/>
        <w:contextualSpacing/>
        <w:jc w:val="both"/>
        <w:rPr>
          <w:rFonts w:ascii="Times New Roman" w:eastAsia="Times New Roman" w:hAnsi="Times New Roman" w:cs="Times New Roman"/>
          <w:sz w:val="22"/>
          <w:szCs w:val="22"/>
          <w:lang w:val="es-MX"/>
        </w:rPr>
      </w:pPr>
      <w:r w:rsidRPr="004A66F0">
        <w:rPr>
          <w:rFonts w:ascii="Times New Roman" w:eastAsia="Times New Roman" w:hAnsi="Times New Roman" w:cs="Times New Roman"/>
          <w:sz w:val="22"/>
          <w:szCs w:val="22"/>
          <w:lang w:val="es-MX"/>
        </w:rPr>
        <w:t>El ISR luego de vencimientos importantes como la liquidación anual en marzo y los pagos trimestrales percibidos en el año</w:t>
      </w:r>
      <w:r>
        <w:rPr>
          <w:rFonts w:ascii="Times New Roman" w:eastAsia="Times New Roman" w:hAnsi="Times New Roman" w:cs="Times New Roman"/>
          <w:sz w:val="22"/>
          <w:szCs w:val="22"/>
          <w:lang w:val="es-MX"/>
        </w:rPr>
        <w:t>,</w:t>
      </w:r>
      <w:r w:rsidRPr="004A66F0">
        <w:rPr>
          <w:rFonts w:ascii="Times New Roman" w:eastAsia="Times New Roman" w:hAnsi="Times New Roman" w:cs="Times New Roman"/>
          <w:sz w:val="22"/>
          <w:szCs w:val="22"/>
          <w:lang w:val="es-MX"/>
        </w:rPr>
        <w:t xml:space="preserve"> mostró recuperación</w:t>
      </w:r>
      <w:r>
        <w:rPr>
          <w:rFonts w:ascii="Times New Roman" w:eastAsia="Times New Roman" w:hAnsi="Times New Roman" w:cs="Times New Roman"/>
          <w:sz w:val="22"/>
          <w:szCs w:val="22"/>
          <w:lang w:val="es-MX"/>
        </w:rPr>
        <w:t>,</w:t>
      </w:r>
      <w:r w:rsidRPr="004A66F0">
        <w:rPr>
          <w:rFonts w:ascii="Times New Roman" w:eastAsia="Times New Roman" w:hAnsi="Times New Roman" w:cs="Times New Roman"/>
          <w:sz w:val="22"/>
          <w:szCs w:val="22"/>
          <w:lang w:val="es-MX"/>
        </w:rPr>
        <w:t xml:space="preserve"> creciendo en 10.2% respecto a lo observado en 2021, el régimen de actividades lucrativas</w:t>
      </w:r>
      <w:r w:rsidRPr="004A66F0">
        <w:rPr>
          <w:rFonts w:ascii="Times New Roman" w:eastAsia="Times New Roman" w:hAnsi="Times New Roman" w:cs="Times New Roman"/>
          <w:sz w:val="22"/>
          <w:szCs w:val="22"/>
          <w:vertAlign w:val="superscript"/>
          <w:lang w:val="es-MX"/>
        </w:rPr>
        <w:footnoteReference w:id="2"/>
      </w:r>
      <w:r w:rsidRPr="004A66F0">
        <w:rPr>
          <w:rFonts w:ascii="Times New Roman" w:eastAsia="Times New Roman" w:hAnsi="Times New Roman" w:cs="Times New Roman"/>
          <w:sz w:val="22"/>
          <w:szCs w:val="22"/>
          <w:lang w:val="es-MX"/>
        </w:rPr>
        <w:t xml:space="preserve"> creció en 18% respecto a 2021 siendo el régimen sobre renta imponible el que más aportó a este resultado, los otros regímenes (relación de dependencia, retención a no domiciliados, productos financieros y otros ingresos) mostraron resultados positivos</w:t>
      </w:r>
      <w:r>
        <w:rPr>
          <w:rFonts w:ascii="Times New Roman" w:eastAsia="Times New Roman" w:hAnsi="Times New Roman" w:cs="Times New Roman"/>
          <w:sz w:val="22"/>
          <w:szCs w:val="22"/>
          <w:lang w:val="es-MX"/>
        </w:rPr>
        <w:t xml:space="preserve"> pero moderados.  E</w:t>
      </w:r>
      <w:r w:rsidRPr="004A66F0">
        <w:rPr>
          <w:rFonts w:ascii="Times New Roman" w:eastAsia="Times New Roman" w:hAnsi="Times New Roman" w:cs="Times New Roman"/>
          <w:sz w:val="22"/>
          <w:szCs w:val="22"/>
          <w:lang w:val="es-MX"/>
        </w:rPr>
        <w:t>s importante hacer notar que si la comparación se realiza respecto al año 2019 (año sin pandemia) el ISR creció en 50%.</w:t>
      </w:r>
    </w:p>
    <w:p w14:paraId="076D3766" w14:textId="77777777" w:rsidR="005543F9" w:rsidRPr="004A66F0" w:rsidRDefault="005543F9" w:rsidP="005543F9">
      <w:pPr>
        <w:spacing w:line="276" w:lineRule="auto"/>
        <w:contextualSpacing/>
        <w:jc w:val="both"/>
        <w:rPr>
          <w:rFonts w:ascii="Times New Roman" w:eastAsia="Times New Roman" w:hAnsi="Times New Roman" w:cs="Times New Roman"/>
          <w:sz w:val="22"/>
          <w:szCs w:val="22"/>
          <w:lang w:val="es-MX"/>
        </w:rPr>
      </w:pPr>
    </w:p>
    <w:p w14:paraId="03F2F6EF" w14:textId="77777777" w:rsidR="005543F9" w:rsidRPr="004A66F0" w:rsidRDefault="005543F9" w:rsidP="005543F9">
      <w:pPr>
        <w:spacing w:line="276" w:lineRule="auto"/>
        <w:contextualSpacing/>
        <w:jc w:val="both"/>
        <w:rPr>
          <w:rFonts w:ascii="Times New Roman" w:eastAsia="Times New Roman" w:hAnsi="Times New Roman" w:cs="Times New Roman"/>
          <w:sz w:val="22"/>
          <w:szCs w:val="22"/>
          <w:lang w:val="es-MX"/>
        </w:rPr>
      </w:pPr>
      <w:r w:rsidRPr="004A66F0">
        <w:rPr>
          <w:rFonts w:ascii="Times New Roman" w:eastAsia="Times New Roman" w:hAnsi="Times New Roman" w:cs="Times New Roman"/>
          <w:sz w:val="22"/>
          <w:szCs w:val="22"/>
          <w:lang w:val="es-MX"/>
        </w:rPr>
        <w:t>El desempeño positivo en este impuesto obedece en gran medida a los esfuerzos realizados por la SAT</w:t>
      </w:r>
      <w:r>
        <w:rPr>
          <w:rFonts w:ascii="Times New Roman" w:eastAsia="Times New Roman" w:hAnsi="Times New Roman" w:cs="Times New Roman"/>
          <w:sz w:val="22"/>
          <w:szCs w:val="22"/>
          <w:lang w:val="es-MX"/>
        </w:rPr>
        <w:t>,</w:t>
      </w:r>
      <w:r w:rsidRPr="004A66F0">
        <w:rPr>
          <w:rFonts w:ascii="Times New Roman" w:eastAsia="Times New Roman" w:hAnsi="Times New Roman" w:cs="Times New Roman"/>
          <w:sz w:val="22"/>
          <w:szCs w:val="22"/>
          <w:lang w:val="es-MX"/>
        </w:rPr>
        <w:t xml:space="preserve"> la cual ha implementado mecanismos que permitier</w:t>
      </w:r>
      <w:r>
        <w:rPr>
          <w:rFonts w:ascii="Times New Roman" w:eastAsia="Times New Roman" w:hAnsi="Times New Roman" w:cs="Times New Roman"/>
          <w:sz w:val="22"/>
          <w:szCs w:val="22"/>
          <w:lang w:val="es-MX"/>
        </w:rPr>
        <w:t>o</w:t>
      </w:r>
      <w:r w:rsidRPr="004A66F0">
        <w:rPr>
          <w:rFonts w:ascii="Times New Roman" w:eastAsia="Times New Roman" w:hAnsi="Times New Roman" w:cs="Times New Roman"/>
          <w:sz w:val="22"/>
          <w:szCs w:val="22"/>
          <w:lang w:val="es-MX"/>
        </w:rPr>
        <w:t>n aumentar la percepción de riesgo de los contribuyentes, a la facilitación de suscripción de convenios de pago, mejoras en el RTU</w:t>
      </w:r>
      <w:r>
        <w:rPr>
          <w:rFonts w:ascii="Times New Roman" w:eastAsia="Times New Roman" w:hAnsi="Times New Roman" w:cs="Times New Roman"/>
          <w:sz w:val="22"/>
          <w:szCs w:val="22"/>
          <w:lang w:val="es-MX"/>
        </w:rPr>
        <w:t xml:space="preserve"> digital</w:t>
      </w:r>
      <w:r w:rsidRPr="004A66F0">
        <w:rPr>
          <w:rFonts w:ascii="Times New Roman" w:eastAsia="Times New Roman" w:hAnsi="Times New Roman" w:cs="Times New Roman"/>
          <w:sz w:val="22"/>
          <w:szCs w:val="22"/>
          <w:lang w:val="es-MX"/>
        </w:rPr>
        <w:t>, mejoras en la gestión de fiscalización y gestión judicial y el monitoreo de contribuyentes mediante el cumplimiento tributario -IPT-</w:t>
      </w:r>
      <w:r>
        <w:rPr>
          <w:rFonts w:ascii="Times New Roman" w:eastAsia="Times New Roman" w:hAnsi="Times New Roman" w:cs="Times New Roman"/>
          <w:sz w:val="22"/>
          <w:szCs w:val="22"/>
          <w:lang w:val="es-MX"/>
        </w:rPr>
        <w:t>,</w:t>
      </w:r>
      <w:r w:rsidRPr="004A66F0">
        <w:rPr>
          <w:rFonts w:ascii="Times New Roman" w:eastAsia="Times New Roman" w:hAnsi="Times New Roman" w:cs="Times New Roman"/>
          <w:sz w:val="22"/>
          <w:szCs w:val="22"/>
          <w:lang w:val="es-MX"/>
        </w:rPr>
        <w:t xml:space="preserve"> que está enfocad</w:t>
      </w:r>
      <w:r>
        <w:rPr>
          <w:rFonts w:ascii="Times New Roman" w:eastAsia="Times New Roman" w:hAnsi="Times New Roman" w:cs="Times New Roman"/>
          <w:sz w:val="22"/>
          <w:szCs w:val="22"/>
          <w:lang w:val="es-MX"/>
        </w:rPr>
        <w:t>o</w:t>
      </w:r>
      <w:r w:rsidRPr="004A66F0">
        <w:rPr>
          <w:rFonts w:ascii="Times New Roman" w:eastAsia="Times New Roman" w:hAnsi="Times New Roman" w:cs="Times New Roman"/>
          <w:sz w:val="22"/>
          <w:szCs w:val="22"/>
          <w:lang w:val="es-MX"/>
        </w:rPr>
        <w:t xml:space="preserve"> sobre la base de recaudación potencial de la Actividad Económica.</w:t>
      </w:r>
    </w:p>
    <w:p w14:paraId="1AF7EF1E" w14:textId="77777777" w:rsidR="005543F9" w:rsidRPr="004A66F0" w:rsidRDefault="005543F9" w:rsidP="005543F9">
      <w:pPr>
        <w:spacing w:line="276" w:lineRule="auto"/>
        <w:contextualSpacing/>
        <w:jc w:val="both"/>
        <w:rPr>
          <w:rFonts w:ascii="Times New Roman" w:eastAsia="Times New Roman" w:hAnsi="Times New Roman" w:cs="Times New Roman"/>
          <w:b/>
          <w:bCs/>
          <w:sz w:val="22"/>
          <w:szCs w:val="22"/>
          <w:lang w:val="es-MX"/>
        </w:rPr>
      </w:pPr>
    </w:p>
    <w:tbl>
      <w:tblPr>
        <w:tblStyle w:val="Tablaconcuadrcu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5543F9" w:rsidRPr="004A66F0" w14:paraId="18ADB34B" w14:textId="77777777" w:rsidTr="0088373D">
        <w:tc>
          <w:tcPr>
            <w:tcW w:w="4419" w:type="dxa"/>
          </w:tcPr>
          <w:p w14:paraId="349CFF88" w14:textId="37E6D145" w:rsidR="005543F9" w:rsidRPr="004A66F0" w:rsidRDefault="005543F9" w:rsidP="0088373D">
            <w:pPr>
              <w:spacing w:line="276" w:lineRule="auto"/>
              <w:contextualSpacing/>
              <w:jc w:val="center"/>
              <w:rPr>
                <w:rFonts w:ascii="Times New Roman" w:eastAsia="Times New Roman" w:hAnsi="Times New Roman"/>
                <w:b/>
                <w:sz w:val="22"/>
                <w:szCs w:val="20"/>
                <w:lang w:val="es-MX"/>
              </w:rPr>
            </w:pPr>
            <w:bookmarkStart w:id="11" w:name="_Toc125733198"/>
            <w:r w:rsidRPr="00A11E1A">
              <w:rPr>
                <w:rFonts w:ascii="Times New Roman" w:eastAsia="Times New Roman" w:hAnsi="Times New Roman"/>
                <w:b/>
                <w:sz w:val="22"/>
                <w:szCs w:val="22"/>
              </w:rPr>
              <w:t xml:space="preserve">Gráfico </w:t>
            </w:r>
            <w:r w:rsidRPr="00A11E1A">
              <w:rPr>
                <w:rFonts w:ascii="Times New Roman" w:eastAsia="Times New Roman" w:hAnsi="Times New Roman"/>
                <w:b/>
                <w:sz w:val="22"/>
                <w:szCs w:val="22"/>
              </w:rPr>
              <w:fldChar w:fldCharType="begin"/>
            </w:r>
            <w:r w:rsidRPr="00A11E1A">
              <w:rPr>
                <w:rFonts w:ascii="Times New Roman" w:eastAsia="Times New Roman" w:hAnsi="Times New Roman"/>
                <w:b/>
                <w:sz w:val="22"/>
                <w:szCs w:val="22"/>
              </w:rPr>
              <w:instrText xml:space="preserve"> SEQ Gráfico \* ARABIC </w:instrText>
            </w:r>
            <w:r w:rsidRPr="00A11E1A">
              <w:rPr>
                <w:rFonts w:ascii="Times New Roman" w:eastAsia="Times New Roman" w:hAnsi="Times New Roman"/>
                <w:b/>
                <w:sz w:val="22"/>
                <w:szCs w:val="22"/>
              </w:rPr>
              <w:fldChar w:fldCharType="separate"/>
            </w:r>
            <w:r w:rsidR="006F4BE5">
              <w:rPr>
                <w:rFonts w:ascii="Times New Roman" w:eastAsia="Times New Roman" w:hAnsi="Times New Roman"/>
                <w:b/>
                <w:noProof/>
                <w:sz w:val="22"/>
                <w:szCs w:val="22"/>
              </w:rPr>
              <w:t>2</w:t>
            </w:r>
            <w:r w:rsidRPr="00A11E1A">
              <w:rPr>
                <w:rFonts w:ascii="Times New Roman" w:eastAsia="Times New Roman" w:hAnsi="Times New Roman"/>
                <w:b/>
                <w:sz w:val="22"/>
                <w:szCs w:val="22"/>
              </w:rPr>
              <w:fldChar w:fldCharType="end"/>
            </w:r>
            <w:r w:rsidRPr="00A11E1A">
              <w:rPr>
                <w:rFonts w:ascii="Times New Roman" w:eastAsia="Times New Roman" w:hAnsi="Times New Roman"/>
                <w:b/>
                <w:sz w:val="22"/>
                <w:szCs w:val="22"/>
              </w:rPr>
              <w:t xml:space="preserve">. </w:t>
            </w:r>
            <w:r w:rsidRPr="004A66F0">
              <w:rPr>
                <w:rFonts w:ascii="Times New Roman" w:eastAsia="Times New Roman" w:hAnsi="Times New Roman"/>
                <w:b/>
                <w:sz w:val="22"/>
                <w:szCs w:val="20"/>
                <w:lang w:val="es-MX"/>
              </w:rPr>
              <w:t>Variación del ISR de actividades lucrativas</w:t>
            </w:r>
            <w:bookmarkEnd w:id="11"/>
          </w:p>
          <w:p w14:paraId="0603CFA3" w14:textId="77777777" w:rsidR="005543F9" w:rsidRPr="004A66F0" w:rsidRDefault="005543F9" w:rsidP="0088373D">
            <w:pPr>
              <w:spacing w:line="276" w:lineRule="auto"/>
              <w:contextualSpacing/>
              <w:jc w:val="center"/>
              <w:rPr>
                <w:rFonts w:ascii="Times New Roman" w:eastAsia="Times New Roman" w:hAnsi="Times New Roman"/>
                <w:sz w:val="22"/>
                <w:szCs w:val="22"/>
                <w:lang w:val="es-MX"/>
              </w:rPr>
            </w:pPr>
            <w:r w:rsidRPr="004A66F0">
              <w:rPr>
                <w:rFonts w:ascii="Times New Roman" w:eastAsia="Times New Roman" w:hAnsi="Times New Roman"/>
                <w:sz w:val="22"/>
                <w:szCs w:val="22"/>
                <w:lang w:val="es-MX"/>
              </w:rPr>
              <w:t>Porcentajes</w:t>
            </w:r>
          </w:p>
        </w:tc>
        <w:tc>
          <w:tcPr>
            <w:tcW w:w="4419" w:type="dxa"/>
          </w:tcPr>
          <w:p w14:paraId="5B4161C7" w14:textId="020F2664" w:rsidR="005543F9" w:rsidRPr="004A66F0" w:rsidRDefault="005543F9" w:rsidP="0088373D">
            <w:pPr>
              <w:spacing w:line="276" w:lineRule="auto"/>
              <w:contextualSpacing/>
              <w:jc w:val="center"/>
              <w:rPr>
                <w:rFonts w:ascii="Times New Roman" w:eastAsia="Times New Roman" w:hAnsi="Times New Roman"/>
                <w:b/>
                <w:sz w:val="22"/>
                <w:szCs w:val="20"/>
                <w:lang w:val="es-MX"/>
              </w:rPr>
            </w:pPr>
            <w:bookmarkStart w:id="12" w:name="_Toc125733199"/>
            <w:r w:rsidRPr="00A11E1A">
              <w:rPr>
                <w:rFonts w:ascii="Times New Roman" w:eastAsia="Times New Roman" w:hAnsi="Times New Roman"/>
                <w:b/>
                <w:sz w:val="22"/>
                <w:szCs w:val="22"/>
              </w:rPr>
              <w:t xml:space="preserve">Gráfico </w:t>
            </w:r>
            <w:r w:rsidRPr="00A11E1A">
              <w:rPr>
                <w:rFonts w:ascii="Times New Roman" w:eastAsia="Times New Roman" w:hAnsi="Times New Roman"/>
                <w:b/>
                <w:sz w:val="22"/>
                <w:szCs w:val="22"/>
              </w:rPr>
              <w:fldChar w:fldCharType="begin"/>
            </w:r>
            <w:r w:rsidRPr="00A11E1A">
              <w:rPr>
                <w:rFonts w:ascii="Times New Roman" w:eastAsia="Times New Roman" w:hAnsi="Times New Roman"/>
                <w:b/>
                <w:sz w:val="22"/>
                <w:szCs w:val="22"/>
              </w:rPr>
              <w:instrText xml:space="preserve"> SEQ Gráfico \* ARABIC </w:instrText>
            </w:r>
            <w:r w:rsidRPr="00A11E1A">
              <w:rPr>
                <w:rFonts w:ascii="Times New Roman" w:eastAsia="Times New Roman" w:hAnsi="Times New Roman"/>
                <w:b/>
                <w:sz w:val="22"/>
                <w:szCs w:val="22"/>
              </w:rPr>
              <w:fldChar w:fldCharType="separate"/>
            </w:r>
            <w:r w:rsidR="006F4BE5">
              <w:rPr>
                <w:rFonts w:ascii="Times New Roman" w:eastAsia="Times New Roman" w:hAnsi="Times New Roman"/>
                <w:b/>
                <w:noProof/>
                <w:sz w:val="22"/>
                <w:szCs w:val="22"/>
              </w:rPr>
              <w:t>3</w:t>
            </w:r>
            <w:r w:rsidRPr="00A11E1A">
              <w:rPr>
                <w:rFonts w:ascii="Times New Roman" w:eastAsia="Times New Roman" w:hAnsi="Times New Roman"/>
                <w:b/>
                <w:sz w:val="22"/>
                <w:szCs w:val="22"/>
              </w:rPr>
              <w:fldChar w:fldCharType="end"/>
            </w:r>
            <w:r w:rsidRPr="00A11E1A">
              <w:rPr>
                <w:rFonts w:ascii="Times New Roman" w:eastAsia="Times New Roman" w:hAnsi="Times New Roman"/>
                <w:b/>
                <w:sz w:val="22"/>
                <w:szCs w:val="22"/>
              </w:rPr>
              <w:t xml:space="preserve">. </w:t>
            </w:r>
            <w:r w:rsidRPr="004A66F0">
              <w:rPr>
                <w:rFonts w:ascii="Times New Roman" w:eastAsia="Times New Roman" w:hAnsi="Times New Roman"/>
                <w:b/>
                <w:sz w:val="22"/>
                <w:szCs w:val="20"/>
                <w:lang w:val="es-MX"/>
              </w:rPr>
              <w:t>Variación del ISR en relación de dependencia</w:t>
            </w:r>
            <w:bookmarkEnd w:id="12"/>
          </w:p>
          <w:p w14:paraId="7650E6A8" w14:textId="77777777" w:rsidR="005543F9" w:rsidRPr="004A66F0" w:rsidRDefault="005543F9" w:rsidP="0088373D">
            <w:pPr>
              <w:spacing w:line="276" w:lineRule="auto"/>
              <w:contextualSpacing/>
              <w:jc w:val="center"/>
              <w:rPr>
                <w:rFonts w:ascii="Times New Roman" w:eastAsia="Times New Roman" w:hAnsi="Times New Roman"/>
                <w:sz w:val="22"/>
                <w:szCs w:val="22"/>
                <w:lang w:val="es-MX"/>
              </w:rPr>
            </w:pPr>
            <w:r w:rsidRPr="004A66F0">
              <w:rPr>
                <w:rFonts w:ascii="Times New Roman" w:eastAsia="Times New Roman" w:hAnsi="Times New Roman"/>
                <w:sz w:val="22"/>
                <w:szCs w:val="22"/>
                <w:lang w:val="es-MX"/>
              </w:rPr>
              <w:t>Porcentajes</w:t>
            </w:r>
          </w:p>
        </w:tc>
      </w:tr>
      <w:tr w:rsidR="005543F9" w:rsidRPr="004A66F0" w14:paraId="3EF9F82B" w14:textId="77777777" w:rsidTr="0088373D">
        <w:tc>
          <w:tcPr>
            <w:tcW w:w="4419" w:type="dxa"/>
          </w:tcPr>
          <w:p w14:paraId="5AC40C40" w14:textId="77777777" w:rsidR="005543F9" w:rsidRPr="004A66F0" w:rsidRDefault="005543F9" w:rsidP="0088373D">
            <w:pPr>
              <w:spacing w:line="276" w:lineRule="auto"/>
              <w:contextualSpacing/>
              <w:jc w:val="both"/>
              <w:rPr>
                <w:rFonts w:ascii="Times New Roman" w:eastAsia="Times New Roman" w:hAnsi="Times New Roman"/>
                <w:sz w:val="22"/>
                <w:szCs w:val="22"/>
                <w:lang w:val="es-MX"/>
              </w:rPr>
            </w:pPr>
            <w:r w:rsidRPr="004A66F0">
              <w:rPr>
                <w:rFonts w:ascii="Times New Roman" w:eastAsia="Times New Roman" w:hAnsi="Times New Roman"/>
                <w:noProof/>
                <w:sz w:val="22"/>
                <w:szCs w:val="22"/>
                <w:lang w:eastAsia="es-GT"/>
              </w:rPr>
              <w:drawing>
                <wp:inline distT="0" distB="0" distL="0" distR="0" wp14:anchorId="478D310A" wp14:editId="0E9F383C">
                  <wp:extent cx="2752725" cy="2101850"/>
                  <wp:effectExtent l="0" t="0" r="0" b="0"/>
                  <wp:docPr id="30" name="Gráfico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c>
          <w:tcPr>
            <w:tcW w:w="4419" w:type="dxa"/>
          </w:tcPr>
          <w:p w14:paraId="2E16E272" w14:textId="77777777" w:rsidR="005543F9" w:rsidRPr="004A66F0" w:rsidRDefault="005543F9" w:rsidP="0088373D">
            <w:pPr>
              <w:spacing w:line="276" w:lineRule="auto"/>
              <w:contextualSpacing/>
              <w:jc w:val="both"/>
              <w:rPr>
                <w:rFonts w:ascii="Times New Roman" w:eastAsia="Times New Roman" w:hAnsi="Times New Roman"/>
                <w:sz w:val="22"/>
                <w:szCs w:val="22"/>
                <w:lang w:val="es-MX"/>
              </w:rPr>
            </w:pPr>
            <w:r w:rsidRPr="004A66F0">
              <w:rPr>
                <w:rFonts w:ascii="Times New Roman" w:eastAsia="Times New Roman" w:hAnsi="Times New Roman"/>
                <w:noProof/>
                <w:sz w:val="22"/>
                <w:szCs w:val="22"/>
                <w:lang w:eastAsia="es-GT"/>
              </w:rPr>
              <w:drawing>
                <wp:inline distT="0" distB="0" distL="0" distR="0" wp14:anchorId="0D3D02FB" wp14:editId="78A81EF6">
                  <wp:extent cx="2752725" cy="2101850"/>
                  <wp:effectExtent l="0" t="0" r="0" b="0"/>
                  <wp:docPr id="29" name="Gráfico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bl>
    <w:p w14:paraId="16B271C6" w14:textId="77777777" w:rsidR="005543F9" w:rsidRPr="004A66F0" w:rsidRDefault="005543F9" w:rsidP="005543F9">
      <w:pPr>
        <w:spacing w:line="276" w:lineRule="auto"/>
        <w:contextualSpacing/>
        <w:jc w:val="both"/>
        <w:rPr>
          <w:rFonts w:ascii="Times New Roman" w:eastAsia="Times New Roman" w:hAnsi="Times New Roman" w:cs="Times New Roman"/>
          <w:sz w:val="18"/>
          <w:szCs w:val="16"/>
          <w:lang w:val="es-MX"/>
        </w:rPr>
      </w:pPr>
      <w:r w:rsidRPr="004A66F0">
        <w:rPr>
          <w:rFonts w:ascii="Times New Roman" w:eastAsia="Times New Roman" w:hAnsi="Times New Roman" w:cs="Times New Roman"/>
          <w:sz w:val="18"/>
          <w:szCs w:val="16"/>
          <w:lang w:val="es-MX"/>
        </w:rPr>
        <w:t xml:space="preserve">        Fuente: Dirección de Análisis y Política Fiscal.</w:t>
      </w:r>
    </w:p>
    <w:p w14:paraId="56C37ED6" w14:textId="45142B7B" w:rsidR="005543F9" w:rsidRDefault="005543F9" w:rsidP="005543F9">
      <w:pPr>
        <w:spacing w:line="276" w:lineRule="auto"/>
        <w:contextualSpacing/>
        <w:jc w:val="both"/>
        <w:rPr>
          <w:rFonts w:ascii="Times New Roman" w:eastAsia="Times New Roman" w:hAnsi="Times New Roman" w:cs="Times New Roman"/>
          <w:sz w:val="22"/>
          <w:szCs w:val="22"/>
          <w:lang w:val="es-MX"/>
        </w:rPr>
      </w:pPr>
    </w:p>
    <w:p w14:paraId="41DD26D5" w14:textId="18CF624E" w:rsidR="00564342" w:rsidRDefault="00564342" w:rsidP="005543F9">
      <w:pPr>
        <w:spacing w:line="276" w:lineRule="auto"/>
        <w:contextualSpacing/>
        <w:jc w:val="both"/>
        <w:rPr>
          <w:rFonts w:ascii="Times New Roman" w:eastAsia="Times New Roman" w:hAnsi="Times New Roman" w:cs="Times New Roman"/>
          <w:sz w:val="22"/>
          <w:szCs w:val="22"/>
          <w:lang w:val="es-MX"/>
        </w:rPr>
      </w:pPr>
    </w:p>
    <w:p w14:paraId="66FB0AB3" w14:textId="77777777" w:rsidR="00564342" w:rsidRPr="004A66F0" w:rsidRDefault="00564342" w:rsidP="005543F9">
      <w:pPr>
        <w:spacing w:line="276" w:lineRule="auto"/>
        <w:contextualSpacing/>
        <w:jc w:val="both"/>
        <w:rPr>
          <w:rFonts w:ascii="Times New Roman" w:eastAsia="Times New Roman" w:hAnsi="Times New Roman" w:cs="Times New Roman"/>
          <w:sz w:val="22"/>
          <w:szCs w:val="22"/>
          <w:lang w:val="es-MX"/>
        </w:rPr>
      </w:pPr>
    </w:p>
    <w:p w14:paraId="24E5C3A4" w14:textId="77777777" w:rsidR="005543F9" w:rsidRPr="008C0FA7" w:rsidRDefault="005543F9" w:rsidP="005543F9">
      <w:pPr>
        <w:keepNext/>
        <w:keepLines/>
        <w:numPr>
          <w:ilvl w:val="1"/>
          <w:numId w:val="41"/>
        </w:numPr>
        <w:spacing w:line="276" w:lineRule="auto"/>
        <w:ind w:left="567" w:hanging="283"/>
        <w:contextualSpacing/>
        <w:outlineLvl w:val="1"/>
        <w:rPr>
          <w:rFonts w:ascii="Times New Roman" w:eastAsiaTheme="majorEastAsia" w:hAnsi="Times New Roman" w:cs="Times New Roman"/>
          <w:b/>
          <w:bCs/>
          <w:sz w:val="22"/>
          <w:szCs w:val="26"/>
        </w:rPr>
      </w:pPr>
      <w:bookmarkStart w:id="13" w:name="_Toc64025429"/>
      <w:bookmarkStart w:id="14" w:name="_Toc94259623"/>
      <w:r>
        <w:rPr>
          <w:rFonts w:ascii="Times New Roman" w:eastAsiaTheme="majorEastAsia" w:hAnsi="Times New Roman" w:cs="Times New Roman"/>
          <w:b/>
          <w:bCs/>
          <w:sz w:val="22"/>
          <w:szCs w:val="26"/>
        </w:rPr>
        <w:lastRenderedPageBreak/>
        <w:t xml:space="preserve"> </w:t>
      </w:r>
      <w:bookmarkStart w:id="15" w:name="_Toc125723278"/>
      <w:r w:rsidRPr="008C0FA7">
        <w:rPr>
          <w:rFonts w:ascii="Times New Roman" w:eastAsiaTheme="majorEastAsia" w:hAnsi="Times New Roman" w:cs="Times New Roman"/>
          <w:b/>
          <w:bCs/>
          <w:sz w:val="22"/>
          <w:szCs w:val="26"/>
        </w:rPr>
        <w:t>Impuesto al Valor Agregado</w:t>
      </w:r>
      <w:bookmarkEnd w:id="13"/>
      <w:bookmarkEnd w:id="14"/>
      <w:r w:rsidRPr="008C0FA7">
        <w:rPr>
          <w:rFonts w:ascii="Times New Roman" w:eastAsiaTheme="majorEastAsia" w:hAnsi="Times New Roman" w:cs="Times New Roman"/>
          <w:b/>
          <w:bCs/>
          <w:sz w:val="22"/>
          <w:szCs w:val="26"/>
        </w:rPr>
        <w:t xml:space="preserve"> -IVA-</w:t>
      </w:r>
      <w:bookmarkEnd w:id="15"/>
    </w:p>
    <w:p w14:paraId="1D8F33A3" w14:textId="77777777" w:rsidR="005543F9" w:rsidRPr="004A66F0" w:rsidRDefault="005543F9" w:rsidP="005543F9">
      <w:pPr>
        <w:spacing w:line="276" w:lineRule="auto"/>
        <w:contextualSpacing/>
        <w:jc w:val="both"/>
        <w:rPr>
          <w:rFonts w:ascii="Times New Roman" w:eastAsia="Times New Roman" w:hAnsi="Times New Roman" w:cs="Times New Roman"/>
          <w:sz w:val="22"/>
          <w:szCs w:val="22"/>
          <w:lang w:val="es-MX"/>
        </w:rPr>
      </w:pPr>
    </w:p>
    <w:p w14:paraId="19BCAB84" w14:textId="77777777" w:rsidR="005543F9" w:rsidRDefault="005543F9" w:rsidP="005543F9">
      <w:pPr>
        <w:spacing w:line="276" w:lineRule="auto"/>
        <w:contextualSpacing/>
        <w:jc w:val="both"/>
        <w:rPr>
          <w:rFonts w:ascii="Times New Roman" w:eastAsia="Times New Roman" w:hAnsi="Times New Roman" w:cs="Times New Roman"/>
          <w:sz w:val="22"/>
          <w:szCs w:val="22"/>
        </w:rPr>
      </w:pPr>
      <w:r w:rsidRPr="004A66F0">
        <w:rPr>
          <w:rFonts w:ascii="Times New Roman" w:eastAsia="Times New Roman" w:hAnsi="Times New Roman" w:cs="Times New Roman"/>
          <w:sz w:val="22"/>
          <w:szCs w:val="22"/>
        </w:rPr>
        <w:t>Este impuesto generó una brecha positiva de Q6,984.3 millones respecto a la meta, explicada en su mayoría por el IVA asociado al comercio exterior, el cual mantiene la dinámica observada en 2021, principalmente como reflejo al aumento de precios en los combustibles</w:t>
      </w:r>
      <w:r>
        <w:rPr>
          <w:rFonts w:ascii="Times New Roman" w:eastAsia="Times New Roman" w:hAnsi="Times New Roman" w:cs="Times New Roman"/>
          <w:sz w:val="22"/>
          <w:szCs w:val="22"/>
        </w:rPr>
        <w:t>.</w:t>
      </w:r>
      <w:r w:rsidRPr="004A66F0">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C</w:t>
      </w:r>
      <w:r w:rsidRPr="004A66F0">
        <w:rPr>
          <w:rFonts w:ascii="Times New Roman" w:eastAsia="Times New Roman" w:hAnsi="Times New Roman" w:cs="Times New Roman"/>
          <w:sz w:val="22"/>
          <w:szCs w:val="22"/>
        </w:rPr>
        <w:t>on relación a 2021 se observó un crecimiento en el IVA total de 17.4% es decir se generó una brecha positiva de Q6,419.1 millones.</w:t>
      </w:r>
    </w:p>
    <w:p w14:paraId="760C9C60" w14:textId="77777777" w:rsidR="005543F9" w:rsidRPr="004A66F0" w:rsidRDefault="005543F9" w:rsidP="005543F9">
      <w:pPr>
        <w:spacing w:line="276" w:lineRule="auto"/>
        <w:contextualSpacing/>
        <w:jc w:val="both"/>
        <w:rPr>
          <w:rFonts w:ascii="Times New Roman" w:eastAsia="Times New Roman" w:hAnsi="Times New Roman" w:cs="Times New Roman"/>
          <w:sz w:val="22"/>
          <w:szCs w:val="22"/>
        </w:rPr>
      </w:pPr>
    </w:p>
    <w:p w14:paraId="5CD7FC45" w14:textId="046EDEAC" w:rsidR="005543F9" w:rsidRPr="004A66F0" w:rsidRDefault="005543F9" w:rsidP="005543F9">
      <w:pPr>
        <w:spacing w:line="276" w:lineRule="auto"/>
        <w:contextualSpacing/>
        <w:jc w:val="center"/>
        <w:rPr>
          <w:rFonts w:ascii="Times New Roman" w:eastAsia="Times New Roman" w:hAnsi="Times New Roman" w:cs="Times New Roman"/>
          <w:b/>
          <w:bCs/>
          <w:sz w:val="22"/>
          <w:szCs w:val="22"/>
        </w:rPr>
      </w:pPr>
      <w:bookmarkStart w:id="16" w:name="_Toc125733200"/>
      <w:r w:rsidRPr="00A11E1A">
        <w:rPr>
          <w:rFonts w:ascii="Times New Roman" w:eastAsia="Times New Roman" w:hAnsi="Times New Roman" w:cs="Times New Roman"/>
          <w:b/>
          <w:sz w:val="22"/>
          <w:szCs w:val="22"/>
        </w:rPr>
        <w:t xml:space="preserve">Gráfico </w:t>
      </w:r>
      <w:r w:rsidRPr="00A11E1A">
        <w:rPr>
          <w:rFonts w:ascii="Times New Roman" w:eastAsia="Times New Roman" w:hAnsi="Times New Roman" w:cs="Times New Roman"/>
          <w:b/>
          <w:sz w:val="22"/>
          <w:szCs w:val="22"/>
        </w:rPr>
        <w:fldChar w:fldCharType="begin"/>
      </w:r>
      <w:r w:rsidRPr="00A11E1A">
        <w:rPr>
          <w:rFonts w:ascii="Times New Roman" w:eastAsia="Times New Roman" w:hAnsi="Times New Roman" w:cs="Times New Roman"/>
          <w:b/>
          <w:sz w:val="22"/>
          <w:szCs w:val="22"/>
        </w:rPr>
        <w:instrText xml:space="preserve"> SEQ Gráfico \* ARABIC </w:instrText>
      </w:r>
      <w:r w:rsidRPr="00A11E1A">
        <w:rPr>
          <w:rFonts w:ascii="Times New Roman" w:eastAsia="Times New Roman" w:hAnsi="Times New Roman" w:cs="Times New Roman"/>
          <w:b/>
          <w:sz w:val="22"/>
          <w:szCs w:val="22"/>
        </w:rPr>
        <w:fldChar w:fldCharType="separate"/>
      </w:r>
      <w:r w:rsidR="006F4BE5">
        <w:rPr>
          <w:rFonts w:ascii="Times New Roman" w:eastAsia="Times New Roman" w:hAnsi="Times New Roman" w:cs="Times New Roman"/>
          <w:b/>
          <w:noProof/>
          <w:sz w:val="22"/>
          <w:szCs w:val="22"/>
        </w:rPr>
        <w:t>4</w:t>
      </w:r>
      <w:r w:rsidRPr="00A11E1A">
        <w:rPr>
          <w:rFonts w:ascii="Times New Roman" w:eastAsia="Times New Roman" w:hAnsi="Times New Roman" w:cs="Times New Roman"/>
          <w:b/>
          <w:sz w:val="22"/>
          <w:szCs w:val="22"/>
        </w:rPr>
        <w:fldChar w:fldCharType="end"/>
      </w:r>
      <w:r>
        <w:rPr>
          <w:rFonts w:ascii="Times New Roman" w:eastAsia="Times New Roman" w:hAnsi="Times New Roman" w:cs="Times New Roman"/>
          <w:b/>
          <w:sz w:val="22"/>
          <w:szCs w:val="22"/>
        </w:rPr>
        <w:t xml:space="preserve">. </w:t>
      </w:r>
      <w:r w:rsidRPr="004A66F0">
        <w:rPr>
          <w:rFonts w:ascii="Times New Roman" w:eastAsia="Times New Roman" w:hAnsi="Times New Roman" w:cs="Times New Roman"/>
          <w:b/>
          <w:bCs/>
          <w:sz w:val="22"/>
          <w:szCs w:val="22"/>
        </w:rPr>
        <w:t>Brecha del impuesto al valor agregado respecto a presupuesto</w:t>
      </w:r>
      <w:bookmarkEnd w:id="16"/>
    </w:p>
    <w:p w14:paraId="64F5C465" w14:textId="77777777" w:rsidR="005543F9" w:rsidRPr="004A66F0" w:rsidRDefault="005543F9" w:rsidP="005543F9">
      <w:pPr>
        <w:spacing w:line="276" w:lineRule="auto"/>
        <w:contextualSpacing/>
        <w:jc w:val="center"/>
        <w:rPr>
          <w:rFonts w:ascii="Times New Roman" w:eastAsia="Times New Roman" w:hAnsi="Times New Roman" w:cs="Times New Roman"/>
          <w:sz w:val="22"/>
          <w:szCs w:val="22"/>
        </w:rPr>
      </w:pPr>
      <w:r w:rsidRPr="004A66F0">
        <w:rPr>
          <w:rFonts w:ascii="Times New Roman" w:eastAsia="Times New Roman" w:hAnsi="Times New Roman" w:cs="Times New Roman"/>
          <w:sz w:val="22"/>
          <w:szCs w:val="22"/>
        </w:rPr>
        <w:t>Millones de quetzales</w:t>
      </w:r>
    </w:p>
    <w:p w14:paraId="437C5505" w14:textId="77777777" w:rsidR="005543F9" w:rsidRPr="004A66F0" w:rsidRDefault="005543F9" w:rsidP="005543F9">
      <w:pPr>
        <w:spacing w:line="276" w:lineRule="auto"/>
        <w:contextualSpacing/>
        <w:jc w:val="center"/>
        <w:rPr>
          <w:rFonts w:ascii="Times New Roman" w:eastAsia="Times New Roman" w:hAnsi="Times New Roman" w:cs="Times New Roman"/>
          <w:sz w:val="22"/>
          <w:szCs w:val="22"/>
        </w:rPr>
      </w:pPr>
      <w:r w:rsidRPr="004A66F0">
        <w:rPr>
          <w:rFonts w:ascii="Times New Roman" w:eastAsia="Times New Roman" w:hAnsi="Times New Roman" w:cs="Times New Roman"/>
          <w:noProof/>
          <w:sz w:val="22"/>
          <w:szCs w:val="22"/>
          <w:lang w:eastAsia="es-GT"/>
        </w:rPr>
        <w:drawing>
          <wp:inline distT="0" distB="0" distL="0" distR="0" wp14:anchorId="64B8C404" wp14:editId="1F44C903">
            <wp:extent cx="5410200" cy="2390775"/>
            <wp:effectExtent l="0" t="0" r="0" b="0"/>
            <wp:docPr id="28" name="Gráfico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3D68419" w14:textId="77777777" w:rsidR="005543F9" w:rsidRPr="004A66F0" w:rsidRDefault="005543F9" w:rsidP="005543F9">
      <w:pPr>
        <w:spacing w:line="276" w:lineRule="auto"/>
        <w:ind w:firstLine="708"/>
        <w:contextualSpacing/>
        <w:jc w:val="both"/>
        <w:rPr>
          <w:rFonts w:ascii="Times New Roman" w:eastAsia="Times New Roman" w:hAnsi="Times New Roman" w:cs="Times New Roman"/>
          <w:sz w:val="18"/>
          <w:szCs w:val="22"/>
        </w:rPr>
      </w:pPr>
      <w:r w:rsidRPr="004A66F0">
        <w:rPr>
          <w:rFonts w:ascii="Times New Roman" w:eastAsia="Times New Roman" w:hAnsi="Times New Roman" w:cs="Times New Roman"/>
          <w:sz w:val="18"/>
          <w:szCs w:val="22"/>
        </w:rPr>
        <w:t>Fuente: Ministerio de Finanzas Públicas.</w:t>
      </w:r>
    </w:p>
    <w:p w14:paraId="27968069" w14:textId="77777777" w:rsidR="005543F9" w:rsidRPr="004A66F0" w:rsidRDefault="005543F9" w:rsidP="005543F9">
      <w:pPr>
        <w:spacing w:line="276" w:lineRule="auto"/>
        <w:contextualSpacing/>
        <w:jc w:val="both"/>
        <w:rPr>
          <w:rFonts w:ascii="Times New Roman" w:eastAsia="Times New Roman" w:hAnsi="Times New Roman" w:cs="Times New Roman"/>
          <w:sz w:val="22"/>
          <w:szCs w:val="22"/>
        </w:rPr>
      </w:pPr>
    </w:p>
    <w:p w14:paraId="53C90101" w14:textId="77777777" w:rsidR="005543F9" w:rsidRPr="004A66F0" w:rsidRDefault="005543F9" w:rsidP="005543F9">
      <w:pPr>
        <w:spacing w:line="276" w:lineRule="auto"/>
        <w:contextualSpacing/>
        <w:jc w:val="both"/>
        <w:rPr>
          <w:rFonts w:ascii="Times New Roman" w:eastAsia="Times New Roman" w:hAnsi="Times New Roman" w:cs="Times New Roman"/>
          <w:sz w:val="22"/>
          <w:szCs w:val="22"/>
        </w:rPr>
      </w:pPr>
      <w:r w:rsidRPr="004A66F0">
        <w:rPr>
          <w:rFonts w:ascii="Times New Roman" w:eastAsia="Times New Roman" w:hAnsi="Times New Roman" w:cs="Times New Roman"/>
          <w:sz w:val="22"/>
          <w:szCs w:val="22"/>
        </w:rPr>
        <w:t xml:space="preserve">El IVA asociado al consumo interno creció en 11.9% respecto a 2021 y superó la meta en Q1,992.9 millones, este impuesto en su apertura por régimen </w:t>
      </w:r>
      <w:r>
        <w:rPr>
          <w:rFonts w:ascii="Times New Roman" w:eastAsia="Times New Roman" w:hAnsi="Times New Roman" w:cs="Times New Roman"/>
          <w:sz w:val="22"/>
          <w:szCs w:val="22"/>
        </w:rPr>
        <w:t>muestra</w:t>
      </w:r>
      <w:r w:rsidRPr="004A66F0">
        <w:rPr>
          <w:rFonts w:ascii="Times New Roman" w:eastAsia="Times New Roman" w:hAnsi="Times New Roman" w:cs="Times New Roman"/>
          <w:sz w:val="22"/>
          <w:szCs w:val="22"/>
        </w:rPr>
        <w:t xml:space="preserve"> que el que más aporta a la recaudación es el </w:t>
      </w:r>
      <w:r>
        <w:rPr>
          <w:rFonts w:ascii="Times New Roman" w:eastAsia="Times New Roman" w:hAnsi="Times New Roman" w:cs="Times New Roman"/>
          <w:sz w:val="22"/>
          <w:szCs w:val="22"/>
        </w:rPr>
        <w:t>R</w:t>
      </w:r>
      <w:r w:rsidRPr="004A66F0">
        <w:rPr>
          <w:rFonts w:ascii="Times New Roman" w:eastAsia="Times New Roman" w:hAnsi="Times New Roman" w:cs="Times New Roman"/>
          <w:sz w:val="22"/>
          <w:szCs w:val="22"/>
        </w:rPr>
        <w:t xml:space="preserve">égimen General (69.3%) el cual </w:t>
      </w:r>
      <w:r>
        <w:rPr>
          <w:rFonts w:ascii="Times New Roman" w:eastAsia="Times New Roman" w:hAnsi="Times New Roman" w:cs="Times New Roman"/>
          <w:sz w:val="22"/>
          <w:szCs w:val="22"/>
        </w:rPr>
        <w:t>tuvo</w:t>
      </w:r>
      <w:r w:rsidRPr="004A66F0">
        <w:rPr>
          <w:rFonts w:ascii="Times New Roman" w:eastAsia="Times New Roman" w:hAnsi="Times New Roman" w:cs="Times New Roman"/>
          <w:sz w:val="22"/>
          <w:szCs w:val="22"/>
        </w:rPr>
        <w:t xml:space="preserve"> un crecimiento de 8.2% (Q1,064.8 millones), seguido por el</w:t>
      </w:r>
      <w:r>
        <w:rPr>
          <w:rFonts w:ascii="Times New Roman" w:eastAsia="Times New Roman" w:hAnsi="Times New Roman" w:cs="Times New Roman"/>
          <w:sz w:val="22"/>
          <w:szCs w:val="22"/>
        </w:rPr>
        <w:t xml:space="preserve"> R</w:t>
      </w:r>
      <w:r w:rsidRPr="004A66F0">
        <w:rPr>
          <w:rFonts w:ascii="Times New Roman" w:eastAsia="Times New Roman" w:hAnsi="Times New Roman" w:cs="Times New Roman"/>
          <w:sz w:val="22"/>
          <w:szCs w:val="22"/>
        </w:rPr>
        <w:t>égimen de Retenciones que aporta el 20% a la recaudación y que creció en 20.8% (Q697.5 millones)</w:t>
      </w:r>
      <w:r>
        <w:rPr>
          <w:rFonts w:ascii="Times New Roman" w:eastAsia="Times New Roman" w:hAnsi="Times New Roman" w:cs="Times New Roman"/>
          <w:sz w:val="22"/>
          <w:szCs w:val="22"/>
        </w:rPr>
        <w:t>.  D</w:t>
      </w:r>
      <w:r w:rsidRPr="004A66F0">
        <w:rPr>
          <w:rFonts w:ascii="Times New Roman" w:eastAsia="Times New Roman" w:hAnsi="Times New Roman" w:cs="Times New Roman"/>
          <w:sz w:val="22"/>
          <w:szCs w:val="22"/>
        </w:rPr>
        <w:t>el resto de regímenes destaca el del Pequeño Contribuyente cuyo aporte a recaudación es del 3% y que creció en 9.2% (Q50.8 millones)</w:t>
      </w:r>
      <w:r>
        <w:rPr>
          <w:rFonts w:ascii="Times New Roman" w:eastAsia="Times New Roman" w:hAnsi="Times New Roman" w:cs="Times New Roman"/>
          <w:sz w:val="22"/>
          <w:szCs w:val="22"/>
        </w:rPr>
        <w:t>,</w:t>
      </w:r>
      <w:r w:rsidRPr="004A66F0">
        <w:rPr>
          <w:rFonts w:ascii="Times New Roman" w:eastAsia="Times New Roman" w:hAnsi="Times New Roman" w:cs="Times New Roman"/>
          <w:sz w:val="22"/>
          <w:szCs w:val="22"/>
        </w:rPr>
        <w:t xml:space="preserve"> todos medidos respecto a 2021.  </w:t>
      </w:r>
    </w:p>
    <w:p w14:paraId="61385A6E" w14:textId="77777777" w:rsidR="005543F9" w:rsidRPr="004A66F0" w:rsidRDefault="005543F9" w:rsidP="005543F9">
      <w:pPr>
        <w:spacing w:line="276" w:lineRule="auto"/>
        <w:contextualSpacing/>
        <w:jc w:val="both"/>
        <w:rPr>
          <w:rFonts w:ascii="Times New Roman" w:eastAsia="Times New Roman" w:hAnsi="Times New Roman" w:cs="Times New Roman"/>
          <w:sz w:val="22"/>
          <w:szCs w:val="22"/>
        </w:rPr>
      </w:pPr>
    </w:p>
    <w:p w14:paraId="49F20A59" w14:textId="77777777" w:rsidR="005543F9" w:rsidRPr="004A66F0" w:rsidRDefault="005543F9" w:rsidP="005543F9">
      <w:pPr>
        <w:spacing w:line="276" w:lineRule="auto"/>
        <w:contextualSpacing/>
        <w:jc w:val="both"/>
        <w:rPr>
          <w:rFonts w:ascii="Times New Roman" w:eastAsia="Times New Roman" w:hAnsi="Times New Roman" w:cs="Times New Roman"/>
          <w:sz w:val="22"/>
          <w:szCs w:val="22"/>
        </w:rPr>
      </w:pPr>
      <w:r w:rsidRPr="004A66F0">
        <w:rPr>
          <w:rFonts w:ascii="Times New Roman" w:eastAsia="Times New Roman" w:hAnsi="Times New Roman" w:cs="Times New Roman"/>
          <w:sz w:val="22"/>
          <w:szCs w:val="22"/>
        </w:rPr>
        <w:t>La recaudación por IVA doméstico, con apertura de actividad económica publicada por la SAT</w:t>
      </w:r>
      <w:r>
        <w:rPr>
          <w:rFonts w:ascii="Times New Roman" w:eastAsia="Times New Roman" w:hAnsi="Times New Roman" w:cs="Times New Roman"/>
          <w:sz w:val="22"/>
          <w:szCs w:val="22"/>
        </w:rPr>
        <w:t>,</w:t>
      </w:r>
      <w:r w:rsidRPr="004A66F0">
        <w:rPr>
          <w:rFonts w:ascii="Times New Roman" w:eastAsia="Times New Roman" w:hAnsi="Times New Roman" w:cs="Times New Roman"/>
          <w:sz w:val="22"/>
          <w:szCs w:val="22"/>
        </w:rPr>
        <w:t xml:space="preserve"> da cuenta que el 83.6% de la recaudación de este impuesto está explicada por 8 actividades económicas de 21 que tiene establecidas la SAT.</w:t>
      </w:r>
    </w:p>
    <w:p w14:paraId="6583D0BF" w14:textId="77777777" w:rsidR="005543F9" w:rsidRPr="004A66F0" w:rsidRDefault="005543F9" w:rsidP="005543F9">
      <w:pPr>
        <w:spacing w:line="276" w:lineRule="auto"/>
        <w:contextualSpacing/>
        <w:jc w:val="both"/>
        <w:rPr>
          <w:rFonts w:ascii="Times New Roman" w:eastAsia="Times New Roman" w:hAnsi="Times New Roman" w:cs="Times New Roman"/>
          <w:sz w:val="22"/>
          <w:szCs w:val="22"/>
        </w:rPr>
      </w:pPr>
    </w:p>
    <w:p w14:paraId="0CEC161E" w14:textId="77777777" w:rsidR="005543F9" w:rsidRPr="004A66F0" w:rsidRDefault="005543F9" w:rsidP="005543F9">
      <w:pPr>
        <w:spacing w:line="276" w:lineRule="auto"/>
        <w:contextualSpacing/>
        <w:jc w:val="both"/>
        <w:rPr>
          <w:rFonts w:ascii="Times New Roman" w:eastAsia="Times New Roman" w:hAnsi="Times New Roman" w:cs="Times New Roman"/>
          <w:sz w:val="22"/>
          <w:szCs w:val="22"/>
        </w:rPr>
      </w:pPr>
      <w:r w:rsidRPr="004A66F0">
        <w:rPr>
          <w:rFonts w:ascii="Times New Roman" w:eastAsia="Times New Roman" w:hAnsi="Times New Roman" w:cs="Times New Roman"/>
          <w:sz w:val="22"/>
          <w:szCs w:val="22"/>
        </w:rPr>
        <w:t xml:space="preserve">Sobresale que la actividad de </w:t>
      </w:r>
      <w:r>
        <w:rPr>
          <w:rFonts w:ascii="Times New Roman" w:eastAsia="Times New Roman" w:hAnsi="Times New Roman" w:cs="Times New Roman"/>
          <w:sz w:val="22"/>
          <w:szCs w:val="22"/>
        </w:rPr>
        <w:t>c</w:t>
      </w:r>
      <w:r w:rsidRPr="004A66F0">
        <w:rPr>
          <w:rFonts w:ascii="Times New Roman" w:eastAsia="Times New Roman" w:hAnsi="Times New Roman" w:cs="Times New Roman"/>
          <w:sz w:val="22"/>
          <w:szCs w:val="22"/>
        </w:rPr>
        <w:t xml:space="preserve">omercio al por mayor y al por menor; reparación de vehículos automotores y motocicletas, que aporta el 21.7% de la recaudación y crece en 12.6% (Q493.0 millones), seguido por la actividad </w:t>
      </w:r>
      <w:r>
        <w:rPr>
          <w:rFonts w:ascii="Times New Roman" w:eastAsia="Times New Roman" w:hAnsi="Times New Roman" w:cs="Times New Roman"/>
          <w:sz w:val="22"/>
          <w:szCs w:val="22"/>
        </w:rPr>
        <w:t>f</w:t>
      </w:r>
      <w:r w:rsidRPr="004A66F0">
        <w:rPr>
          <w:rFonts w:ascii="Times New Roman" w:eastAsia="Times New Roman" w:hAnsi="Times New Roman" w:cs="Times New Roman"/>
          <w:sz w:val="22"/>
          <w:szCs w:val="22"/>
        </w:rPr>
        <w:t>inanciera y de seguros, que aporta el 14.4% de la recaudación del impuesto, y crece en 25.5% (Q589.2 millones).  Sobresale que 9 actividades de las 21, decrecieron respecto a lo observado en 2021</w:t>
      </w:r>
      <w:r>
        <w:rPr>
          <w:rFonts w:ascii="Times New Roman" w:eastAsia="Times New Roman" w:hAnsi="Times New Roman" w:cs="Times New Roman"/>
          <w:sz w:val="22"/>
          <w:szCs w:val="22"/>
        </w:rPr>
        <w:t>.  L</w:t>
      </w:r>
      <w:r w:rsidRPr="004A66F0">
        <w:rPr>
          <w:rFonts w:ascii="Times New Roman" w:eastAsia="Times New Roman" w:hAnsi="Times New Roman" w:cs="Times New Roman"/>
          <w:sz w:val="22"/>
          <w:szCs w:val="22"/>
        </w:rPr>
        <w:t xml:space="preserve">a </w:t>
      </w:r>
      <w:r>
        <w:rPr>
          <w:rFonts w:ascii="Times New Roman" w:eastAsia="Times New Roman" w:hAnsi="Times New Roman" w:cs="Times New Roman"/>
          <w:sz w:val="22"/>
          <w:szCs w:val="22"/>
        </w:rPr>
        <w:t>a</w:t>
      </w:r>
      <w:r w:rsidRPr="004A66F0">
        <w:rPr>
          <w:rFonts w:ascii="Times New Roman" w:eastAsia="Times New Roman" w:hAnsi="Times New Roman" w:cs="Times New Roman"/>
          <w:sz w:val="22"/>
          <w:szCs w:val="22"/>
        </w:rPr>
        <w:t xml:space="preserve">ctividad de </w:t>
      </w:r>
      <w:r>
        <w:rPr>
          <w:rFonts w:ascii="Times New Roman" w:eastAsia="Times New Roman" w:hAnsi="Times New Roman" w:cs="Times New Roman"/>
          <w:sz w:val="22"/>
          <w:szCs w:val="22"/>
        </w:rPr>
        <w:t>i</w:t>
      </w:r>
      <w:r w:rsidRPr="004A66F0">
        <w:rPr>
          <w:rFonts w:ascii="Times New Roman" w:eastAsia="Times New Roman" w:hAnsi="Times New Roman" w:cs="Times New Roman"/>
          <w:sz w:val="22"/>
          <w:szCs w:val="22"/>
        </w:rPr>
        <w:t xml:space="preserve">ndustrias </w:t>
      </w:r>
      <w:r>
        <w:rPr>
          <w:rFonts w:ascii="Times New Roman" w:eastAsia="Times New Roman" w:hAnsi="Times New Roman" w:cs="Times New Roman"/>
          <w:sz w:val="22"/>
          <w:szCs w:val="22"/>
        </w:rPr>
        <w:t>m</w:t>
      </w:r>
      <w:r w:rsidRPr="004A66F0">
        <w:rPr>
          <w:rFonts w:ascii="Times New Roman" w:eastAsia="Times New Roman" w:hAnsi="Times New Roman" w:cs="Times New Roman"/>
          <w:sz w:val="22"/>
          <w:szCs w:val="22"/>
        </w:rPr>
        <w:t>anufactureras, que aporta 13.0% a la recaudación de este impuesto</w:t>
      </w:r>
      <w:r>
        <w:rPr>
          <w:rFonts w:ascii="Times New Roman" w:eastAsia="Times New Roman" w:hAnsi="Times New Roman" w:cs="Times New Roman"/>
          <w:sz w:val="22"/>
          <w:szCs w:val="22"/>
        </w:rPr>
        <w:t>,</w:t>
      </w:r>
      <w:r w:rsidRPr="004A66F0">
        <w:rPr>
          <w:rFonts w:ascii="Times New Roman" w:eastAsia="Times New Roman" w:hAnsi="Times New Roman" w:cs="Times New Roman"/>
          <w:sz w:val="22"/>
          <w:szCs w:val="22"/>
        </w:rPr>
        <w:t xml:space="preserve"> reflejó una caída de 1.7% (Q46.5 millones).  La mayor caída se observó </w:t>
      </w:r>
      <w:r w:rsidRPr="004A66F0">
        <w:rPr>
          <w:rFonts w:ascii="Times New Roman" w:eastAsia="Times New Roman" w:hAnsi="Times New Roman" w:cs="Times New Roman"/>
          <w:sz w:val="22"/>
          <w:szCs w:val="22"/>
        </w:rPr>
        <w:lastRenderedPageBreak/>
        <w:t xml:space="preserve">en la actividad de </w:t>
      </w:r>
      <w:r>
        <w:rPr>
          <w:rFonts w:ascii="Times New Roman" w:eastAsia="Times New Roman" w:hAnsi="Times New Roman" w:cs="Times New Roman"/>
          <w:sz w:val="22"/>
          <w:szCs w:val="22"/>
        </w:rPr>
        <w:t>o</w:t>
      </w:r>
      <w:r w:rsidRPr="004A66F0">
        <w:rPr>
          <w:rFonts w:ascii="Times New Roman" w:eastAsia="Times New Roman" w:hAnsi="Times New Roman" w:cs="Times New Roman"/>
          <w:sz w:val="22"/>
          <w:szCs w:val="22"/>
        </w:rPr>
        <w:t xml:space="preserve">rganizaciones y </w:t>
      </w:r>
      <w:r>
        <w:rPr>
          <w:rFonts w:ascii="Times New Roman" w:eastAsia="Times New Roman" w:hAnsi="Times New Roman" w:cs="Times New Roman"/>
          <w:sz w:val="22"/>
          <w:szCs w:val="22"/>
        </w:rPr>
        <w:t>ó</w:t>
      </w:r>
      <w:r w:rsidRPr="004A66F0">
        <w:rPr>
          <w:rFonts w:ascii="Times New Roman" w:eastAsia="Times New Roman" w:hAnsi="Times New Roman" w:cs="Times New Roman"/>
          <w:sz w:val="22"/>
          <w:szCs w:val="22"/>
        </w:rPr>
        <w:t>rganos extraterritoriales con 94.9% y que aporta el 0.001% de la recaudación.  El resto de actividades con caída dejaron de recaudar en conjunto Q389.2 millones respecto de lo recaudado en 2021.</w:t>
      </w:r>
    </w:p>
    <w:p w14:paraId="5819317F" w14:textId="77777777" w:rsidR="005543F9" w:rsidRPr="004A66F0" w:rsidRDefault="005543F9" w:rsidP="005543F9">
      <w:pPr>
        <w:spacing w:line="276" w:lineRule="auto"/>
        <w:contextualSpacing/>
        <w:jc w:val="both"/>
        <w:rPr>
          <w:rFonts w:ascii="Times New Roman" w:eastAsia="Times New Roman" w:hAnsi="Times New Roman" w:cs="Times New Roman"/>
          <w:sz w:val="22"/>
          <w:szCs w:val="22"/>
        </w:rPr>
      </w:pPr>
    </w:p>
    <w:p w14:paraId="598CC29B" w14:textId="77777777" w:rsidR="005543F9" w:rsidRPr="004A66F0" w:rsidRDefault="005543F9" w:rsidP="005543F9">
      <w:pPr>
        <w:spacing w:line="276" w:lineRule="auto"/>
        <w:contextualSpacing/>
        <w:jc w:val="both"/>
        <w:rPr>
          <w:rFonts w:ascii="Times New Roman" w:eastAsia="Times New Roman" w:hAnsi="Times New Roman" w:cs="Times New Roman"/>
          <w:sz w:val="22"/>
          <w:szCs w:val="22"/>
        </w:rPr>
      </w:pPr>
      <w:r w:rsidRPr="004A66F0">
        <w:rPr>
          <w:rFonts w:ascii="Times New Roman" w:eastAsia="Times New Roman" w:hAnsi="Times New Roman" w:cs="Times New Roman"/>
          <w:sz w:val="22"/>
          <w:szCs w:val="22"/>
        </w:rPr>
        <w:t>El IVA asociado a las importaciones</w:t>
      </w:r>
      <w:r>
        <w:rPr>
          <w:rFonts w:ascii="Times New Roman" w:eastAsia="Times New Roman" w:hAnsi="Times New Roman" w:cs="Times New Roman"/>
          <w:sz w:val="22"/>
          <w:szCs w:val="22"/>
        </w:rPr>
        <w:t>,</w:t>
      </w:r>
      <w:r w:rsidRPr="004A66F0">
        <w:rPr>
          <w:rFonts w:ascii="Times New Roman" w:eastAsia="Times New Roman" w:hAnsi="Times New Roman" w:cs="Times New Roman"/>
          <w:sz w:val="22"/>
          <w:szCs w:val="22"/>
        </w:rPr>
        <w:t xml:space="preserve"> como se ha comentado</w:t>
      </w:r>
      <w:r>
        <w:rPr>
          <w:rFonts w:ascii="Times New Roman" w:eastAsia="Times New Roman" w:hAnsi="Times New Roman" w:cs="Times New Roman"/>
          <w:sz w:val="22"/>
          <w:szCs w:val="22"/>
        </w:rPr>
        <w:t>,</w:t>
      </w:r>
      <w:r w:rsidRPr="004A66F0">
        <w:rPr>
          <w:rFonts w:ascii="Times New Roman" w:eastAsia="Times New Roman" w:hAnsi="Times New Roman" w:cs="Times New Roman"/>
          <w:sz w:val="22"/>
          <w:szCs w:val="22"/>
        </w:rPr>
        <w:t xml:space="preserve"> creció en 21.9% respecto a 2021 y superó la meta de presupuesto en Q5,747.6 millones, estos resultados son producto de las medidas implementadas por </w:t>
      </w:r>
      <w:r>
        <w:rPr>
          <w:rFonts w:ascii="Times New Roman" w:eastAsia="Times New Roman" w:hAnsi="Times New Roman" w:cs="Times New Roman"/>
          <w:sz w:val="22"/>
          <w:szCs w:val="22"/>
        </w:rPr>
        <w:t xml:space="preserve">la </w:t>
      </w:r>
      <w:r w:rsidRPr="004A66F0">
        <w:rPr>
          <w:rFonts w:ascii="Times New Roman" w:eastAsia="Times New Roman" w:hAnsi="Times New Roman" w:cs="Times New Roman"/>
          <w:sz w:val="22"/>
          <w:szCs w:val="22"/>
        </w:rPr>
        <w:t xml:space="preserve">SAT en la Intendencia de Aduanas y </w:t>
      </w:r>
      <w:r>
        <w:rPr>
          <w:rFonts w:ascii="Times New Roman" w:eastAsia="Times New Roman" w:hAnsi="Times New Roman" w:cs="Times New Roman"/>
          <w:sz w:val="22"/>
          <w:szCs w:val="22"/>
        </w:rPr>
        <w:t>producto de</w:t>
      </w:r>
      <w:r w:rsidRPr="004A66F0">
        <w:rPr>
          <w:rFonts w:ascii="Times New Roman" w:eastAsia="Times New Roman" w:hAnsi="Times New Roman" w:cs="Times New Roman"/>
          <w:sz w:val="22"/>
          <w:szCs w:val="22"/>
        </w:rPr>
        <w:t xml:space="preserve">l aumento en el precio del barril de petróleo, que impacta en el precio de los combustibles derivados, </w:t>
      </w:r>
      <w:r>
        <w:rPr>
          <w:rFonts w:ascii="Times New Roman" w:eastAsia="Times New Roman" w:hAnsi="Times New Roman" w:cs="Times New Roman"/>
          <w:sz w:val="22"/>
          <w:szCs w:val="22"/>
        </w:rPr>
        <w:t xml:space="preserve">fluctuación generada como consecuencia del </w:t>
      </w:r>
      <w:r w:rsidRPr="004A66F0">
        <w:rPr>
          <w:rFonts w:ascii="Times New Roman" w:eastAsia="Times New Roman" w:hAnsi="Times New Roman" w:cs="Times New Roman"/>
          <w:sz w:val="22"/>
          <w:szCs w:val="22"/>
        </w:rPr>
        <w:t xml:space="preserve">el conflicto armado entre Rusia y Ucrania. </w:t>
      </w:r>
    </w:p>
    <w:p w14:paraId="08129C9D" w14:textId="77777777" w:rsidR="005543F9" w:rsidRPr="004A66F0" w:rsidRDefault="005543F9" w:rsidP="005543F9">
      <w:pPr>
        <w:spacing w:line="276" w:lineRule="auto"/>
        <w:contextualSpacing/>
        <w:jc w:val="both"/>
        <w:rPr>
          <w:rFonts w:ascii="Times New Roman" w:eastAsia="Times New Roman" w:hAnsi="Times New Roman" w:cs="Times New Roman"/>
          <w:sz w:val="22"/>
          <w:szCs w:val="22"/>
        </w:rPr>
      </w:pPr>
    </w:p>
    <w:p w14:paraId="4D0EE084" w14:textId="77777777" w:rsidR="005543F9" w:rsidRDefault="005543F9" w:rsidP="005543F9">
      <w:pPr>
        <w:spacing w:line="276" w:lineRule="auto"/>
        <w:contextualSpacing/>
        <w:jc w:val="both"/>
        <w:rPr>
          <w:rFonts w:ascii="Times New Roman" w:eastAsia="Times New Roman" w:hAnsi="Times New Roman" w:cs="Times New Roman"/>
          <w:sz w:val="22"/>
          <w:szCs w:val="22"/>
        </w:rPr>
      </w:pPr>
      <w:r w:rsidRPr="004A66F0">
        <w:rPr>
          <w:rFonts w:ascii="Times New Roman" w:eastAsia="Times New Roman" w:hAnsi="Times New Roman" w:cs="Times New Roman"/>
          <w:sz w:val="22"/>
          <w:szCs w:val="22"/>
        </w:rPr>
        <w:t xml:space="preserve">En 2021 el precio </w:t>
      </w:r>
      <w:r>
        <w:rPr>
          <w:rFonts w:ascii="Times New Roman" w:eastAsia="Times New Roman" w:hAnsi="Times New Roman" w:cs="Times New Roman"/>
          <w:sz w:val="22"/>
          <w:szCs w:val="22"/>
        </w:rPr>
        <w:t xml:space="preserve">medio </w:t>
      </w:r>
      <w:r w:rsidRPr="004A66F0">
        <w:rPr>
          <w:rFonts w:ascii="Times New Roman" w:eastAsia="Times New Roman" w:hAnsi="Times New Roman" w:cs="Times New Roman"/>
          <w:sz w:val="22"/>
          <w:szCs w:val="22"/>
        </w:rPr>
        <w:t xml:space="preserve">del barril de petróleo WTI </w:t>
      </w:r>
      <w:r>
        <w:rPr>
          <w:rFonts w:ascii="Times New Roman" w:eastAsia="Times New Roman" w:hAnsi="Times New Roman" w:cs="Times New Roman"/>
          <w:sz w:val="22"/>
          <w:szCs w:val="22"/>
        </w:rPr>
        <w:t>fue</w:t>
      </w:r>
      <w:r w:rsidRPr="004A66F0">
        <w:rPr>
          <w:rFonts w:ascii="Times New Roman" w:eastAsia="Times New Roman" w:hAnsi="Times New Roman" w:cs="Times New Roman"/>
          <w:sz w:val="22"/>
          <w:szCs w:val="22"/>
        </w:rPr>
        <w:t xml:space="preserve"> de US$</w:t>
      </w:r>
      <w:r>
        <w:rPr>
          <w:rFonts w:ascii="Times New Roman" w:eastAsia="Times New Roman" w:hAnsi="Times New Roman" w:cs="Times New Roman"/>
          <w:sz w:val="22"/>
          <w:szCs w:val="22"/>
        </w:rPr>
        <w:t>67.96</w:t>
      </w:r>
      <w:r w:rsidRPr="004A66F0">
        <w:rPr>
          <w:rFonts w:ascii="Times New Roman" w:eastAsia="Times New Roman" w:hAnsi="Times New Roman" w:cs="Times New Roman"/>
          <w:sz w:val="22"/>
          <w:szCs w:val="22"/>
        </w:rPr>
        <w:t xml:space="preserve"> dólares y en 2022 se ubicó en US$</w:t>
      </w:r>
      <w:r>
        <w:rPr>
          <w:rFonts w:ascii="Times New Roman" w:eastAsia="Times New Roman" w:hAnsi="Times New Roman" w:cs="Times New Roman"/>
          <w:sz w:val="22"/>
          <w:szCs w:val="22"/>
        </w:rPr>
        <w:t>94.23</w:t>
      </w:r>
      <w:r w:rsidRPr="004A66F0">
        <w:rPr>
          <w:rFonts w:ascii="Times New Roman" w:eastAsia="Times New Roman" w:hAnsi="Times New Roman" w:cs="Times New Roman"/>
          <w:sz w:val="22"/>
          <w:szCs w:val="22"/>
        </w:rPr>
        <w:t xml:space="preserve"> dólares, según la U.S. Energy </w:t>
      </w:r>
      <w:proofErr w:type="spellStart"/>
      <w:r w:rsidRPr="004A66F0">
        <w:rPr>
          <w:rFonts w:ascii="Times New Roman" w:eastAsia="Times New Roman" w:hAnsi="Times New Roman" w:cs="Times New Roman"/>
          <w:sz w:val="22"/>
          <w:szCs w:val="22"/>
        </w:rPr>
        <w:t>Information</w:t>
      </w:r>
      <w:proofErr w:type="spellEnd"/>
      <w:r w:rsidRPr="004A66F0">
        <w:rPr>
          <w:rFonts w:ascii="Times New Roman" w:eastAsia="Times New Roman" w:hAnsi="Times New Roman" w:cs="Times New Roman"/>
          <w:sz w:val="22"/>
          <w:szCs w:val="22"/>
        </w:rPr>
        <w:t xml:space="preserve"> </w:t>
      </w:r>
      <w:proofErr w:type="spellStart"/>
      <w:r w:rsidRPr="004A66F0">
        <w:rPr>
          <w:rFonts w:ascii="Times New Roman" w:eastAsia="Times New Roman" w:hAnsi="Times New Roman" w:cs="Times New Roman"/>
          <w:sz w:val="22"/>
          <w:szCs w:val="22"/>
        </w:rPr>
        <w:t>Administration</w:t>
      </w:r>
      <w:proofErr w:type="spellEnd"/>
      <w:r w:rsidRPr="004A66F0">
        <w:rPr>
          <w:rFonts w:ascii="Times New Roman" w:eastAsia="Times New Roman" w:hAnsi="Times New Roman" w:cs="Times New Roman"/>
          <w:sz w:val="22"/>
          <w:szCs w:val="22"/>
        </w:rPr>
        <w:t>.</w:t>
      </w:r>
    </w:p>
    <w:p w14:paraId="4EC80B9B" w14:textId="77777777" w:rsidR="005543F9" w:rsidRPr="004A66F0" w:rsidRDefault="005543F9" w:rsidP="005543F9">
      <w:pPr>
        <w:spacing w:line="276" w:lineRule="auto"/>
        <w:contextualSpacing/>
        <w:jc w:val="both"/>
        <w:rPr>
          <w:rFonts w:ascii="Times New Roman" w:eastAsia="Times New Roman" w:hAnsi="Times New Roman" w:cs="Times New Roman"/>
          <w:sz w:val="22"/>
          <w:szCs w:val="22"/>
        </w:rPr>
      </w:pPr>
    </w:p>
    <w:p w14:paraId="6B722979" w14:textId="385720AE" w:rsidR="005543F9" w:rsidRPr="004A66F0" w:rsidRDefault="005543F9" w:rsidP="005543F9">
      <w:pPr>
        <w:spacing w:line="276" w:lineRule="auto"/>
        <w:contextualSpacing/>
        <w:jc w:val="center"/>
        <w:rPr>
          <w:rFonts w:ascii="Times New Roman" w:eastAsia="Times New Roman" w:hAnsi="Times New Roman" w:cs="Times New Roman"/>
          <w:b/>
          <w:bCs/>
          <w:sz w:val="22"/>
          <w:szCs w:val="22"/>
        </w:rPr>
      </w:pPr>
      <w:bookmarkStart w:id="17" w:name="_Toc125733201"/>
      <w:r w:rsidRPr="00A11E1A">
        <w:rPr>
          <w:rFonts w:ascii="Times New Roman" w:eastAsia="Times New Roman" w:hAnsi="Times New Roman" w:cs="Times New Roman"/>
          <w:b/>
          <w:sz w:val="22"/>
          <w:szCs w:val="22"/>
        </w:rPr>
        <w:t xml:space="preserve">Gráfico </w:t>
      </w:r>
      <w:r w:rsidRPr="00A11E1A">
        <w:rPr>
          <w:rFonts w:ascii="Times New Roman" w:eastAsia="Times New Roman" w:hAnsi="Times New Roman" w:cs="Times New Roman"/>
          <w:b/>
          <w:sz w:val="22"/>
          <w:szCs w:val="22"/>
        </w:rPr>
        <w:fldChar w:fldCharType="begin"/>
      </w:r>
      <w:r w:rsidRPr="00A11E1A">
        <w:rPr>
          <w:rFonts w:ascii="Times New Roman" w:eastAsia="Times New Roman" w:hAnsi="Times New Roman" w:cs="Times New Roman"/>
          <w:b/>
          <w:sz w:val="22"/>
          <w:szCs w:val="22"/>
        </w:rPr>
        <w:instrText xml:space="preserve"> SEQ Gráfico \* ARABIC </w:instrText>
      </w:r>
      <w:r w:rsidRPr="00A11E1A">
        <w:rPr>
          <w:rFonts w:ascii="Times New Roman" w:eastAsia="Times New Roman" w:hAnsi="Times New Roman" w:cs="Times New Roman"/>
          <w:b/>
          <w:sz w:val="22"/>
          <w:szCs w:val="22"/>
        </w:rPr>
        <w:fldChar w:fldCharType="separate"/>
      </w:r>
      <w:r w:rsidR="006F4BE5">
        <w:rPr>
          <w:rFonts w:ascii="Times New Roman" w:eastAsia="Times New Roman" w:hAnsi="Times New Roman" w:cs="Times New Roman"/>
          <w:b/>
          <w:noProof/>
          <w:sz w:val="22"/>
          <w:szCs w:val="22"/>
        </w:rPr>
        <w:t>5</w:t>
      </w:r>
      <w:r w:rsidRPr="00A11E1A">
        <w:rPr>
          <w:rFonts w:ascii="Times New Roman" w:eastAsia="Times New Roman" w:hAnsi="Times New Roman" w:cs="Times New Roman"/>
          <w:b/>
          <w:sz w:val="22"/>
          <w:szCs w:val="22"/>
        </w:rPr>
        <w:fldChar w:fldCharType="end"/>
      </w:r>
      <w:r>
        <w:rPr>
          <w:rFonts w:ascii="Times New Roman" w:eastAsia="Times New Roman" w:hAnsi="Times New Roman" w:cs="Times New Roman"/>
          <w:b/>
          <w:sz w:val="22"/>
          <w:szCs w:val="22"/>
        </w:rPr>
        <w:t xml:space="preserve">. </w:t>
      </w:r>
      <w:r w:rsidRPr="004A66F0">
        <w:rPr>
          <w:rFonts w:ascii="Times New Roman" w:eastAsia="Times New Roman" w:hAnsi="Times New Roman" w:cs="Times New Roman"/>
          <w:b/>
          <w:bCs/>
          <w:sz w:val="22"/>
          <w:szCs w:val="22"/>
        </w:rPr>
        <w:t>Precio del Petróleo WTI</w:t>
      </w:r>
      <w:bookmarkEnd w:id="17"/>
    </w:p>
    <w:p w14:paraId="15AE03F1" w14:textId="77777777" w:rsidR="005543F9" w:rsidRPr="00A11E1A" w:rsidRDefault="005543F9" w:rsidP="005543F9">
      <w:pPr>
        <w:spacing w:line="276" w:lineRule="auto"/>
        <w:contextualSpacing/>
        <w:jc w:val="center"/>
        <w:rPr>
          <w:rFonts w:ascii="Times New Roman" w:eastAsia="Times New Roman" w:hAnsi="Times New Roman" w:cs="Times New Roman"/>
          <w:sz w:val="22"/>
          <w:szCs w:val="22"/>
        </w:rPr>
      </w:pPr>
      <w:r w:rsidRPr="00A11E1A">
        <w:rPr>
          <w:rFonts w:ascii="Times New Roman" w:eastAsia="Times New Roman" w:hAnsi="Times New Roman" w:cs="Times New Roman"/>
          <w:sz w:val="22"/>
          <w:szCs w:val="22"/>
        </w:rPr>
        <w:t>Dólares por barril</w:t>
      </w:r>
    </w:p>
    <w:p w14:paraId="4FD9E720" w14:textId="77777777" w:rsidR="005543F9" w:rsidRPr="004A66F0" w:rsidRDefault="005543F9" w:rsidP="005543F9">
      <w:pPr>
        <w:spacing w:line="276" w:lineRule="auto"/>
        <w:contextualSpacing/>
        <w:jc w:val="both"/>
        <w:rPr>
          <w:rFonts w:ascii="Times New Roman" w:eastAsia="Times New Roman" w:hAnsi="Times New Roman" w:cs="Times New Roman"/>
          <w:sz w:val="22"/>
          <w:szCs w:val="22"/>
        </w:rPr>
      </w:pPr>
      <w:r w:rsidRPr="004A66F0">
        <w:rPr>
          <w:rFonts w:ascii="Calibri" w:eastAsia="Times New Roman" w:hAnsi="Calibri" w:cs="Calibri"/>
          <w:noProof/>
          <w:sz w:val="22"/>
          <w:szCs w:val="22"/>
        </w:rPr>
        <w:drawing>
          <wp:anchor distT="0" distB="0" distL="114300" distR="116205" simplePos="0" relativeHeight="251621888" behindDoc="0" locked="0" layoutInCell="1" allowOverlap="1" wp14:anchorId="2CE03FB9" wp14:editId="31F9688F">
            <wp:simplePos x="0" y="0"/>
            <wp:positionH relativeFrom="margin">
              <wp:align>right</wp:align>
            </wp:positionH>
            <wp:positionV relativeFrom="paragraph">
              <wp:posOffset>99695</wp:posOffset>
            </wp:positionV>
            <wp:extent cx="5759450" cy="2640330"/>
            <wp:effectExtent l="0" t="0" r="0" b="7620"/>
            <wp:wrapNone/>
            <wp:docPr id="40" name="Gráfico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14:paraId="7584A7C4" w14:textId="77777777" w:rsidR="005543F9" w:rsidRPr="004A66F0" w:rsidRDefault="005543F9" w:rsidP="005543F9">
      <w:pPr>
        <w:spacing w:line="276" w:lineRule="auto"/>
        <w:contextualSpacing/>
        <w:jc w:val="both"/>
        <w:rPr>
          <w:rFonts w:ascii="Times New Roman" w:eastAsia="Times New Roman" w:hAnsi="Times New Roman" w:cs="Times New Roman"/>
          <w:sz w:val="22"/>
          <w:szCs w:val="22"/>
        </w:rPr>
      </w:pPr>
    </w:p>
    <w:p w14:paraId="7D24EEAE" w14:textId="77777777" w:rsidR="005543F9" w:rsidRPr="004A66F0" w:rsidRDefault="005543F9" w:rsidP="005543F9">
      <w:pPr>
        <w:spacing w:line="276" w:lineRule="auto"/>
        <w:contextualSpacing/>
        <w:jc w:val="both"/>
        <w:rPr>
          <w:rFonts w:ascii="Times New Roman" w:eastAsia="Times New Roman" w:hAnsi="Times New Roman" w:cs="Times New Roman"/>
          <w:sz w:val="22"/>
          <w:szCs w:val="22"/>
        </w:rPr>
      </w:pPr>
    </w:p>
    <w:p w14:paraId="0CE57962" w14:textId="77777777" w:rsidR="005543F9" w:rsidRPr="004A66F0" w:rsidRDefault="005543F9" w:rsidP="005543F9">
      <w:pPr>
        <w:spacing w:line="276" w:lineRule="auto"/>
        <w:contextualSpacing/>
        <w:jc w:val="both"/>
        <w:rPr>
          <w:rFonts w:ascii="Times New Roman" w:eastAsia="Times New Roman" w:hAnsi="Times New Roman" w:cs="Times New Roman"/>
          <w:sz w:val="22"/>
          <w:szCs w:val="22"/>
        </w:rPr>
      </w:pPr>
    </w:p>
    <w:p w14:paraId="5A6E54EE" w14:textId="77777777" w:rsidR="005543F9" w:rsidRPr="004A66F0" w:rsidRDefault="005543F9" w:rsidP="005543F9">
      <w:pPr>
        <w:spacing w:line="276" w:lineRule="auto"/>
        <w:contextualSpacing/>
        <w:jc w:val="both"/>
        <w:rPr>
          <w:rFonts w:ascii="Times New Roman" w:eastAsia="Times New Roman" w:hAnsi="Times New Roman" w:cs="Times New Roman"/>
          <w:sz w:val="22"/>
          <w:szCs w:val="22"/>
        </w:rPr>
      </w:pPr>
    </w:p>
    <w:p w14:paraId="55BD0E5E" w14:textId="77777777" w:rsidR="005543F9" w:rsidRPr="004A66F0" w:rsidRDefault="005543F9" w:rsidP="005543F9">
      <w:pPr>
        <w:spacing w:line="276" w:lineRule="auto"/>
        <w:contextualSpacing/>
        <w:jc w:val="both"/>
        <w:rPr>
          <w:rFonts w:ascii="Times New Roman" w:eastAsia="Times New Roman" w:hAnsi="Times New Roman" w:cs="Times New Roman"/>
          <w:sz w:val="22"/>
          <w:szCs w:val="22"/>
        </w:rPr>
      </w:pPr>
    </w:p>
    <w:p w14:paraId="50DD192B" w14:textId="77777777" w:rsidR="005543F9" w:rsidRPr="004A66F0" w:rsidRDefault="005543F9" w:rsidP="005543F9">
      <w:pPr>
        <w:spacing w:line="276" w:lineRule="auto"/>
        <w:contextualSpacing/>
        <w:jc w:val="both"/>
        <w:rPr>
          <w:rFonts w:ascii="Times New Roman" w:eastAsia="Times New Roman" w:hAnsi="Times New Roman" w:cs="Times New Roman"/>
          <w:sz w:val="22"/>
          <w:szCs w:val="22"/>
        </w:rPr>
      </w:pPr>
    </w:p>
    <w:p w14:paraId="4D1B6B79" w14:textId="77777777" w:rsidR="005543F9" w:rsidRPr="004A66F0" w:rsidRDefault="005543F9" w:rsidP="005543F9">
      <w:pPr>
        <w:spacing w:line="276" w:lineRule="auto"/>
        <w:contextualSpacing/>
        <w:jc w:val="both"/>
        <w:rPr>
          <w:rFonts w:ascii="Times New Roman" w:eastAsia="Times New Roman" w:hAnsi="Times New Roman" w:cs="Times New Roman"/>
          <w:sz w:val="22"/>
          <w:szCs w:val="22"/>
        </w:rPr>
      </w:pPr>
    </w:p>
    <w:p w14:paraId="2FF6ED88" w14:textId="77777777" w:rsidR="005543F9" w:rsidRPr="004A66F0" w:rsidRDefault="005543F9" w:rsidP="005543F9">
      <w:pPr>
        <w:spacing w:line="276" w:lineRule="auto"/>
        <w:contextualSpacing/>
        <w:jc w:val="both"/>
        <w:rPr>
          <w:rFonts w:ascii="Times New Roman" w:eastAsia="Times New Roman" w:hAnsi="Times New Roman" w:cs="Times New Roman"/>
          <w:sz w:val="22"/>
          <w:szCs w:val="22"/>
        </w:rPr>
      </w:pPr>
    </w:p>
    <w:p w14:paraId="2F033573" w14:textId="77777777" w:rsidR="005543F9" w:rsidRPr="004A66F0" w:rsidRDefault="005543F9" w:rsidP="005543F9">
      <w:pPr>
        <w:spacing w:line="276" w:lineRule="auto"/>
        <w:contextualSpacing/>
        <w:jc w:val="both"/>
        <w:rPr>
          <w:rFonts w:ascii="Times New Roman" w:eastAsia="Times New Roman" w:hAnsi="Times New Roman" w:cs="Times New Roman"/>
          <w:sz w:val="22"/>
          <w:szCs w:val="22"/>
        </w:rPr>
      </w:pPr>
    </w:p>
    <w:p w14:paraId="29265BB7" w14:textId="77777777" w:rsidR="005543F9" w:rsidRPr="004A66F0" w:rsidRDefault="005543F9" w:rsidP="005543F9">
      <w:pPr>
        <w:spacing w:line="276" w:lineRule="auto"/>
        <w:contextualSpacing/>
        <w:jc w:val="both"/>
        <w:rPr>
          <w:rFonts w:ascii="Times New Roman" w:eastAsia="Times New Roman" w:hAnsi="Times New Roman" w:cs="Times New Roman"/>
          <w:sz w:val="22"/>
          <w:szCs w:val="22"/>
        </w:rPr>
      </w:pPr>
    </w:p>
    <w:p w14:paraId="3F993447" w14:textId="77777777" w:rsidR="005543F9" w:rsidRPr="004A66F0" w:rsidRDefault="005543F9" w:rsidP="005543F9">
      <w:pPr>
        <w:spacing w:line="276" w:lineRule="auto"/>
        <w:contextualSpacing/>
        <w:jc w:val="both"/>
        <w:rPr>
          <w:rFonts w:ascii="Times New Roman" w:eastAsia="Times New Roman" w:hAnsi="Times New Roman" w:cs="Times New Roman"/>
          <w:sz w:val="22"/>
          <w:szCs w:val="22"/>
        </w:rPr>
      </w:pPr>
    </w:p>
    <w:p w14:paraId="7377557E" w14:textId="77777777" w:rsidR="005543F9" w:rsidRPr="004A66F0" w:rsidRDefault="005543F9" w:rsidP="005543F9">
      <w:pPr>
        <w:spacing w:line="276" w:lineRule="auto"/>
        <w:contextualSpacing/>
        <w:jc w:val="both"/>
        <w:rPr>
          <w:rFonts w:ascii="Times New Roman" w:eastAsia="Times New Roman" w:hAnsi="Times New Roman" w:cs="Times New Roman"/>
          <w:sz w:val="22"/>
          <w:szCs w:val="22"/>
        </w:rPr>
      </w:pPr>
    </w:p>
    <w:p w14:paraId="4417AA79" w14:textId="77777777" w:rsidR="005543F9" w:rsidRPr="004A66F0" w:rsidRDefault="005543F9" w:rsidP="005543F9">
      <w:pPr>
        <w:spacing w:line="276" w:lineRule="auto"/>
        <w:contextualSpacing/>
        <w:jc w:val="both"/>
        <w:rPr>
          <w:rFonts w:ascii="Times New Roman" w:eastAsia="Times New Roman" w:hAnsi="Times New Roman" w:cs="Times New Roman"/>
          <w:sz w:val="22"/>
          <w:szCs w:val="22"/>
        </w:rPr>
      </w:pPr>
    </w:p>
    <w:p w14:paraId="5AF3CCC8" w14:textId="77777777" w:rsidR="005543F9" w:rsidRPr="004A66F0" w:rsidRDefault="005543F9" w:rsidP="005543F9">
      <w:pPr>
        <w:spacing w:line="276" w:lineRule="auto"/>
        <w:contextualSpacing/>
        <w:jc w:val="both"/>
        <w:rPr>
          <w:rFonts w:ascii="Times New Roman" w:eastAsia="Times New Roman" w:hAnsi="Times New Roman" w:cs="Times New Roman"/>
          <w:sz w:val="22"/>
          <w:szCs w:val="22"/>
        </w:rPr>
      </w:pPr>
    </w:p>
    <w:p w14:paraId="5603F2EA" w14:textId="77777777" w:rsidR="005543F9" w:rsidRPr="008C3120" w:rsidRDefault="005543F9" w:rsidP="005543F9">
      <w:pPr>
        <w:spacing w:line="276" w:lineRule="auto"/>
        <w:contextualSpacing/>
        <w:jc w:val="both"/>
        <w:rPr>
          <w:rFonts w:ascii="Times New Roman" w:eastAsia="Times New Roman" w:hAnsi="Times New Roman" w:cs="Times New Roman"/>
          <w:sz w:val="18"/>
          <w:szCs w:val="18"/>
          <w:lang w:val="en-US"/>
        </w:rPr>
      </w:pPr>
      <w:r w:rsidRPr="008C3120">
        <w:rPr>
          <w:rFonts w:ascii="Times New Roman" w:eastAsia="Times New Roman" w:hAnsi="Times New Roman" w:cs="Times New Roman"/>
          <w:sz w:val="18"/>
          <w:szCs w:val="18"/>
          <w:lang w:val="en-US"/>
        </w:rPr>
        <w:t>Fuente: U.S. Energy Information Administration.</w:t>
      </w:r>
    </w:p>
    <w:p w14:paraId="708AE82D" w14:textId="77777777" w:rsidR="005543F9" w:rsidRPr="004A66F0" w:rsidRDefault="005543F9" w:rsidP="005543F9">
      <w:pPr>
        <w:spacing w:line="276" w:lineRule="auto"/>
        <w:contextualSpacing/>
        <w:jc w:val="both"/>
        <w:rPr>
          <w:rFonts w:ascii="Times New Roman" w:eastAsia="Times New Roman" w:hAnsi="Times New Roman" w:cs="Times New Roman"/>
          <w:sz w:val="22"/>
          <w:szCs w:val="22"/>
          <w:lang w:val="en-US"/>
        </w:rPr>
      </w:pPr>
    </w:p>
    <w:p w14:paraId="1BF9F924" w14:textId="77777777" w:rsidR="005543F9" w:rsidRDefault="005543F9" w:rsidP="005543F9">
      <w:pPr>
        <w:spacing w:line="276" w:lineRule="auto"/>
        <w:contextualSpacing/>
        <w:jc w:val="both"/>
        <w:rPr>
          <w:rFonts w:ascii="Times New Roman" w:eastAsia="Times New Roman" w:hAnsi="Times New Roman" w:cs="Times New Roman"/>
          <w:sz w:val="22"/>
          <w:szCs w:val="22"/>
          <w:lang w:val="es-MX"/>
        </w:rPr>
      </w:pPr>
      <w:r>
        <w:rPr>
          <w:rFonts w:ascii="Times New Roman" w:eastAsia="Times New Roman" w:hAnsi="Times New Roman" w:cs="Times New Roman"/>
          <w:sz w:val="22"/>
          <w:szCs w:val="22"/>
          <w:lang w:val="es-MX"/>
        </w:rPr>
        <w:t>Por aparte, e</w:t>
      </w:r>
      <w:r w:rsidRPr="004A66F0">
        <w:rPr>
          <w:rFonts w:ascii="Times New Roman" w:eastAsia="Times New Roman" w:hAnsi="Times New Roman" w:cs="Times New Roman"/>
          <w:sz w:val="22"/>
          <w:szCs w:val="22"/>
          <w:lang w:val="es-MX"/>
        </w:rPr>
        <w:t xml:space="preserve">n términos de productividad del </w:t>
      </w:r>
      <w:r>
        <w:rPr>
          <w:rFonts w:ascii="Times New Roman" w:eastAsia="Times New Roman" w:hAnsi="Times New Roman" w:cs="Times New Roman"/>
          <w:sz w:val="22"/>
          <w:szCs w:val="22"/>
          <w:lang w:val="es-MX"/>
        </w:rPr>
        <w:t>I</w:t>
      </w:r>
      <w:r w:rsidRPr="004A66F0">
        <w:rPr>
          <w:rFonts w:ascii="Times New Roman" w:eastAsia="Times New Roman" w:hAnsi="Times New Roman" w:cs="Times New Roman"/>
          <w:sz w:val="22"/>
          <w:szCs w:val="22"/>
          <w:lang w:val="es-MX"/>
        </w:rPr>
        <w:t xml:space="preserve">mpuesto al </w:t>
      </w:r>
      <w:r>
        <w:rPr>
          <w:rFonts w:ascii="Times New Roman" w:eastAsia="Times New Roman" w:hAnsi="Times New Roman" w:cs="Times New Roman"/>
          <w:sz w:val="22"/>
          <w:szCs w:val="22"/>
          <w:lang w:val="es-MX"/>
        </w:rPr>
        <w:t>V</w:t>
      </w:r>
      <w:r w:rsidRPr="004A66F0">
        <w:rPr>
          <w:rFonts w:ascii="Times New Roman" w:eastAsia="Times New Roman" w:hAnsi="Times New Roman" w:cs="Times New Roman"/>
          <w:sz w:val="22"/>
          <w:szCs w:val="22"/>
          <w:lang w:val="es-MX"/>
        </w:rPr>
        <w:t xml:space="preserve">alor </w:t>
      </w:r>
      <w:r>
        <w:rPr>
          <w:rFonts w:ascii="Times New Roman" w:eastAsia="Times New Roman" w:hAnsi="Times New Roman" w:cs="Times New Roman"/>
          <w:sz w:val="22"/>
          <w:szCs w:val="22"/>
          <w:lang w:val="es-MX"/>
        </w:rPr>
        <w:t>A</w:t>
      </w:r>
      <w:r w:rsidRPr="004A66F0">
        <w:rPr>
          <w:rFonts w:ascii="Times New Roman" w:eastAsia="Times New Roman" w:hAnsi="Times New Roman" w:cs="Times New Roman"/>
          <w:sz w:val="22"/>
          <w:szCs w:val="22"/>
          <w:lang w:val="es-MX"/>
        </w:rPr>
        <w:t>gregado neto observado</w:t>
      </w:r>
      <w:r>
        <w:rPr>
          <w:rFonts w:ascii="Times New Roman" w:eastAsia="Times New Roman" w:hAnsi="Times New Roman" w:cs="Times New Roman"/>
          <w:sz w:val="22"/>
          <w:szCs w:val="22"/>
          <w:lang w:val="es-MX"/>
        </w:rPr>
        <w:t>,</w:t>
      </w:r>
      <w:r w:rsidRPr="004A66F0">
        <w:rPr>
          <w:rFonts w:ascii="Times New Roman" w:eastAsia="Times New Roman" w:hAnsi="Times New Roman" w:cs="Times New Roman"/>
          <w:sz w:val="22"/>
          <w:szCs w:val="22"/>
          <w:lang w:val="es-MX"/>
        </w:rPr>
        <w:t xml:space="preserve"> sin descontar los ingresos provenientes por el no aprovisionamiento de crédito fiscal a los exportadores</w:t>
      </w:r>
      <w:r>
        <w:rPr>
          <w:rFonts w:ascii="Times New Roman" w:eastAsia="Times New Roman" w:hAnsi="Times New Roman" w:cs="Times New Roman"/>
          <w:sz w:val="22"/>
          <w:szCs w:val="22"/>
          <w:lang w:val="es-MX"/>
        </w:rPr>
        <w:t>,</w:t>
      </w:r>
      <w:r w:rsidRPr="004A66F0">
        <w:rPr>
          <w:rFonts w:ascii="Times New Roman" w:eastAsia="Times New Roman" w:hAnsi="Times New Roman" w:cs="Times New Roman"/>
          <w:sz w:val="22"/>
          <w:szCs w:val="22"/>
          <w:lang w:val="es-MX"/>
        </w:rPr>
        <w:t xml:space="preserve"> muestra por dos años</w:t>
      </w:r>
      <w:r>
        <w:rPr>
          <w:rFonts w:ascii="Times New Roman" w:eastAsia="Times New Roman" w:hAnsi="Times New Roman" w:cs="Times New Roman"/>
          <w:sz w:val="22"/>
          <w:szCs w:val="22"/>
          <w:lang w:val="es-MX"/>
        </w:rPr>
        <w:t xml:space="preserve"> consecutivos,</w:t>
      </w:r>
      <w:r w:rsidRPr="004A66F0">
        <w:rPr>
          <w:rFonts w:ascii="Times New Roman" w:eastAsia="Times New Roman" w:hAnsi="Times New Roman" w:cs="Times New Roman"/>
          <w:sz w:val="22"/>
          <w:szCs w:val="22"/>
          <w:lang w:val="es-MX"/>
        </w:rPr>
        <w:t xml:space="preserve"> crecimiento</w:t>
      </w:r>
      <w:r>
        <w:rPr>
          <w:rFonts w:ascii="Times New Roman" w:eastAsia="Times New Roman" w:hAnsi="Times New Roman" w:cs="Times New Roman"/>
          <w:sz w:val="22"/>
          <w:szCs w:val="22"/>
          <w:lang w:val="es-MX"/>
        </w:rPr>
        <w:t>s</w:t>
      </w:r>
      <w:r w:rsidRPr="004A66F0">
        <w:rPr>
          <w:rFonts w:ascii="Times New Roman" w:eastAsia="Times New Roman" w:hAnsi="Times New Roman" w:cs="Times New Roman"/>
          <w:sz w:val="22"/>
          <w:szCs w:val="22"/>
          <w:lang w:val="es-MX"/>
        </w:rPr>
        <w:t xml:space="preserve"> mayores a los observados desde 2012 a 2020. Luego de acciones tales como </w:t>
      </w:r>
      <w:r>
        <w:rPr>
          <w:rFonts w:ascii="Times New Roman" w:eastAsia="Times New Roman" w:hAnsi="Times New Roman" w:cs="Times New Roman"/>
          <w:sz w:val="22"/>
          <w:szCs w:val="22"/>
          <w:lang w:val="es-MX"/>
        </w:rPr>
        <w:t xml:space="preserve">recuperación de </w:t>
      </w:r>
      <w:r w:rsidRPr="004A66F0">
        <w:rPr>
          <w:rFonts w:ascii="Times New Roman" w:eastAsia="Times New Roman" w:hAnsi="Times New Roman" w:cs="Times New Roman"/>
          <w:sz w:val="22"/>
          <w:szCs w:val="22"/>
          <w:lang w:val="es-MX"/>
        </w:rPr>
        <w:t>adeudos tributarios, exoneraciones, esfuerzo de la SAT para aumentar la percepción de riesgo de los contribuyentes y la implementación de otros mecanismos como las mejoras del régimen de la factura electrónica en línea</w:t>
      </w:r>
      <w:r>
        <w:rPr>
          <w:rFonts w:ascii="Times New Roman" w:eastAsia="Times New Roman" w:hAnsi="Times New Roman" w:cs="Times New Roman"/>
          <w:sz w:val="22"/>
          <w:szCs w:val="22"/>
          <w:lang w:val="es-MX"/>
        </w:rPr>
        <w:t>,</w:t>
      </w:r>
      <w:r w:rsidRPr="004A66F0">
        <w:rPr>
          <w:rFonts w:ascii="Times New Roman" w:eastAsia="Times New Roman" w:hAnsi="Times New Roman" w:cs="Times New Roman"/>
          <w:sz w:val="22"/>
          <w:szCs w:val="22"/>
          <w:lang w:val="es-MX"/>
        </w:rPr>
        <w:t xml:space="preserve"> permitieron el cambio en la tendencia de la productividad</w:t>
      </w:r>
      <w:r>
        <w:rPr>
          <w:rFonts w:ascii="Times New Roman" w:eastAsia="Times New Roman" w:hAnsi="Times New Roman" w:cs="Times New Roman"/>
          <w:sz w:val="22"/>
          <w:szCs w:val="22"/>
          <w:lang w:val="es-MX"/>
        </w:rPr>
        <w:t>.  E</w:t>
      </w:r>
      <w:r w:rsidRPr="004A66F0">
        <w:rPr>
          <w:rFonts w:ascii="Times New Roman" w:eastAsia="Times New Roman" w:hAnsi="Times New Roman" w:cs="Times New Roman"/>
          <w:sz w:val="22"/>
          <w:szCs w:val="22"/>
          <w:lang w:val="es-MX"/>
        </w:rPr>
        <w:t>n 2020 se observa desaceleración</w:t>
      </w:r>
      <w:r>
        <w:rPr>
          <w:rFonts w:ascii="Times New Roman" w:eastAsia="Times New Roman" w:hAnsi="Times New Roman" w:cs="Times New Roman"/>
          <w:sz w:val="22"/>
          <w:szCs w:val="22"/>
          <w:lang w:val="es-MX"/>
        </w:rPr>
        <w:t>,</w:t>
      </w:r>
      <w:r w:rsidRPr="004A66F0">
        <w:rPr>
          <w:rFonts w:ascii="Times New Roman" w:eastAsia="Times New Roman" w:hAnsi="Times New Roman" w:cs="Times New Roman"/>
          <w:sz w:val="22"/>
          <w:szCs w:val="22"/>
          <w:lang w:val="es-MX"/>
        </w:rPr>
        <w:t xml:space="preserve"> producto de la pandemia, en 2021 luego de la apertura gradual de la economía se observa de nuevo recuperación en este impuesto y para 2022 </w:t>
      </w:r>
      <w:r>
        <w:rPr>
          <w:rFonts w:ascii="Times New Roman" w:eastAsia="Times New Roman" w:hAnsi="Times New Roman" w:cs="Times New Roman"/>
          <w:sz w:val="22"/>
          <w:szCs w:val="22"/>
          <w:lang w:val="es-MX"/>
        </w:rPr>
        <w:t>continua el</w:t>
      </w:r>
      <w:r w:rsidRPr="004A66F0">
        <w:rPr>
          <w:rFonts w:ascii="Times New Roman" w:eastAsia="Times New Roman" w:hAnsi="Times New Roman" w:cs="Times New Roman"/>
          <w:sz w:val="22"/>
          <w:szCs w:val="22"/>
          <w:lang w:val="es-MX"/>
        </w:rPr>
        <w:t xml:space="preserve"> crecimiento en la productividad de este impuesto</w:t>
      </w:r>
      <w:r>
        <w:rPr>
          <w:rFonts w:ascii="Times New Roman" w:eastAsia="Times New Roman" w:hAnsi="Times New Roman" w:cs="Times New Roman"/>
          <w:sz w:val="22"/>
          <w:szCs w:val="22"/>
          <w:lang w:val="es-MX"/>
        </w:rPr>
        <w:t>,</w:t>
      </w:r>
      <w:r w:rsidRPr="004A66F0">
        <w:rPr>
          <w:rFonts w:ascii="Times New Roman" w:eastAsia="Times New Roman" w:hAnsi="Times New Roman" w:cs="Times New Roman"/>
          <w:sz w:val="22"/>
          <w:szCs w:val="22"/>
          <w:lang w:val="es-MX"/>
        </w:rPr>
        <w:t xml:space="preserve"> probablemente impulsado por el conflicto entre Rusia y Ucrania </w:t>
      </w:r>
      <w:r>
        <w:rPr>
          <w:rFonts w:ascii="Times New Roman" w:eastAsia="Times New Roman" w:hAnsi="Times New Roman" w:cs="Times New Roman"/>
          <w:sz w:val="22"/>
          <w:szCs w:val="22"/>
          <w:lang w:val="es-MX"/>
        </w:rPr>
        <w:t xml:space="preserve">que impactó en el precio de los combustibles y en el aumento en el </w:t>
      </w:r>
      <w:r>
        <w:rPr>
          <w:rFonts w:ascii="Times New Roman" w:eastAsia="Times New Roman" w:hAnsi="Times New Roman" w:cs="Times New Roman"/>
          <w:sz w:val="22"/>
          <w:szCs w:val="22"/>
          <w:lang w:val="es-MX"/>
        </w:rPr>
        <w:lastRenderedPageBreak/>
        <w:t xml:space="preserve">precio de las importaciones, </w:t>
      </w:r>
      <w:r w:rsidRPr="004A66F0">
        <w:rPr>
          <w:rFonts w:ascii="Times New Roman" w:eastAsia="Times New Roman" w:hAnsi="Times New Roman" w:cs="Times New Roman"/>
          <w:sz w:val="22"/>
          <w:szCs w:val="22"/>
          <w:lang w:val="es-MX"/>
        </w:rPr>
        <w:t xml:space="preserve">tal como se muestra en los gráficos siguientes. </w:t>
      </w:r>
      <w:r>
        <w:rPr>
          <w:rFonts w:ascii="Times New Roman" w:eastAsia="Times New Roman" w:hAnsi="Times New Roman" w:cs="Times New Roman"/>
          <w:sz w:val="22"/>
          <w:szCs w:val="22"/>
          <w:lang w:val="es-MX"/>
        </w:rPr>
        <w:t>En l</w:t>
      </w:r>
      <w:r w:rsidRPr="004A66F0">
        <w:rPr>
          <w:rFonts w:ascii="Times New Roman" w:eastAsia="Times New Roman" w:hAnsi="Times New Roman" w:cs="Times New Roman"/>
          <w:sz w:val="22"/>
          <w:szCs w:val="22"/>
          <w:lang w:val="es-MX"/>
        </w:rPr>
        <w:t>a apertura de sus dos componentes</w:t>
      </w:r>
      <w:r>
        <w:rPr>
          <w:rFonts w:ascii="Times New Roman" w:eastAsia="Times New Roman" w:hAnsi="Times New Roman" w:cs="Times New Roman"/>
          <w:sz w:val="22"/>
          <w:szCs w:val="22"/>
          <w:lang w:val="es-MX"/>
        </w:rPr>
        <w:t>,</w:t>
      </w:r>
      <w:r w:rsidRPr="004A66F0">
        <w:rPr>
          <w:rFonts w:ascii="Times New Roman" w:eastAsia="Times New Roman" w:hAnsi="Times New Roman" w:cs="Times New Roman"/>
          <w:sz w:val="22"/>
          <w:szCs w:val="22"/>
          <w:lang w:val="es-MX"/>
        </w:rPr>
        <w:t xml:space="preserve"> “IVA asociado al consumo interno </w:t>
      </w:r>
      <w:r>
        <w:rPr>
          <w:rFonts w:ascii="Times New Roman" w:eastAsia="Times New Roman" w:hAnsi="Times New Roman" w:cs="Times New Roman"/>
          <w:sz w:val="22"/>
          <w:szCs w:val="22"/>
          <w:lang w:val="es-MX"/>
        </w:rPr>
        <w:t xml:space="preserve">y </w:t>
      </w:r>
      <w:r w:rsidRPr="004A66F0">
        <w:rPr>
          <w:rFonts w:ascii="Times New Roman" w:eastAsia="Times New Roman" w:hAnsi="Times New Roman" w:cs="Times New Roman"/>
          <w:sz w:val="22"/>
          <w:szCs w:val="22"/>
          <w:lang w:val="es-MX"/>
        </w:rPr>
        <w:t>e</w:t>
      </w:r>
      <w:r>
        <w:rPr>
          <w:rFonts w:ascii="Times New Roman" w:eastAsia="Times New Roman" w:hAnsi="Times New Roman" w:cs="Times New Roman"/>
          <w:sz w:val="22"/>
          <w:szCs w:val="22"/>
          <w:lang w:val="es-MX"/>
        </w:rPr>
        <w:t>l</w:t>
      </w:r>
      <w:r w:rsidRPr="004A66F0">
        <w:rPr>
          <w:rFonts w:ascii="Times New Roman" w:eastAsia="Times New Roman" w:hAnsi="Times New Roman" w:cs="Times New Roman"/>
          <w:sz w:val="22"/>
          <w:szCs w:val="22"/>
          <w:lang w:val="es-MX"/>
        </w:rPr>
        <w:t xml:space="preserve"> IVA asociado al comercio exterior”</w:t>
      </w:r>
      <w:r>
        <w:rPr>
          <w:rFonts w:ascii="Times New Roman" w:eastAsia="Times New Roman" w:hAnsi="Times New Roman" w:cs="Times New Roman"/>
          <w:sz w:val="22"/>
          <w:szCs w:val="22"/>
          <w:lang w:val="es-MX"/>
        </w:rPr>
        <w:t>,</w:t>
      </w:r>
      <w:r w:rsidRPr="004A66F0">
        <w:rPr>
          <w:rFonts w:ascii="Times New Roman" w:eastAsia="Times New Roman" w:hAnsi="Times New Roman" w:cs="Times New Roman"/>
          <w:sz w:val="22"/>
          <w:szCs w:val="22"/>
          <w:lang w:val="es-MX"/>
        </w:rPr>
        <w:t xml:space="preserve"> se observa que el que tiene más dinámica es el asociado al comercio exterior</w:t>
      </w:r>
      <w:r>
        <w:rPr>
          <w:rFonts w:ascii="Times New Roman" w:eastAsia="Times New Roman" w:hAnsi="Times New Roman" w:cs="Times New Roman"/>
          <w:sz w:val="22"/>
          <w:szCs w:val="22"/>
          <w:lang w:val="es-MX"/>
        </w:rPr>
        <w:t>,</w:t>
      </w:r>
      <w:r w:rsidRPr="004A66F0">
        <w:rPr>
          <w:rFonts w:ascii="Times New Roman" w:eastAsia="Times New Roman" w:hAnsi="Times New Roman" w:cs="Times New Roman"/>
          <w:sz w:val="22"/>
          <w:szCs w:val="22"/>
          <w:lang w:val="es-MX"/>
        </w:rPr>
        <w:t xml:space="preserve"> esto producto del alza en los precios internacionales del petróleo</w:t>
      </w:r>
      <w:r>
        <w:rPr>
          <w:rFonts w:ascii="Times New Roman" w:eastAsia="Times New Roman" w:hAnsi="Times New Roman" w:cs="Times New Roman"/>
          <w:sz w:val="22"/>
          <w:szCs w:val="22"/>
          <w:lang w:val="es-MX"/>
        </w:rPr>
        <w:t>,</w:t>
      </w:r>
      <w:r w:rsidRPr="004A66F0">
        <w:rPr>
          <w:rFonts w:ascii="Times New Roman" w:eastAsia="Times New Roman" w:hAnsi="Times New Roman" w:cs="Times New Roman"/>
          <w:sz w:val="22"/>
          <w:szCs w:val="22"/>
          <w:lang w:val="es-MX"/>
        </w:rPr>
        <w:t xml:space="preserve"> </w:t>
      </w:r>
      <w:proofErr w:type="gramStart"/>
      <w:r w:rsidRPr="004A66F0">
        <w:rPr>
          <w:rFonts w:ascii="Times New Roman" w:eastAsia="Times New Roman" w:hAnsi="Times New Roman" w:cs="Times New Roman"/>
          <w:sz w:val="22"/>
          <w:szCs w:val="22"/>
          <w:lang w:val="es-MX"/>
        </w:rPr>
        <w:t>que</w:t>
      </w:r>
      <w:proofErr w:type="gramEnd"/>
      <w:r w:rsidRPr="004A66F0">
        <w:rPr>
          <w:rFonts w:ascii="Times New Roman" w:eastAsia="Times New Roman" w:hAnsi="Times New Roman" w:cs="Times New Roman"/>
          <w:sz w:val="22"/>
          <w:szCs w:val="22"/>
          <w:lang w:val="es-MX"/>
        </w:rPr>
        <w:t xml:space="preserve"> de conformidad a datos de </w:t>
      </w:r>
      <w:r>
        <w:rPr>
          <w:rFonts w:ascii="Times New Roman" w:eastAsia="Times New Roman" w:hAnsi="Times New Roman" w:cs="Times New Roman"/>
          <w:sz w:val="22"/>
          <w:szCs w:val="22"/>
          <w:lang w:val="es-MX"/>
        </w:rPr>
        <w:t xml:space="preserve">la </w:t>
      </w:r>
      <w:r w:rsidRPr="004A66F0">
        <w:rPr>
          <w:rFonts w:ascii="Times New Roman" w:eastAsia="Times New Roman" w:hAnsi="Times New Roman" w:cs="Times New Roman"/>
          <w:sz w:val="22"/>
          <w:szCs w:val="22"/>
          <w:lang w:val="es-MX"/>
        </w:rPr>
        <w:t>SAT, se observó un alza en la recaudación tributaria por Q1,389.7 millones</w:t>
      </w:r>
      <w:r>
        <w:rPr>
          <w:rFonts w:ascii="Times New Roman" w:eastAsia="Times New Roman" w:hAnsi="Times New Roman" w:cs="Times New Roman"/>
          <w:sz w:val="22"/>
          <w:szCs w:val="22"/>
          <w:lang w:val="es-MX"/>
        </w:rPr>
        <w:t>, producto d</w:t>
      </w:r>
      <w:r w:rsidRPr="004A66F0">
        <w:rPr>
          <w:rFonts w:ascii="Times New Roman" w:eastAsia="Times New Roman" w:hAnsi="Times New Roman" w:cs="Times New Roman"/>
          <w:sz w:val="22"/>
          <w:szCs w:val="22"/>
          <w:lang w:val="es-MX"/>
        </w:rPr>
        <w:t xml:space="preserve">el cambio de </w:t>
      </w:r>
      <w:r>
        <w:rPr>
          <w:rFonts w:ascii="Times New Roman" w:eastAsia="Times New Roman" w:hAnsi="Times New Roman" w:cs="Times New Roman"/>
          <w:sz w:val="22"/>
          <w:szCs w:val="22"/>
          <w:lang w:val="es-MX"/>
        </w:rPr>
        <w:t>valor</w:t>
      </w:r>
      <w:r w:rsidRPr="004A66F0">
        <w:rPr>
          <w:rFonts w:ascii="Times New Roman" w:eastAsia="Times New Roman" w:hAnsi="Times New Roman" w:cs="Times New Roman"/>
          <w:sz w:val="22"/>
          <w:szCs w:val="22"/>
          <w:lang w:val="es-MX"/>
        </w:rPr>
        <w:t xml:space="preserve"> en las importaciones.</w:t>
      </w:r>
    </w:p>
    <w:p w14:paraId="5FD7980B" w14:textId="77777777" w:rsidR="005543F9" w:rsidRPr="004A66F0" w:rsidRDefault="005543F9" w:rsidP="005543F9">
      <w:pPr>
        <w:spacing w:line="276" w:lineRule="auto"/>
        <w:contextualSpacing/>
        <w:jc w:val="both"/>
        <w:rPr>
          <w:rFonts w:ascii="Times New Roman" w:eastAsia="Times New Roman" w:hAnsi="Times New Roman" w:cs="Times New Roman"/>
          <w:sz w:val="22"/>
          <w:szCs w:val="22"/>
          <w:lang w:val="es-MX"/>
        </w:rPr>
      </w:pPr>
    </w:p>
    <w:tbl>
      <w:tblPr>
        <w:tblStyle w:val="Tablaconcuadrcula"/>
        <w:tblW w:w="889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27"/>
        <w:gridCol w:w="4370"/>
      </w:tblGrid>
      <w:tr w:rsidR="005543F9" w:rsidRPr="004A66F0" w14:paraId="56CD6BDD" w14:textId="77777777" w:rsidTr="0088373D">
        <w:tc>
          <w:tcPr>
            <w:tcW w:w="4527" w:type="dxa"/>
          </w:tcPr>
          <w:p w14:paraId="6CF0C026" w14:textId="0C0652B2" w:rsidR="005543F9" w:rsidRPr="004A66F0" w:rsidRDefault="005543F9" w:rsidP="0088373D">
            <w:pPr>
              <w:spacing w:line="276" w:lineRule="auto"/>
              <w:contextualSpacing/>
              <w:jc w:val="center"/>
              <w:rPr>
                <w:rFonts w:ascii="Times New Roman" w:eastAsia="Times New Roman" w:hAnsi="Times New Roman"/>
                <w:b/>
                <w:sz w:val="22"/>
                <w:szCs w:val="20"/>
                <w:lang w:val="es-MX"/>
              </w:rPr>
            </w:pPr>
            <w:bookmarkStart w:id="18" w:name="_Toc125733202"/>
            <w:r w:rsidRPr="00A11E1A">
              <w:rPr>
                <w:rFonts w:ascii="Times New Roman" w:eastAsia="Times New Roman" w:hAnsi="Times New Roman"/>
                <w:b/>
                <w:sz w:val="22"/>
                <w:szCs w:val="22"/>
              </w:rPr>
              <w:t xml:space="preserve">Gráfico </w:t>
            </w:r>
            <w:r w:rsidRPr="00A11E1A">
              <w:rPr>
                <w:rFonts w:ascii="Times New Roman" w:eastAsia="Times New Roman" w:hAnsi="Times New Roman"/>
                <w:b/>
                <w:sz w:val="22"/>
                <w:szCs w:val="22"/>
              </w:rPr>
              <w:fldChar w:fldCharType="begin"/>
            </w:r>
            <w:r w:rsidRPr="00A11E1A">
              <w:rPr>
                <w:rFonts w:ascii="Times New Roman" w:eastAsia="Times New Roman" w:hAnsi="Times New Roman"/>
                <w:b/>
                <w:sz w:val="22"/>
                <w:szCs w:val="22"/>
              </w:rPr>
              <w:instrText xml:space="preserve"> SEQ Gráfico \* ARABIC </w:instrText>
            </w:r>
            <w:r w:rsidRPr="00A11E1A">
              <w:rPr>
                <w:rFonts w:ascii="Times New Roman" w:eastAsia="Times New Roman" w:hAnsi="Times New Roman"/>
                <w:b/>
                <w:sz w:val="22"/>
                <w:szCs w:val="22"/>
              </w:rPr>
              <w:fldChar w:fldCharType="separate"/>
            </w:r>
            <w:r w:rsidR="006F4BE5">
              <w:rPr>
                <w:rFonts w:ascii="Times New Roman" w:eastAsia="Times New Roman" w:hAnsi="Times New Roman"/>
                <w:b/>
                <w:noProof/>
                <w:sz w:val="22"/>
                <w:szCs w:val="22"/>
              </w:rPr>
              <w:t>6</w:t>
            </w:r>
            <w:r w:rsidRPr="00A11E1A">
              <w:rPr>
                <w:rFonts w:ascii="Times New Roman" w:eastAsia="Times New Roman" w:hAnsi="Times New Roman"/>
                <w:b/>
                <w:sz w:val="22"/>
                <w:szCs w:val="22"/>
              </w:rPr>
              <w:fldChar w:fldCharType="end"/>
            </w:r>
            <w:r>
              <w:rPr>
                <w:rFonts w:ascii="Times New Roman" w:eastAsia="Times New Roman" w:hAnsi="Times New Roman"/>
                <w:b/>
                <w:sz w:val="22"/>
                <w:szCs w:val="22"/>
              </w:rPr>
              <w:t xml:space="preserve">. </w:t>
            </w:r>
            <w:r w:rsidRPr="004A66F0">
              <w:rPr>
                <w:rFonts w:ascii="Times New Roman" w:eastAsia="Times New Roman" w:hAnsi="Times New Roman"/>
                <w:b/>
                <w:sz w:val="22"/>
                <w:szCs w:val="20"/>
                <w:lang w:val="es-MX"/>
              </w:rPr>
              <w:t>Productividad de cada año</w:t>
            </w:r>
            <w:bookmarkEnd w:id="18"/>
          </w:p>
          <w:p w14:paraId="6B08700E" w14:textId="77777777" w:rsidR="005543F9" w:rsidRPr="004A66F0" w:rsidRDefault="005543F9" w:rsidP="0088373D">
            <w:pPr>
              <w:spacing w:line="276" w:lineRule="auto"/>
              <w:contextualSpacing/>
              <w:jc w:val="center"/>
              <w:rPr>
                <w:rFonts w:ascii="Times New Roman" w:eastAsia="Times New Roman" w:hAnsi="Times New Roman"/>
                <w:b/>
                <w:sz w:val="22"/>
                <w:szCs w:val="20"/>
                <w:lang w:val="es-MX"/>
              </w:rPr>
            </w:pPr>
            <w:r w:rsidRPr="004A66F0">
              <w:rPr>
                <w:rFonts w:ascii="Times New Roman" w:eastAsia="Times New Roman" w:hAnsi="Times New Roman"/>
                <w:b/>
                <w:sz w:val="22"/>
                <w:szCs w:val="20"/>
                <w:lang w:val="es-MX"/>
              </w:rPr>
              <w:t xml:space="preserve">IVA total </w:t>
            </w:r>
          </w:p>
          <w:p w14:paraId="3DBFCBD6" w14:textId="77777777" w:rsidR="005543F9" w:rsidRPr="004A66F0" w:rsidRDefault="005543F9" w:rsidP="0088373D">
            <w:pPr>
              <w:spacing w:line="276" w:lineRule="auto"/>
              <w:contextualSpacing/>
              <w:jc w:val="center"/>
              <w:rPr>
                <w:rFonts w:ascii="Times New Roman" w:eastAsia="Times New Roman" w:hAnsi="Times New Roman"/>
                <w:sz w:val="22"/>
                <w:szCs w:val="22"/>
                <w:lang w:val="es-MX"/>
              </w:rPr>
            </w:pPr>
            <w:r w:rsidRPr="004A66F0">
              <w:rPr>
                <w:rFonts w:ascii="Times New Roman" w:eastAsia="Times New Roman" w:hAnsi="Times New Roman"/>
                <w:sz w:val="20"/>
                <w:szCs w:val="22"/>
                <w:lang w:val="es-MX"/>
              </w:rPr>
              <w:t>Porcentajes</w:t>
            </w:r>
          </w:p>
        </w:tc>
        <w:tc>
          <w:tcPr>
            <w:tcW w:w="4370" w:type="dxa"/>
          </w:tcPr>
          <w:p w14:paraId="01FBA93D" w14:textId="5CC9B9CF" w:rsidR="005543F9" w:rsidRPr="004A66F0" w:rsidRDefault="005543F9" w:rsidP="0088373D">
            <w:pPr>
              <w:spacing w:line="276" w:lineRule="auto"/>
              <w:contextualSpacing/>
              <w:jc w:val="center"/>
              <w:rPr>
                <w:rFonts w:ascii="Times New Roman" w:eastAsia="Times New Roman" w:hAnsi="Times New Roman"/>
                <w:b/>
                <w:sz w:val="22"/>
                <w:szCs w:val="20"/>
                <w:lang w:val="es-MX"/>
              </w:rPr>
            </w:pPr>
            <w:bookmarkStart w:id="19" w:name="_Toc125733203"/>
            <w:r w:rsidRPr="00A11E1A">
              <w:rPr>
                <w:rFonts w:ascii="Times New Roman" w:eastAsia="Times New Roman" w:hAnsi="Times New Roman"/>
                <w:b/>
                <w:sz w:val="22"/>
                <w:szCs w:val="22"/>
              </w:rPr>
              <w:t xml:space="preserve">Gráfico </w:t>
            </w:r>
            <w:r w:rsidRPr="00A11E1A">
              <w:rPr>
                <w:rFonts w:ascii="Times New Roman" w:eastAsia="Times New Roman" w:hAnsi="Times New Roman"/>
                <w:b/>
                <w:sz w:val="22"/>
                <w:szCs w:val="22"/>
              </w:rPr>
              <w:fldChar w:fldCharType="begin"/>
            </w:r>
            <w:r w:rsidRPr="00A11E1A">
              <w:rPr>
                <w:rFonts w:ascii="Times New Roman" w:eastAsia="Times New Roman" w:hAnsi="Times New Roman"/>
                <w:b/>
                <w:sz w:val="22"/>
                <w:szCs w:val="22"/>
              </w:rPr>
              <w:instrText xml:space="preserve"> SEQ Gráfico \* ARABIC </w:instrText>
            </w:r>
            <w:r w:rsidRPr="00A11E1A">
              <w:rPr>
                <w:rFonts w:ascii="Times New Roman" w:eastAsia="Times New Roman" w:hAnsi="Times New Roman"/>
                <w:b/>
                <w:sz w:val="22"/>
                <w:szCs w:val="22"/>
              </w:rPr>
              <w:fldChar w:fldCharType="separate"/>
            </w:r>
            <w:r w:rsidR="006F4BE5">
              <w:rPr>
                <w:rFonts w:ascii="Times New Roman" w:eastAsia="Times New Roman" w:hAnsi="Times New Roman"/>
                <w:b/>
                <w:noProof/>
                <w:sz w:val="22"/>
                <w:szCs w:val="22"/>
              </w:rPr>
              <w:t>7</w:t>
            </w:r>
            <w:r w:rsidRPr="00A11E1A">
              <w:rPr>
                <w:rFonts w:ascii="Times New Roman" w:eastAsia="Times New Roman" w:hAnsi="Times New Roman"/>
                <w:b/>
                <w:sz w:val="22"/>
                <w:szCs w:val="22"/>
              </w:rPr>
              <w:fldChar w:fldCharType="end"/>
            </w:r>
            <w:r>
              <w:rPr>
                <w:rFonts w:ascii="Times New Roman" w:eastAsia="Times New Roman" w:hAnsi="Times New Roman"/>
                <w:b/>
                <w:sz w:val="22"/>
                <w:szCs w:val="22"/>
              </w:rPr>
              <w:t xml:space="preserve">. </w:t>
            </w:r>
            <w:r w:rsidRPr="004A66F0">
              <w:rPr>
                <w:rFonts w:ascii="Times New Roman" w:eastAsia="Times New Roman" w:hAnsi="Times New Roman"/>
                <w:b/>
                <w:sz w:val="22"/>
                <w:szCs w:val="20"/>
                <w:lang w:val="es-MX"/>
              </w:rPr>
              <w:t>Productividad de cada año</w:t>
            </w:r>
            <w:bookmarkEnd w:id="19"/>
          </w:p>
          <w:p w14:paraId="2E982A21" w14:textId="77777777" w:rsidR="005543F9" w:rsidRPr="004A66F0" w:rsidRDefault="005543F9" w:rsidP="0088373D">
            <w:pPr>
              <w:spacing w:line="276" w:lineRule="auto"/>
              <w:contextualSpacing/>
              <w:jc w:val="center"/>
              <w:rPr>
                <w:rFonts w:ascii="Times New Roman" w:eastAsia="Times New Roman" w:hAnsi="Times New Roman"/>
                <w:b/>
                <w:sz w:val="22"/>
                <w:szCs w:val="20"/>
                <w:lang w:val="es-MX"/>
              </w:rPr>
            </w:pPr>
            <w:r w:rsidRPr="004A66F0">
              <w:rPr>
                <w:rFonts w:ascii="Times New Roman" w:eastAsia="Times New Roman" w:hAnsi="Times New Roman"/>
                <w:b/>
                <w:sz w:val="22"/>
                <w:szCs w:val="20"/>
                <w:lang w:val="es-MX"/>
              </w:rPr>
              <w:t>IVA importaciones e IVA doméstico</w:t>
            </w:r>
          </w:p>
          <w:p w14:paraId="1E950AD6" w14:textId="77777777" w:rsidR="005543F9" w:rsidRPr="004A66F0" w:rsidRDefault="005543F9" w:rsidP="0088373D">
            <w:pPr>
              <w:spacing w:line="276" w:lineRule="auto"/>
              <w:contextualSpacing/>
              <w:jc w:val="center"/>
              <w:rPr>
                <w:rFonts w:ascii="Times New Roman" w:eastAsia="Times New Roman" w:hAnsi="Times New Roman"/>
                <w:sz w:val="22"/>
                <w:szCs w:val="22"/>
                <w:lang w:val="es-MX"/>
              </w:rPr>
            </w:pPr>
            <w:r w:rsidRPr="004A66F0">
              <w:rPr>
                <w:rFonts w:ascii="Times New Roman" w:eastAsia="Times New Roman" w:hAnsi="Times New Roman"/>
                <w:sz w:val="20"/>
                <w:szCs w:val="22"/>
                <w:lang w:val="es-MX"/>
              </w:rPr>
              <w:t>Porcentajes</w:t>
            </w:r>
          </w:p>
        </w:tc>
      </w:tr>
      <w:tr w:rsidR="005543F9" w:rsidRPr="004A66F0" w14:paraId="00776C45" w14:textId="77777777" w:rsidTr="0088373D">
        <w:tc>
          <w:tcPr>
            <w:tcW w:w="4527" w:type="dxa"/>
          </w:tcPr>
          <w:p w14:paraId="21AFD900" w14:textId="77777777" w:rsidR="005543F9" w:rsidRPr="004A66F0" w:rsidRDefault="005543F9" w:rsidP="0088373D">
            <w:pPr>
              <w:spacing w:line="276" w:lineRule="auto"/>
              <w:contextualSpacing/>
              <w:jc w:val="both"/>
              <w:rPr>
                <w:rFonts w:ascii="Times New Roman" w:eastAsia="Times New Roman" w:hAnsi="Times New Roman"/>
                <w:sz w:val="22"/>
                <w:szCs w:val="22"/>
                <w:lang w:val="es-MX"/>
              </w:rPr>
            </w:pPr>
            <w:r w:rsidRPr="004A66F0">
              <w:rPr>
                <w:rFonts w:ascii="Times New Roman" w:eastAsia="Times New Roman" w:hAnsi="Times New Roman"/>
                <w:noProof/>
                <w:sz w:val="22"/>
                <w:szCs w:val="22"/>
                <w:lang w:eastAsia="es-GT"/>
              </w:rPr>
              <w:drawing>
                <wp:inline distT="0" distB="0" distL="0" distR="0" wp14:anchorId="482D134F" wp14:editId="044AA3FB">
                  <wp:extent cx="2809240" cy="2000250"/>
                  <wp:effectExtent l="0" t="0" r="0" b="0"/>
                  <wp:docPr id="27" name="Gráfico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4370" w:type="dxa"/>
          </w:tcPr>
          <w:p w14:paraId="72249510" w14:textId="77777777" w:rsidR="005543F9" w:rsidRPr="004A66F0" w:rsidRDefault="005543F9" w:rsidP="0088373D">
            <w:pPr>
              <w:spacing w:line="276" w:lineRule="auto"/>
              <w:contextualSpacing/>
              <w:jc w:val="both"/>
              <w:rPr>
                <w:rFonts w:ascii="Times New Roman" w:eastAsia="Times New Roman" w:hAnsi="Times New Roman"/>
                <w:sz w:val="22"/>
                <w:szCs w:val="22"/>
                <w:lang w:val="es-MX"/>
              </w:rPr>
            </w:pPr>
            <w:r w:rsidRPr="004A66F0">
              <w:rPr>
                <w:rFonts w:ascii="Times New Roman" w:eastAsia="Times New Roman" w:hAnsi="Times New Roman"/>
                <w:noProof/>
                <w:sz w:val="22"/>
                <w:szCs w:val="22"/>
                <w:lang w:eastAsia="es-GT"/>
              </w:rPr>
              <w:drawing>
                <wp:inline distT="0" distB="0" distL="0" distR="0" wp14:anchorId="3E818556" wp14:editId="09E51414">
                  <wp:extent cx="2683510" cy="2000250"/>
                  <wp:effectExtent l="0" t="0" r="2540" b="0"/>
                  <wp:docPr id="26" name="Gráfico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bl>
    <w:p w14:paraId="00814473" w14:textId="77777777" w:rsidR="005543F9" w:rsidRPr="008C3120" w:rsidRDefault="005543F9" w:rsidP="005543F9">
      <w:pPr>
        <w:spacing w:line="276" w:lineRule="auto"/>
        <w:contextualSpacing/>
        <w:jc w:val="both"/>
        <w:rPr>
          <w:rFonts w:ascii="Times New Roman" w:eastAsia="Times New Roman" w:hAnsi="Times New Roman" w:cs="Times New Roman"/>
          <w:sz w:val="18"/>
          <w:szCs w:val="18"/>
          <w:lang w:val="es-MX"/>
        </w:rPr>
      </w:pPr>
      <w:r w:rsidRPr="008C3120">
        <w:rPr>
          <w:rFonts w:ascii="Times New Roman" w:eastAsia="Times New Roman" w:hAnsi="Times New Roman" w:cs="Times New Roman"/>
          <w:sz w:val="18"/>
          <w:szCs w:val="18"/>
          <w:lang w:val="es-MX"/>
        </w:rPr>
        <w:t>Fuente: Dirección de Análisis y Política Fiscal.</w:t>
      </w:r>
    </w:p>
    <w:p w14:paraId="7A2B97C9" w14:textId="77777777" w:rsidR="005543F9" w:rsidRPr="004A66F0" w:rsidRDefault="005543F9" w:rsidP="005543F9">
      <w:pPr>
        <w:spacing w:line="276" w:lineRule="auto"/>
        <w:contextualSpacing/>
        <w:jc w:val="both"/>
        <w:rPr>
          <w:rFonts w:ascii="Times New Roman" w:eastAsia="Times New Roman" w:hAnsi="Times New Roman" w:cs="Times New Roman"/>
          <w:sz w:val="22"/>
          <w:szCs w:val="22"/>
          <w:lang w:val="es-MX"/>
        </w:rPr>
      </w:pPr>
    </w:p>
    <w:p w14:paraId="756B0591" w14:textId="77777777" w:rsidR="005543F9" w:rsidRPr="004A66F0" w:rsidRDefault="005543F9" w:rsidP="005543F9">
      <w:pPr>
        <w:keepNext/>
        <w:keepLines/>
        <w:numPr>
          <w:ilvl w:val="1"/>
          <w:numId w:val="41"/>
        </w:numPr>
        <w:spacing w:line="276" w:lineRule="auto"/>
        <w:ind w:left="567" w:hanging="283"/>
        <w:contextualSpacing/>
        <w:outlineLvl w:val="1"/>
        <w:rPr>
          <w:rFonts w:ascii="Times New Roman" w:eastAsiaTheme="majorEastAsia" w:hAnsi="Times New Roman" w:cs="Times New Roman"/>
          <w:b/>
          <w:bCs/>
          <w:sz w:val="22"/>
          <w:szCs w:val="26"/>
        </w:rPr>
      </w:pPr>
      <w:bookmarkStart w:id="20" w:name="_Toc471987134"/>
      <w:bookmarkStart w:id="21" w:name="_Toc64025430"/>
      <w:bookmarkStart w:id="22" w:name="_Toc94259624"/>
      <w:r>
        <w:rPr>
          <w:rFonts w:ascii="Times New Roman" w:eastAsiaTheme="majorEastAsia" w:hAnsi="Times New Roman" w:cs="Times New Roman"/>
          <w:b/>
          <w:bCs/>
          <w:sz w:val="22"/>
          <w:szCs w:val="26"/>
        </w:rPr>
        <w:t xml:space="preserve"> </w:t>
      </w:r>
      <w:bookmarkStart w:id="23" w:name="_Toc125723279"/>
      <w:r>
        <w:rPr>
          <w:rFonts w:ascii="Times New Roman" w:eastAsiaTheme="majorEastAsia" w:hAnsi="Times New Roman" w:cs="Times New Roman"/>
          <w:b/>
          <w:bCs/>
          <w:sz w:val="22"/>
          <w:szCs w:val="26"/>
        </w:rPr>
        <w:t>C</w:t>
      </w:r>
      <w:r w:rsidRPr="004A66F0">
        <w:rPr>
          <w:rFonts w:ascii="Times New Roman" w:eastAsiaTheme="majorEastAsia" w:hAnsi="Times New Roman" w:cs="Times New Roman"/>
          <w:b/>
          <w:bCs/>
          <w:sz w:val="22"/>
          <w:szCs w:val="26"/>
        </w:rPr>
        <w:t xml:space="preserve">recimiento económico </w:t>
      </w:r>
      <w:r>
        <w:rPr>
          <w:rFonts w:ascii="Times New Roman" w:eastAsiaTheme="majorEastAsia" w:hAnsi="Times New Roman" w:cs="Times New Roman"/>
          <w:b/>
          <w:bCs/>
          <w:sz w:val="22"/>
          <w:szCs w:val="26"/>
        </w:rPr>
        <w:t>y e</w:t>
      </w:r>
      <w:r w:rsidRPr="004A66F0">
        <w:rPr>
          <w:rFonts w:ascii="Times New Roman" w:eastAsiaTheme="majorEastAsia" w:hAnsi="Times New Roman" w:cs="Times New Roman"/>
          <w:b/>
          <w:bCs/>
          <w:sz w:val="22"/>
          <w:szCs w:val="26"/>
        </w:rPr>
        <w:t xml:space="preserve">sfuerzos administrativos logran cambiar la </w:t>
      </w:r>
      <w:r>
        <w:rPr>
          <w:rFonts w:ascii="Times New Roman" w:eastAsiaTheme="majorEastAsia" w:hAnsi="Times New Roman" w:cs="Times New Roman"/>
          <w:b/>
          <w:bCs/>
          <w:sz w:val="22"/>
          <w:szCs w:val="26"/>
        </w:rPr>
        <w:t>tendencia de</w:t>
      </w:r>
      <w:r w:rsidRPr="004A66F0">
        <w:rPr>
          <w:rFonts w:ascii="Times New Roman" w:eastAsiaTheme="majorEastAsia" w:hAnsi="Times New Roman" w:cs="Times New Roman"/>
          <w:b/>
          <w:bCs/>
          <w:sz w:val="22"/>
          <w:szCs w:val="26"/>
        </w:rPr>
        <w:t xml:space="preserve"> la carga tributaria</w:t>
      </w:r>
      <w:bookmarkEnd w:id="20"/>
      <w:bookmarkEnd w:id="21"/>
      <w:bookmarkEnd w:id="22"/>
      <w:bookmarkEnd w:id="23"/>
    </w:p>
    <w:p w14:paraId="25C193D3" w14:textId="77777777" w:rsidR="005543F9" w:rsidRPr="004A66F0" w:rsidRDefault="005543F9" w:rsidP="005543F9">
      <w:pPr>
        <w:spacing w:line="276" w:lineRule="auto"/>
        <w:contextualSpacing/>
        <w:jc w:val="both"/>
        <w:rPr>
          <w:rFonts w:ascii="Times New Roman" w:eastAsia="Times New Roman" w:hAnsi="Times New Roman" w:cs="Times New Roman"/>
          <w:sz w:val="22"/>
          <w:szCs w:val="22"/>
        </w:rPr>
      </w:pPr>
    </w:p>
    <w:p w14:paraId="0E50BAC8" w14:textId="77777777" w:rsidR="005543F9" w:rsidRPr="004A66F0" w:rsidRDefault="005543F9" w:rsidP="005543F9">
      <w:pPr>
        <w:spacing w:line="276" w:lineRule="auto"/>
        <w:contextualSpacing/>
        <w:jc w:val="both"/>
        <w:rPr>
          <w:rFonts w:ascii="Times New Roman" w:eastAsia="Times New Roman" w:hAnsi="Times New Roman" w:cs="Times New Roman"/>
          <w:sz w:val="22"/>
          <w:szCs w:val="22"/>
          <w:lang w:val="es-MX"/>
        </w:rPr>
      </w:pPr>
      <w:r w:rsidRPr="004A66F0">
        <w:rPr>
          <w:rFonts w:ascii="Times New Roman" w:eastAsia="Times New Roman" w:hAnsi="Times New Roman" w:cs="Times New Roman"/>
          <w:sz w:val="22"/>
          <w:szCs w:val="22"/>
          <w:lang w:val="es-MX"/>
        </w:rPr>
        <w:t xml:space="preserve">Luego de la apertura gradual de la economía se empezó a observar aumento en la recaudación tributaria, </w:t>
      </w:r>
      <w:r>
        <w:rPr>
          <w:rFonts w:ascii="Times New Roman" w:eastAsia="Times New Roman" w:hAnsi="Times New Roman" w:cs="Times New Roman"/>
          <w:sz w:val="22"/>
          <w:szCs w:val="22"/>
          <w:lang w:val="es-MX"/>
        </w:rPr>
        <w:t xml:space="preserve">aunado a los </w:t>
      </w:r>
      <w:r w:rsidRPr="004A66F0">
        <w:rPr>
          <w:rFonts w:ascii="Times New Roman" w:eastAsia="Times New Roman" w:hAnsi="Times New Roman" w:cs="Times New Roman"/>
          <w:sz w:val="22"/>
          <w:szCs w:val="22"/>
          <w:lang w:val="es-MX"/>
        </w:rPr>
        <w:t xml:space="preserve">esfuerzos que realizó la SAT mediante la implementación de medidas contenidas en </w:t>
      </w:r>
      <w:r>
        <w:rPr>
          <w:rFonts w:ascii="Times New Roman" w:eastAsia="Times New Roman" w:hAnsi="Times New Roman" w:cs="Times New Roman"/>
          <w:sz w:val="22"/>
          <w:szCs w:val="22"/>
          <w:lang w:val="es-MX"/>
        </w:rPr>
        <w:t>su</w:t>
      </w:r>
      <w:r w:rsidRPr="004A66F0">
        <w:rPr>
          <w:rFonts w:ascii="Times New Roman" w:eastAsia="Times New Roman" w:hAnsi="Times New Roman" w:cs="Times New Roman"/>
          <w:sz w:val="22"/>
          <w:szCs w:val="22"/>
          <w:lang w:val="es-MX"/>
        </w:rPr>
        <w:t xml:space="preserve"> </w:t>
      </w:r>
      <w:r>
        <w:rPr>
          <w:rFonts w:ascii="Times New Roman" w:eastAsia="Times New Roman" w:hAnsi="Times New Roman" w:cs="Times New Roman"/>
          <w:sz w:val="22"/>
          <w:szCs w:val="22"/>
          <w:lang w:val="es-MX"/>
        </w:rPr>
        <w:t>P</w:t>
      </w:r>
      <w:r w:rsidRPr="004A66F0">
        <w:rPr>
          <w:rFonts w:ascii="Times New Roman" w:eastAsia="Times New Roman" w:hAnsi="Times New Roman" w:cs="Times New Roman"/>
          <w:sz w:val="22"/>
          <w:szCs w:val="22"/>
          <w:lang w:val="es-MX"/>
        </w:rPr>
        <w:t>lan Estratégico Institucional 2021-2025, cuyos objetivos se fundamentan en:</w:t>
      </w:r>
    </w:p>
    <w:p w14:paraId="4A1A35D1" w14:textId="77777777" w:rsidR="005543F9" w:rsidRPr="004A66F0" w:rsidRDefault="005543F9" w:rsidP="005543F9">
      <w:pPr>
        <w:spacing w:line="276" w:lineRule="auto"/>
        <w:contextualSpacing/>
        <w:jc w:val="both"/>
        <w:rPr>
          <w:rFonts w:ascii="Times New Roman" w:eastAsia="Times New Roman" w:hAnsi="Times New Roman" w:cs="Times New Roman"/>
          <w:sz w:val="22"/>
          <w:szCs w:val="22"/>
          <w:lang w:val="es-MX"/>
        </w:rPr>
      </w:pPr>
    </w:p>
    <w:p w14:paraId="6A8F5E60" w14:textId="77777777" w:rsidR="005543F9" w:rsidRPr="004A66F0" w:rsidRDefault="005543F9" w:rsidP="005543F9">
      <w:pPr>
        <w:numPr>
          <w:ilvl w:val="0"/>
          <w:numId w:val="42"/>
        </w:numPr>
        <w:spacing w:line="276" w:lineRule="auto"/>
        <w:contextualSpacing/>
        <w:jc w:val="both"/>
        <w:rPr>
          <w:rFonts w:ascii="Times New Roman" w:eastAsia="Times New Roman" w:hAnsi="Times New Roman" w:cs="Times New Roman"/>
          <w:sz w:val="22"/>
          <w:szCs w:val="22"/>
          <w:lang w:val="es-MX"/>
        </w:rPr>
      </w:pPr>
      <w:r w:rsidRPr="004A66F0">
        <w:rPr>
          <w:rFonts w:ascii="Times New Roman" w:eastAsia="Times New Roman" w:hAnsi="Times New Roman" w:cs="Times New Roman"/>
          <w:sz w:val="22"/>
          <w:szCs w:val="22"/>
          <w:lang w:val="es-MX"/>
        </w:rPr>
        <w:t xml:space="preserve">Aumentar la recaudación tributaria de manera sostenida y reducir la brecha del incumplimiento tributario, </w:t>
      </w:r>
    </w:p>
    <w:p w14:paraId="192485B5" w14:textId="77777777" w:rsidR="005543F9" w:rsidRPr="004A66F0" w:rsidRDefault="005543F9" w:rsidP="005543F9">
      <w:pPr>
        <w:numPr>
          <w:ilvl w:val="0"/>
          <w:numId w:val="42"/>
        </w:numPr>
        <w:spacing w:line="276" w:lineRule="auto"/>
        <w:contextualSpacing/>
        <w:jc w:val="both"/>
        <w:rPr>
          <w:rFonts w:ascii="Times New Roman" w:eastAsia="Times New Roman" w:hAnsi="Times New Roman" w:cs="Times New Roman"/>
          <w:sz w:val="22"/>
          <w:szCs w:val="22"/>
          <w:lang w:val="es-MX"/>
        </w:rPr>
      </w:pPr>
      <w:r w:rsidRPr="004A66F0">
        <w:rPr>
          <w:rFonts w:ascii="Times New Roman" w:eastAsia="Times New Roman" w:hAnsi="Times New Roman" w:cs="Times New Roman"/>
          <w:sz w:val="22"/>
          <w:szCs w:val="22"/>
          <w:lang w:val="es-MX"/>
        </w:rPr>
        <w:t>Facilitar a los contribuyentes el cumplimiento el pago se sus obligaciones tributarias y aduaneras</w:t>
      </w:r>
    </w:p>
    <w:p w14:paraId="292A3BC2" w14:textId="77777777" w:rsidR="005543F9" w:rsidRPr="004A66F0" w:rsidRDefault="005543F9" w:rsidP="005543F9">
      <w:pPr>
        <w:numPr>
          <w:ilvl w:val="0"/>
          <w:numId w:val="42"/>
        </w:numPr>
        <w:spacing w:line="276" w:lineRule="auto"/>
        <w:contextualSpacing/>
        <w:jc w:val="both"/>
        <w:rPr>
          <w:rFonts w:ascii="Times New Roman" w:eastAsia="Times New Roman" w:hAnsi="Times New Roman" w:cs="Times New Roman"/>
          <w:sz w:val="22"/>
          <w:szCs w:val="22"/>
          <w:lang w:val="es-MX"/>
        </w:rPr>
      </w:pPr>
      <w:r w:rsidRPr="004A66F0">
        <w:rPr>
          <w:rFonts w:ascii="Times New Roman" w:eastAsia="Times New Roman" w:hAnsi="Times New Roman" w:cs="Times New Roman"/>
          <w:sz w:val="22"/>
          <w:szCs w:val="22"/>
          <w:lang w:val="es-MX"/>
        </w:rPr>
        <w:t xml:space="preserve">Propiciar fiscalizaciones asertivas </w:t>
      </w:r>
    </w:p>
    <w:p w14:paraId="5443547F" w14:textId="77777777" w:rsidR="005543F9" w:rsidRPr="004A66F0" w:rsidRDefault="005543F9" w:rsidP="005543F9">
      <w:pPr>
        <w:numPr>
          <w:ilvl w:val="0"/>
          <w:numId w:val="42"/>
        </w:numPr>
        <w:spacing w:line="276" w:lineRule="auto"/>
        <w:contextualSpacing/>
        <w:jc w:val="both"/>
        <w:rPr>
          <w:rFonts w:ascii="Times New Roman" w:eastAsia="Times New Roman" w:hAnsi="Times New Roman" w:cs="Times New Roman"/>
          <w:sz w:val="22"/>
          <w:szCs w:val="22"/>
          <w:lang w:val="es-MX"/>
        </w:rPr>
      </w:pPr>
      <w:proofErr w:type="spellStart"/>
      <w:r w:rsidRPr="004A66F0">
        <w:rPr>
          <w:rFonts w:ascii="Times New Roman" w:eastAsia="Times New Roman" w:hAnsi="Times New Roman" w:cs="Times New Roman"/>
          <w:sz w:val="22"/>
          <w:szCs w:val="22"/>
          <w:lang w:val="es-MX"/>
        </w:rPr>
        <w:t>Eficientar</w:t>
      </w:r>
      <w:proofErr w:type="spellEnd"/>
      <w:r w:rsidRPr="004A66F0">
        <w:rPr>
          <w:rFonts w:ascii="Times New Roman" w:eastAsia="Times New Roman" w:hAnsi="Times New Roman" w:cs="Times New Roman"/>
          <w:sz w:val="22"/>
          <w:szCs w:val="22"/>
          <w:lang w:val="es-MX"/>
        </w:rPr>
        <w:t xml:space="preserve"> el cobro administrativo</w:t>
      </w:r>
    </w:p>
    <w:p w14:paraId="360D6FDE" w14:textId="77777777" w:rsidR="005543F9" w:rsidRPr="004A66F0" w:rsidRDefault="005543F9" w:rsidP="005543F9">
      <w:pPr>
        <w:numPr>
          <w:ilvl w:val="0"/>
          <w:numId w:val="42"/>
        </w:numPr>
        <w:spacing w:line="276" w:lineRule="auto"/>
        <w:contextualSpacing/>
        <w:jc w:val="both"/>
        <w:rPr>
          <w:rFonts w:ascii="Times New Roman" w:eastAsia="Times New Roman" w:hAnsi="Times New Roman" w:cs="Times New Roman"/>
          <w:sz w:val="22"/>
          <w:szCs w:val="22"/>
          <w:lang w:val="es-MX"/>
        </w:rPr>
      </w:pPr>
      <w:r w:rsidRPr="004A66F0">
        <w:rPr>
          <w:rFonts w:ascii="Times New Roman" w:eastAsia="Times New Roman" w:hAnsi="Times New Roman" w:cs="Times New Roman"/>
          <w:sz w:val="22"/>
          <w:szCs w:val="22"/>
          <w:lang w:val="es-MX"/>
        </w:rPr>
        <w:t xml:space="preserve">Modernizar de manera integral el servicio aduanero y </w:t>
      </w:r>
    </w:p>
    <w:p w14:paraId="3C89686C" w14:textId="77777777" w:rsidR="005543F9" w:rsidRPr="004A66F0" w:rsidRDefault="005543F9" w:rsidP="005543F9">
      <w:pPr>
        <w:numPr>
          <w:ilvl w:val="0"/>
          <w:numId w:val="42"/>
        </w:numPr>
        <w:spacing w:line="276" w:lineRule="auto"/>
        <w:contextualSpacing/>
        <w:jc w:val="both"/>
        <w:rPr>
          <w:rFonts w:ascii="Times New Roman" w:eastAsia="Times New Roman" w:hAnsi="Times New Roman" w:cs="Times New Roman"/>
          <w:sz w:val="22"/>
          <w:szCs w:val="22"/>
          <w:lang w:val="es-MX"/>
        </w:rPr>
      </w:pPr>
      <w:r w:rsidRPr="004A66F0">
        <w:rPr>
          <w:rFonts w:ascii="Times New Roman" w:eastAsia="Times New Roman" w:hAnsi="Times New Roman" w:cs="Times New Roman"/>
          <w:sz w:val="22"/>
          <w:szCs w:val="22"/>
          <w:lang w:val="es-MX"/>
        </w:rPr>
        <w:t xml:space="preserve">Fortalecer las capacidades de gestión y transparencia institucional. </w:t>
      </w:r>
    </w:p>
    <w:p w14:paraId="7E77C9BA" w14:textId="77777777" w:rsidR="005543F9" w:rsidRPr="004A66F0" w:rsidRDefault="005543F9" w:rsidP="005543F9">
      <w:pPr>
        <w:spacing w:line="276" w:lineRule="auto"/>
        <w:contextualSpacing/>
        <w:jc w:val="both"/>
        <w:rPr>
          <w:rFonts w:ascii="Times New Roman" w:eastAsia="Times New Roman" w:hAnsi="Times New Roman" w:cs="Times New Roman"/>
          <w:sz w:val="22"/>
          <w:szCs w:val="22"/>
          <w:lang w:val="es-MX"/>
        </w:rPr>
      </w:pPr>
      <w:r w:rsidRPr="004A66F0">
        <w:rPr>
          <w:rFonts w:ascii="Times New Roman" w:eastAsia="Times New Roman" w:hAnsi="Times New Roman" w:cs="Times New Roman"/>
          <w:sz w:val="22"/>
          <w:szCs w:val="22"/>
          <w:lang w:val="es-MX"/>
        </w:rPr>
        <w:t xml:space="preserve"> </w:t>
      </w:r>
    </w:p>
    <w:p w14:paraId="5482E43F" w14:textId="77777777" w:rsidR="005543F9" w:rsidRPr="004A66F0" w:rsidRDefault="005543F9" w:rsidP="005543F9">
      <w:pPr>
        <w:spacing w:line="276" w:lineRule="auto"/>
        <w:contextualSpacing/>
        <w:jc w:val="both"/>
        <w:rPr>
          <w:rFonts w:ascii="Times New Roman" w:eastAsia="Times New Roman" w:hAnsi="Times New Roman" w:cs="Times New Roman"/>
          <w:sz w:val="22"/>
          <w:szCs w:val="22"/>
          <w:lang w:val="es-MX"/>
        </w:rPr>
      </w:pPr>
      <w:r w:rsidRPr="004A66F0">
        <w:rPr>
          <w:rFonts w:ascii="Times New Roman" w:eastAsia="Times New Roman" w:hAnsi="Times New Roman" w:cs="Times New Roman"/>
          <w:sz w:val="22"/>
          <w:szCs w:val="22"/>
          <w:lang w:val="es-MX"/>
        </w:rPr>
        <w:t xml:space="preserve">Algunos aspectos importantes a destacar en el desempeño de la SAT y que tienen impacto directo en la recaudación son: el fortalecimiento de las capacidades de gestión y transparencia Institucional, el avance en las etapas complementarias a la modernización del RTU digital, avances en el gobierno de datos, seguimiento del modelo de atención de factura electrónica en línea, activación de agencia </w:t>
      </w:r>
      <w:r w:rsidRPr="004A66F0">
        <w:rPr>
          <w:rFonts w:ascii="Times New Roman" w:eastAsia="Times New Roman" w:hAnsi="Times New Roman" w:cs="Times New Roman"/>
          <w:sz w:val="22"/>
          <w:szCs w:val="22"/>
          <w:lang w:val="es-MX"/>
        </w:rPr>
        <w:lastRenderedPageBreak/>
        <w:t>virtual a distancia y las mejoras al sistema de cita previa, y a programas y acciones como la implementación de auditorías seleccionadas a través de un nuevo modelo de fiscalización mediante la segregación por sector económico, implementación de formularios por sector económico, sistema de omisos, facilidades de pago en línea, verificación de tributos internos y externos y a la verificación de obligaciones formales aunado a los nuevos proyectos que se encuentra realizando SAT como el nuevo sistema de retenciones WEB.</w:t>
      </w:r>
    </w:p>
    <w:p w14:paraId="3C7B3282" w14:textId="77777777" w:rsidR="005543F9" w:rsidRPr="004A66F0" w:rsidRDefault="005543F9" w:rsidP="005543F9">
      <w:pPr>
        <w:spacing w:line="276" w:lineRule="auto"/>
        <w:contextualSpacing/>
        <w:jc w:val="both"/>
        <w:rPr>
          <w:rFonts w:ascii="Times New Roman" w:eastAsia="Times New Roman" w:hAnsi="Times New Roman" w:cs="Times New Roman"/>
          <w:sz w:val="22"/>
          <w:szCs w:val="22"/>
          <w:lang w:val="es-MX"/>
        </w:rPr>
      </w:pPr>
    </w:p>
    <w:p w14:paraId="5D4D7519" w14:textId="77777777" w:rsidR="005543F9" w:rsidRDefault="005543F9" w:rsidP="005543F9">
      <w:pPr>
        <w:spacing w:line="276" w:lineRule="auto"/>
        <w:contextualSpacing/>
        <w:jc w:val="both"/>
        <w:rPr>
          <w:rFonts w:ascii="Times New Roman" w:eastAsia="Times New Roman" w:hAnsi="Times New Roman" w:cs="Times New Roman"/>
          <w:sz w:val="22"/>
          <w:szCs w:val="22"/>
        </w:rPr>
      </w:pPr>
      <w:r w:rsidRPr="004A66F0">
        <w:rPr>
          <w:rFonts w:ascii="Times New Roman" w:eastAsia="Times New Roman" w:hAnsi="Times New Roman" w:cs="Times New Roman"/>
          <w:sz w:val="22"/>
          <w:szCs w:val="22"/>
          <w:lang w:val="es-MX"/>
        </w:rPr>
        <w:t>La</w:t>
      </w:r>
      <w:r w:rsidRPr="004A66F0">
        <w:rPr>
          <w:rFonts w:ascii="Times New Roman" w:eastAsia="Times New Roman" w:hAnsi="Times New Roman" w:cs="Times New Roman"/>
          <w:sz w:val="22"/>
          <w:szCs w:val="22"/>
        </w:rPr>
        <w:t xml:space="preserve"> Superintendencia de Administración Tributaria en el ramo de aduanas, luego de la readecuación de sus departamentos </w:t>
      </w:r>
      <w:r>
        <w:rPr>
          <w:rFonts w:ascii="Times New Roman" w:eastAsia="Times New Roman" w:hAnsi="Times New Roman" w:cs="Times New Roman"/>
          <w:sz w:val="22"/>
          <w:szCs w:val="22"/>
        </w:rPr>
        <w:t>dentro de los que destacan el</w:t>
      </w:r>
      <w:r w:rsidRPr="004A66F0">
        <w:rPr>
          <w:rFonts w:ascii="Times New Roman" w:eastAsia="Times New Roman" w:hAnsi="Times New Roman" w:cs="Times New Roman"/>
          <w:sz w:val="22"/>
          <w:szCs w:val="22"/>
        </w:rPr>
        <w:t xml:space="preserve"> Departamento Normativo y de Facilitación de Comercio Exterior y Departamento de Gestión Técnica de las Mercancías</w:t>
      </w:r>
      <w:r>
        <w:rPr>
          <w:rFonts w:ascii="Times New Roman" w:eastAsia="Times New Roman" w:hAnsi="Times New Roman" w:cs="Times New Roman"/>
          <w:sz w:val="22"/>
          <w:szCs w:val="22"/>
        </w:rPr>
        <w:t>,</w:t>
      </w:r>
      <w:r w:rsidRPr="004A66F0">
        <w:rPr>
          <w:rFonts w:ascii="Times New Roman" w:eastAsia="Times New Roman" w:hAnsi="Times New Roman" w:cs="Times New Roman"/>
          <w:sz w:val="22"/>
          <w:szCs w:val="22"/>
        </w:rPr>
        <w:t xml:space="preserve"> realizó esfuerzos con la implementación de acciones para combatir la defraudación y el contrabando tales como</w:t>
      </w:r>
      <w:r>
        <w:rPr>
          <w:rFonts w:ascii="Times New Roman" w:eastAsia="Times New Roman" w:hAnsi="Times New Roman" w:cs="Times New Roman"/>
          <w:sz w:val="22"/>
          <w:szCs w:val="22"/>
        </w:rPr>
        <w:t>:</w:t>
      </w:r>
      <w:r w:rsidRPr="004A66F0">
        <w:rPr>
          <w:rFonts w:ascii="Times New Roman" w:eastAsia="Times New Roman" w:hAnsi="Times New Roman" w:cs="Times New Roman"/>
          <w:sz w:val="22"/>
          <w:szCs w:val="22"/>
        </w:rPr>
        <w:t xml:space="preserve"> mayor eficiencia del control aduanero, seguimiento del plan de combate al contrabando aduanero mediante la puesta en marcha de puestos de control interinstitucional (a la fecha van 7)</w:t>
      </w:r>
      <w:r>
        <w:rPr>
          <w:rFonts w:ascii="Times New Roman" w:eastAsia="Times New Roman" w:hAnsi="Times New Roman" w:cs="Times New Roman"/>
          <w:sz w:val="22"/>
          <w:szCs w:val="22"/>
        </w:rPr>
        <w:t>;</w:t>
      </w:r>
      <w:r w:rsidRPr="004A66F0">
        <w:rPr>
          <w:rFonts w:ascii="Times New Roman" w:eastAsia="Times New Roman" w:hAnsi="Times New Roman" w:cs="Times New Roman"/>
          <w:sz w:val="22"/>
          <w:szCs w:val="22"/>
        </w:rPr>
        <w:t xml:space="preserve"> simplificación, automatización y transparencia en el ingreso y salida de la carga vía aérea</w:t>
      </w:r>
      <w:r>
        <w:rPr>
          <w:rFonts w:ascii="Times New Roman" w:eastAsia="Times New Roman" w:hAnsi="Times New Roman" w:cs="Times New Roman"/>
          <w:sz w:val="22"/>
          <w:szCs w:val="22"/>
        </w:rPr>
        <w:t>;</w:t>
      </w:r>
      <w:r w:rsidRPr="004A66F0">
        <w:rPr>
          <w:rFonts w:ascii="Times New Roman" w:eastAsia="Times New Roman" w:hAnsi="Times New Roman" w:cs="Times New Roman"/>
          <w:sz w:val="22"/>
          <w:szCs w:val="22"/>
        </w:rPr>
        <w:t xml:space="preserve"> fortalecimiento de la gestión de riesgo, operativos interinstitucionales en aduanas aéreas, terrestres, marítimas, puestos fronterizos, depósitos aduaneros y zonas francas</w:t>
      </w:r>
      <w:r>
        <w:rPr>
          <w:rFonts w:ascii="Times New Roman" w:eastAsia="Times New Roman" w:hAnsi="Times New Roman" w:cs="Times New Roman"/>
          <w:sz w:val="22"/>
          <w:szCs w:val="22"/>
        </w:rPr>
        <w:t>;</w:t>
      </w:r>
      <w:r w:rsidRPr="004A66F0">
        <w:rPr>
          <w:rFonts w:ascii="Times New Roman" w:eastAsia="Times New Roman" w:hAnsi="Times New Roman" w:cs="Times New Roman"/>
          <w:sz w:val="22"/>
          <w:szCs w:val="22"/>
        </w:rPr>
        <w:t xml:space="preserve"> fortalecimiento del intercambio de información con otros Estados Partes</w:t>
      </w:r>
      <w:r>
        <w:rPr>
          <w:rFonts w:ascii="Times New Roman" w:eastAsia="Times New Roman" w:hAnsi="Times New Roman" w:cs="Times New Roman"/>
          <w:sz w:val="22"/>
          <w:szCs w:val="22"/>
        </w:rPr>
        <w:t>;</w:t>
      </w:r>
      <w:r w:rsidRPr="004A66F0">
        <w:rPr>
          <w:rFonts w:ascii="Times New Roman" w:eastAsia="Times New Roman" w:hAnsi="Times New Roman" w:cs="Times New Roman"/>
          <w:sz w:val="22"/>
          <w:szCs w:val="22"/>
        </w:rPr>
        <w:t xml:space="preserve"> fortalecimiento de la valoración aduanera</w:t>
      </w:r>
      <w:r>
        <w:rPr>
          <w:rFonts w:ascii="Times New Roman" w:eastAsia="Times New Roman" w:hAnsi="Times New Roman" w:cs="Times New Roman"/>
          <w:sz w:val="22"/>
          <w:szCs w:val="22"/>
        </w:rPr>
        <w:t>;</w:t>
      </w:r>
      <w:r w:rsidRPr="004A66F0">
        <w:rPr>
          <w:rFonts w:ascii="Times New Roman" w:eastAsia="Times New Roman" w:hAnsi="Times New Roman" w:cs="Times New Roman"/>
          <w:sz w:val="22"/>
          <w:szCs w:val="22"/>
        </w:rPr>
        <w:t xml:space="preserve"> puesta en marcha del modelo de duda razonable</w:t>
      </w:r>
      <w:r>
        <w:rPr>
          <w:rFonts w:ascii="Times New Roman" w:eastAsia="Times New Roman" w:hAnsi="Times New Roman" w:cs="Times New Roman"/>
          <w:sz w:val="22"/>
          <w:szCs w:val="22"/>
        </w:rPr>
        <w:t>,</w:t>
      </w:r>
      <w:r w:rsidRPr="004A66F0">
        <w:rPr>
          <w:rFonts w:ascii="Times New Roman" w:eastAsia="Times New Roman" w:hAnsi="Times New Roman" w:cs="Times New Roman"/>
          <w:sz w:val="22"/>
          <w:szCs w:val="22"/>
        </w:rPr>
        <w:t xml:space="preserve"> el cual está enfocado en la trazabilidad para el importador, transparencia que evita la discrecionalidad</w:t>
      </w:r>
      <w:r>
        <w:rPr>
          <w:rFonts w:ascii="Times New Roman" w:eastAsia="Times New Roman" w:hAnsi="Times New Roman" w:cs="Times New Roman"/>
          <w:sz w:val="22"/>
          <w:szCs w:val="22"/>
        </w:rPr>
        <w:t>;</w:t>
      </w:r>
      <w:r w:rsidRPr="004A66F0">
        <w:rPr>
          <w:rFonts w:ascii="Times New Roman" w:eastAsia="Times New Roman" w:hAnsi="Times New Roman" w:cs="Times New Roman"/>
          <w:sz w:val="22"/>
          <w:szCs w:val="22"/>
        </w:rPr>
        <w:t xml:space="preserve"> y</w:t>
      </w:r>
      <w:r>
        <w:rPr>
          <w:rFonts w:ascii="Times New Roman" w:eastAsia="Times New Roman" w:hAnsi="Times New Roman" w:cs="Times New Roman"/>
          <w:sz w:val="22"/>
          <w:szCs w:val="22"/>
        </w:rPr>
        <w:t>,</w:t>
      </w:r>
      <w:r w:rsidRPr="004A66F0">
        <w:rPr>
          <w:rFonts w:ascii="Times New Roman" w:eastAsia="Times New Roman" w:hAnsi="Times New Roman" w:cs="Times New Roman"/>
          <w:sz w:val="22"/>
          <w:szCs w:val="22"/>
        </w:rPr>
        <w:t xml:space="preserve"> a las mejoras en el tiempo de atención de solicitudes entre otras.</w:t>
      </w:r>
    </w:p>
    <w:p w14:paraId="7F92320B" w14:textId="77777777" w:rsidR="005543F9" w:rsidRPr="004A66F0" w:rsidRDefault="005543F9" w:rsidP="005543F9">
      <w:pPr>
        <w:spacing w:line="276" w:lineRule="auto"/>
        <w:contextualSpacing/>
        <w:jc w:val="both"/>
        <w:rPr>
          <w:rFonts w:ascii="Times New Roman" w:eastAsia="Times New Roman" w:hAnsi="Times New Roman" w:cs="Times New Roman"/>
          <w:sz w:val="22"/>
          <w:szCs w:val="22"/>
        </w:rPr>
      </w:pPr>
    </w:p>
    <w:p w14:paraId="2696DAC4" w14:textId="0EB36A78" w:rsidR="005543F9" w:rsidRPr="00A11E1A" w:rsidRDefault="005543F9" w:rsidP="005543F9">
      <w:pPr>
        <w:spacing w:line="276" w:lineRule="auto"/>
        <w:contextualSpacing/>
        <w:jc w:val="center"/>
        <w:rPr>
          <w:rFonts w:ascii="Times New Roman" w:eastAsia="Times New Roman" w:hAnsi="Times New Roman" w:cs="Times New Roman"/>
          <w:b/>
          <w:sz w:val="22"/>
          <w:szCs w:val="22"/>
        </w:rPr>
      </w:pPr>
      <w:bookmarkStart w:id="24" w:name="_Toc125733204"/>
      <w:r w:rsidRPr="00A11E1A">
        <w:rPr>
          <w:rFonts w:ascii="Times New Roman" w:eastAsia="Times New Roman" w:hAnsi="Times New Roman" w:cs="Times New Roman"/>
          <w:b/>
          <w:sz w:val="22"/>
          <w:szCs w:val="22"/>
        </w:rPr>
        <w:t xml:space="preserve">Gráfico </w:t>
      </w:r>
      <w:r w:rsidRPr="00A11E1A">
        <w:rPr>
          <w:rFonts w:ascii="Times New Roman" w:eastAsia="Times New Roman" w:hAnsi="Times New Roman" w:cs="Times New Roman"/>
          <w:b/>
          <w:sz w:val="22"/>
          <w:szCs w:val="22"/>
        </w:rPr>
        <w:fldChar w:fldCharType="begin"/>
      </w:r>
      <w:r w:rsidRPr="00A11E1A">
        <w:rPr>
          <w:rFonts w:ascii="Times New Roman" w:eastAsia="Times New Roman" w:hAnsi="Times New Roman" w:cs="Times New Roman"/>
          <w:b/>
          <w:sz w:val="22"/>
          <w:szCs w:val="22"/>
        </w:rPr>
        <w:instrText xml:space="preserve"> SEQ Gráfico \* ARABIC </w:instrText>
      </w:r>
      <w:r w:rsidRPr="00A11E1A">
        <w:rPr>
          <w:rFonts w:ascii="Times New Roman" w:eastAsia="Times New Roman" w:hAnsi="Times New Roman" w:cs="Times New Roman"/>
          <w:b/>
          <w:sz w:val="22"/>
          <w:szCs w:val="22"/>
        </w:rPr>
        <w:fldChar w:fldCharType="separate"/>
      </w:r>
      <w:r w:rsidR="006F4BE5">
        <w:rPr>
          <w:rFonts w:ascii="Times New Roman" w:eastAsia="Times New Roman" w:hAnsi="Times New Roman" w:cs="Times New Roman"/>
          <w:b/>
          <w:noProof/>
          <w:sz w:val="22"/>
          <w:szCs w:val="22"/>
        </w:rPr>
        <w:t>8</w:t>
      </w:r>
      <w:r w:rsidRPr="00A11E1A">
        <w:rPr>
          <w:rFonts w:ascii="Times New Roman" w:eastAsia="Times New Roman" w:hAnsi="Times New Roman" w:cs="Times New Roman"/>
          <w:b/>
          <w:sz w:val="22"/>
          <w:szCs w:val="22"/>
        </w:rPr>
        <w:fldChar w:fldCharType="end"/>
      </w:r>
      <w:r w:rsidRPr="00A11E1A">
        <w:rPr>
          <w:rFonts w:ascii="Times New Roman" w:eastAsia="Times New Roman" w:hAnsi="Times New Roman" w:cs="Times New Roman"/>
          <w:b/>
          <w:sz w:val="22"/>
          <w:szCs w:val="22"/>
        </w:rPr>
        <w:t>. Carga Tributaria</w:t>
      </w:r>
      <w:bookmarkEnd w:id="24"/>
    </w:p>
    <w:p w14:paraId="045353F8" w14:textId="77777777" w:rsidR="005543F9" w:rsidRPr="004517D3" w:rsidRDefault="005543F9" w:rsidP="005543F9">
      <w:pPr>
        <w:spacing w:line="276" w:lineRule="auto"/>
        <w:contextualSpacing/>
        <w:jc w:val="center"/>
        <w:rPr>
          <w:rFonts w:ascii="Times New Roman" w:eastAsia="Times New Roman" w:hAnsi="Times New Roman"/>
          <w:bCs/>
          <w:sz w:val="22"/>
          <w:szCs w:val="22"/>
        </w:rPr>
      </w:pPr>
      <w:r w:rsidRPr="00A11E1A">
        <w:rPr>
          <w:rFonts w:ascii="Times New Roman" w:eastAsia="Times New Roman" w:hAnsi="Times New Roman"/>
          <w:bCs/>
          <w:sz w:val="22"/>
          <w:szCs w:val="22"/>
        </w:rPr>
        <w:t>Porcentajes</w:t>
      </w:r>
    </w:p>
    <w:p w14:paraId="0BC8FE81" w14:textId="77777777" w:rsidR="005543F9" w:rsidRPr="004A66F0" w:rsidRDefault="005543F9" w:rsidP="005543F9">
      <w:pPr>
        <w:spacing w:line="276" w:lineRule="auto"/>
        <w:contextualSpacing/>
        <w:jc w:val="center"/>
        <w:rPr>
          <w:rFonts w:ascii="Times New Roman" w:eastAsia="Times New Roman" w:hAnsi="Times New Roman" w:cs="Times New Roman"/>
          <w:sz w:val="22"/>
          <w:szCs w:val="22"/>
        </w:rPr>
      </w:pPr>
      <w:r w:rsidRPr="004A66F0">
        <w:rPr>
          <w:rFonts w:ascii="Times New Roman" w:eastAsia="Times New Roman" w:hAnsi="Times New Roman" w:cs="Times New Roman"/>
          <w:noProof/>
          <w:sz w:val="22"/>
          <w:szCs w:val="22"/>
          <w:lang w:eastAsia="es-GT"/>
        </w:rPr>
        <w:drawing>
          <wp:inline distT="0" distB="0" distL="0" distR="0" wp14:anchorId="344002F5" wp14:editId="27D3616C">
            <wp:extent cx="4704080" cy="2547620"/>
            <wp:effectExtent l="0" t="0" r="1270" b="5080"/>
            <wp:docPr id="25" name="Gráfico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8D85130" w14:textId="77777777" w:rsidR="005543F9" w:rsidRPr="004A66F0" w:rsidRDefault="005543F9" w:rsidP="005543F9">
      <w:pPr>
        <w:spacing w:line="276" w:lineRule="auto"/>
        <w:contextualSpacing/>
        <w:jc w:val="both"/>
        <w:rPr>
          <w:rFonts w:ascii="Times New Roman" w:eastAsia="Times New Roman" w:hAnsi="Times New Roman" w:cs="Times New Roman"/>
          <w:sz w:val="22"/>
          <w:szCs w:val="22"/>
        </w:rPr>
      </w:pPr>
    </w:p>
    <w:p w14:paraId="5DAF6C5D" w14:textId="77777777" w:rsidR="005543F9" w:rsidRDefault="005543F9" w:rsidP="005543F9">
      <w:pPr>
        <w:spacing w:line="276" w:lineRule="auto"/>
        <w:contextualSpacing/>
        <w:jc w:val="both"/>
        <w:rPr>
          <w:rFonts w:ascii="Times New Roman" w:eastAsia="Times New Roman" w:hAnsi="Times New Roman" w:cs="Times New Roman"/>
          <w:sz w:val="22"/>
          <w:szCs w:val="22"/>
          <w:lang w:val="es-MX"/>
        </w:rPr>
      </w:pPr>
      <w:r w:rsidRPr="004A66F0">
        <w:rPr>
          <w:rFonts w:ascii="Times New Roman" w:eastAsia="Times New Roman" w:hAnsi="Times New Roman" w:cs="Times New Roman"/>
          <w:noProof/>
          <w:sz w:val="22"/>
          <w:szCs w:val="22"/>
          <w:lang w:eastAsia="es-GT"/>
        </w:rPr>
        <w:t>L</w:t>
      </w:r>
      <w:r w:rsidRPr="004A66F0">
        <w:rPr>
          <w:rFonts w:ascii="Times New Roman" w:eastAsia="Times New Roman" w:hAnsi="Times New Roman" w:cs="Times New Roman"/>
          <w:sz w:val="22"/>
          <w:szCs w:val="22"/>
          <w:lang w:val="es-MX"/>
        </w:rPr>
        <w:t xml:space="preserve">os esfuerzos realizados por </w:t>
      </w:r>
      <w:r>
        <w:rPr>
          <w:rFonts w:ascii="Times New Roman" w:eastAsia="Times New Roman" w:hAnsi="Times New Roman" w:cs="Times New Roman"/>
          <w:sz w:val="22"/>
          <w:szCs w:val="22"/>
          <w:lang w:val="es-MX"/>
        </w:rPr>
        <w:t xml:space="preserve">la </w:t>
      </w:r>
      <w:r w:rsidRPr="004A66F0">
        <w:rPr>
          <w:rFonts w:ascii="Times New Roman" w:eastAsia="Times New Roman" w:hAnsi="Times New Roman" w:cs="Times New Roman"/>
          <w:sz w:val="22"/>
          <w:szCs w:val="22"/>
          <w:lang w:val="es-MX"/>
        </w:rPr>
        <w:t>SAT para contener la caída en la recaudación tributaria observada en 2020 producto de la pandemia</w:t>
      </w:r>
      <w:r>
        <w:rPr>
          <w:rFonts w:ascii="Times New Roman" w:eastAsia="Times New Roman" w:hAnsi="Times New Roman" w:cs="Times New Roman"/>
          <w:sz w:val="22"/>
          <w:szCs w:val="22"/>
          <w:lang w:val="es-MX"/>
        </w:rPr>
        <w:t>,</w:t>
      </w:r>
      <w:r w:rsidRPr="004A66F0">
        <w:rPr>
          <w:rFonts w:ascii="Times New Roman" w:eastAsia="Times New Roman" w:hAnsi="Times New Roman" w:cs="Times New Roman"/>
          <w:sz w:val="22"/>
          <w:szCs w:val="22"/>
          <w:lang w:val="es-MX"/>
        </w:rPr>
        <w:t xml:space="preserve"> se fortalecieron para el ejercicio fiscal 2022</w:t>
      </w:r>
      <w:r>
        <w:rPr>
          <w:rFonts w:ascii="Times New Roman" w:eastAsia="Times New Roman" w:hAnsi="Times New Roman" w:cs="Times New Roman"/>
          <w:sz w:val="22"/>
          <w:szCs w:val="22"/>
          <w:lang w:val="es-MX"/>
        </w:rPr>
        <w:t>.  E</w:t>
      </w:r>
      <w:r w:rsidRPr="004A66F0">
        <w:rPr>
          <w:rFonts w:ascii="Times New Roman" w:eastAsia="Times New Roman" w:hAnsi="Times New Roman" w:cs="Times New Roman"/>
          <w:sz w:val="22"/>
          <w:szCs w:val="22"/>
          <w:lang w:val="es-MX"/>
        </w:rPr>
        <w:t xml:space="preserve">l impacto de esas </w:t>
      </w:r>
      <w:r>
        <w:rPr>
          <w:rFonts w:ascii="Times New Roman" w:eastAsia="Times New Roman" w:hAnsi="Times New Roman" w:cs="Times New Roman"/>
          <w:sz w:val="22"/>
          <w:szCs w:val="22"/>
          <w:lang w:val="es-MX"/>
        </w:rPr>
        <w:t>acciones</w:t>
      </w:r>
      <w:r w:rsidRPr="004A66F0">
        <w:rPr>
          <w:rFonts w:ascii="Times New Roman" w:eastAsia="Times New Roman" w:hAnsi="Times New Roman" w:cs="Times New Roman"/>
          <w:sz w:val="22"/>
          <w:szCs w:val="22"/>
          <w:lang w:val="es-MX"/>
        </w:rPr>
        <w:t xml:space="preserve"> se </w:t>
      </w:r>
      <w:r>
        <w:rPr>
          <w:rFonts w:ascii="Times New Roman" w:eastAsia="Times New Roman" w:hAnsi="Times New Roman" w:cs="Times New Roman"/>
          <w:sz w:val="22"/>
          <w:szCs w:val="22"/>
          <w:lang w:val="es-MX"/>
        </w:rPr>
        <w:t xml:space="preserve">puede </w:t>
      </w:r>
      <w:r w:rsidRPr="004A66F0">
        <w:rPr>
          <w:rFonts w:ascii="Times New Roman" w:eastAsia="Times New Roman" w:hAnsi="Times New Roman" w:cs="Times New Roman"/>
          <w:sz w:val="22"/>
          <w:szCs w:val="22"/>
          <w:lang w:val="es-MX"/>
        </w:rPr>
        <w:t>observa</w:t>
      </w:r>
      <w:r>
        <w:rPr>
          <w:rFonts w:ascii="Times New Roman" w:eastAsia="Times New Roman" w:hAnsi="Times New Roman" w:cs="Times New Roman"/>
          <w:sz w:val="22"/>
          <w:szCs w:val="22"/>
          <w:lang w:val="es-MX"/>
        </w:rPr>
        <w:t>r</w:t>
      </w:r>
      <w:r w:rsidRPr="004A66F0">
        <w:rPr>
          <w:rFonts w:ascii="Times New Roman" w:eastAsia="Times New Roman" w:hAnsi="Times New Roman" w:cs="Times New Roman"/>
          <w:sz w:val="22"/>
          <w:szCs w:val="22"/>
          <w:lang w:val="es-MX"/>
        </w:rPr>
        <w:t xml:space="preserve"> a través del indicador de carga tributaria</w:t>
      </w:r>
      <w:r>
        <w:rPr>
          <w:rFonts w:ascii="Times New Roman" w:eastAsia="Times New Roman" w:hAnsi="Times New Roman" w:cs="Times New Roman"/>
          <w:sz w:val="22"/>
          <w:szCs w:val="22"/>
          <w:lang w:val="es-MX"/>
        </w:rPr>
        <w:t>,</w:t>
      </w:r>
      <w:r w:rsidRPr="004A66F0">
        <w:rPr>
          <w:rFonts w:ascii="Times New Roman" w:eastAsia="Times New Roman" w:hAnsi="Times New Roman" w:cs="Times New Roman"/>
          <w:sz w:val="22"/>
          <w:szCs w:val="22"/>
          <w:lang w:val="es-MX"/>
        </w:rPr>
        <w:t xml:space="preserve"> </w:t>
      </w:r>
      <w:r>
        <w:rPr>
          <w:rFonts w:ascii="Times New Roman" w:eastAsia="Times New Roman" w:hAnsi="Times New Roman" w:cs="Times New Roman"/>
          <w:sz w:val="22"/>
          <w:szCs w:val="22"/>
          <w:lang w:val="es-MX"/>
        </w:rPr>
        <w:t>que</w:t>
      </w:r>
      <w:r w:rsidRPr="004A66F0">
        <w:rPr>
          <w:rFonts w:ascii="Times New Roman" w:eastAsia="Times New Roman" w:hAnsi="Times New Roman" w:cs="Times New Roman"/>
          <w:sz w:val="22"/>
          <w:szCs w:val="22"/>
          <w:lang w:val="es-MX"/>
        </w:rPr>
        <w:t xml:space="preserve"> pas</w:t>
      </w:r>
      <w:r>
        <w:rPr>
          <w:rFonts w:ascii="Times New Roman" w:eastAsia="Times New Roman" w:hAnsi="Times New Roman" w:cs="Times New Roman"/>
          <w:sz w:val="22"/>
          <w:szCs w:val="22"/>
          <w:lang w:val="es-MX"/>
        </w:rPr>
        <w:t>ó</w:t>
      </w:r>
      <w:r w:rsidRPr="004A66F0">
        <w:rPr>
          <w:rFonts w:ascii="Times New Roman" w:eastAsia="Times New Roman" w:hAnsi="Times New Roman" w:cs="Times New Roman"/>
          <w:sz w:val="22"/>
          <w:szCs w:val="22"/>
          <w:lang w:val="es-MX"/>
        </w:rPr>
        <w:t xml:space="preserve"> del 10.1% en 2020 y 11.7% en 2021</w:t>
      </w:r>
      <w:r>
        <w:rPr>
          <w:rFonts w:ascii="Times New Roman" w:eastAsia="Times New Roman" w:hAnsi="Times New Roman" w:cs="Times New Roman"/>
          <w:sz w:val="22"/>
          <w:szCs w:val="22"/>
          <w:lang w:val="es-MX"/>
        </w:rPr>
        <w:t>,</w:t>
      </w:r>
      <w:r w:rsidRPr="004A66F0">
        <w:rPr>
          <w:rFonts w:ascii="Times New Roman" w:eastAsia="Times New Roman" w:hAnsi="Times New Roman" w:cs="Times New Roman"/>
          <w:sz w:val="22"/>
          <w:szCs w:val="22"/>
          <w:lang w:val="es-MX"/>
        </w:rPr>
        <w:t xml:space="preserve"> a 12.1%, mayor al observado en los últimos 30 años, y lejos del observado en 2015 año en que se suscitó la crisis institucional de </w:t>
      </w:r>
      <w:r>
        <w:rPr>
          <w:rFonts w:ascii="Times New Roman" w:eastAsia="Times New Roman" w:hAnsi="Times New Roman" w:cs="Times New Roman"/>
          <w:sz w:val="22"/>
          <w:szCs w:val="22"/>
          <w:lang w:val="es-MX"/>
        </w:rPr>
        <w:t xml:space="preserve">la </w:t>
      </w:r>
      <w:r w:rsidRPr="004A66F0">
        <w:rPr>
          <w:rFonts w:ascii="Times New Roman" w:eastAsia="Times New Roman" w:hAnsi="Times New Roman" w:cs="Times New Roman"/>
          <w:sz w:val="22"/>
          <w:szCs w:val="22"/>
          <w:lang w:val="es-MX"/>
        </w:rPr>
        <w:t>SAT</w:t>
      </w:r>
      <w:r>
        <w:rPr>
          <w:rFonts w:ascii="Times New Roman" w:eastAsia="Times New Roman" w:hAnsi="Times New Roman" w:cs="Times New Roman"/>
          <w:sz w:val="22"/>
          <w:szCs w:val="22"/>
          <w:lang w:val="es-MX"/>
        </w:rPr>
        <w:t>.  E</w:t>
      </w:r>
      <w:r w:rsidRPr="004A66F0">
        <w:rPr>
          <w:rFonts w:ascii="Times New Roman" w:eastAsia="Times New Roman" w:hAnsi="Times New Roman" w:cs="Times New Roman"/>
          <w:sz w:val="22"/>
          <w:szCs w:val="22"/>
          <w:lang w:val="es-MX"/>
        </w:rPr>
        <w:t>l resultado observado en 2022</w:t>
      </w:r>
      <w:r>
        <w:rPr>
          <w:rFonts w:ascii="Times New Roman" w:eastAsia="Times New Roman" w:hAnsi="Times New Roman" w:cs="Times New Roman"/>
          <w:sz w:val="22"/>
          <w:szCs w:val="22"/>
          <w:lang w:val="es-MX"/>
        </w:rPr>
        <w:t>,</w:t>
      </w:r>
      <w:r w:rsidRPr="004A66F0">
        <w:rPr>
          <w:rFonts w:ascii="Times New Roman" w:eastAsia="Times New Roman" w:hAnsi="Times New Roman" w:cs="Times New Roman"/>
          <w:sz w:val="22"/>
          <w:szCs w:val="22"/>
          <w:lang w:val="es-MX"/>
        </w:rPr>
        <w:t xml:space="preserve"> si bien recoge </w:t>
      </w:r>
      <w:r w:rsidRPr="004A66F0">
        <w:rPr>
          <w:rFonts w:ascii="Times New Roman" w:eastAsia="Times New Roman" w:hAnsi="Times New Roman" w:cs="Times New Roman"/>
          <w:sz w:val="22"/>
          <w:szCs w:val="22"/>
          <w:lang w:val="es-MX"/>
        </w:rPr>
        <w:lastRenderedPageBreak/>
        <w:t xml:space="preserve">el esfuerzo realizado por SAT a través de medidas administrativas </w:t>
      </w:r>
      <w:r>
        <w:rPr>
          <w:rFonts w:ascii="Times New Roman" w:eastAsia="Times New Roman" w:hAnsi="Times New Roman" w:cs="Times New Roman"/>
          <w:sz w:val="22"/>
          <w:szCs w:val="22"/>
          <w:lang w:val="es-MX"/>
        </w:rPr>
        <w:t xml:space="preserve">que permitieron recaudar </w:t>
      </w:r>
      <w:r w:rsidRPr="004A66F0">
        <w:rPr>
          <w:rFonts w:ascii="Times New Roman" w:eastAsia="Times New Roman" w:hAnsi="Times New Roman" w:cs="Times New Roman"/>
          <w:sz w:val="22"/>
          <w:szCs w:val="22"/>
          <w:lang w:val="es-MX"/>
        </w:rPr>
        <w:t>cerca de Q2,227.3 millones</w:t>
      </w:r>
      <w:r>
        <w:rPr>
          <w:rFonts w:ascii="Times New Roman" w:eastAsia="Times New Roman" w:hAnsi="Times New Roman" w:cs="Times New Roman"/>
          <w:sz w:val="22"/>
          <w:szCs w:val="22"/>
          <w:lang w:val="es-MX"/>
        </w:rPr>
        <w:t xml:space="preserve">, producto de </w:t>
      </w:r>
      <w:r w:rsidRPr="004A66F0">
        <w:rPr>
          <w:rFonts w:ascii="Times New Roman" w:eastAsia="Times New Roman" w:hAnsi="Times New Roman" w:cs="Times New Roman"/>
          <w:sz w:val="22"/>
          <w:szCs w:val="22"/>
          <w:lang w:val="es-MX"/>
        </w:rPr>
        <w:t xml:space="preserve">programas </w:t>
      </w:r>
      <w:r>
        <w:rPr>
          <w:rFonts w:ascii="Times New Roman" w:eastAsia="Times New Roman" w:hAnsi="Times New Roman" w:cs="Times New Roman"/>
          <w:sz w:val="22"/>
          <w:szCs w:val="22"/>
          <w:lang w:val="es-MX"/>
        </w:rPr>
        <w:t xml:space="preserve">específicos de </w:t>
      </w:r>
      <w:r w:rsidRPr="004A66F0">
        <w:rPr>
          <w:rFonts w:ascii="Times New Roman" w:eastAsia="Times New Roman" w:hAnsi="Times New Roman" w:cs="Times New Roman"/>
          <w:sz w:val="22"/>
          <w:szCs w:val="22"/>
          <w:lang w:val="es-MX"/>
        </w:rPr>
        <w:t xml:space="preserve">las </w:t>
      </w:r>
      <w:r>
        <w:rPr>
          <w:rFonts w:ascii="Times New Roman" w:eastAsia="Times New Roman" w:hAnsi="Times New Roman" w:cs="Times New Roman"/>
          <w:sz w:val="22"/>
          <w:szCs w:val="22"/>
          <w:lang w:val="es-MX"/>
        </w:rPr>
        <w:t>I</w:t>
      </w:r>
      <w:r w:rsidRPr="004A66F0">
        <w:rPr>
          <w:rFonts w:ascii="Times New Roman" w:eastAsia="Times New Roman" w:hAnsi="Times New Roman" w:cs="Times New Roman"/>
          <w:sz w:val="22"/>
          <w:szCs w:val="22"/>
          <w:lang w:val="es-MX"/>
        </w:rPr>
        <w:t xml:space="preserve">ntendencias de </w:t>
      </w:r>
      <w:r>
        <w:rPr>
          <w:rFonts w:ascii="Times New Roman" w:eastAsia="Times New Roman" w:hAnsi="Times New Roman" w:cs="Times New Roman"/>
          <w:sz w:val="22"/>
          <w:szCs w:val="22"/>
          <w:lang w:val="es-MX"/>
        </w:rPr>
        <w:t>R</w:t>
      </w:r>
      <w:r w:rsidRPr="004A66F0">
        <w:rPr>
          <w:rFonts w:ascii="Times New Roman" w:eastAsia="Times New Roman" w:hAnsi="Times New Roman" w:cs="Times New Roman"/>
          <w:sz w:val="22"/>
          <w:szCs w:val="22"/>
          <w:lang w:val="es-MX"/>
        </w:rPr>
        <w:t xml:space="preserve">ecaudación, de </w:t>
      </w:r>
      <w:r>
        <w:rPr>
          <w:rFonts w:ascii="Times New Roman" w:eastAsia="Times New Roman" w:hAnsi="Times New Roman" w:cs="Times New Roman"/>
          <w:sz w:val="22"/>
          <w:szCs w:val="22"/>
          <w:lang w:val="es-MX"/>
        </w:rPr>
        <w:t>F</w:t>
      </w:r>
      <w:r w:rsidRPr="004A66F0">
        <w:rPr>
          <w:rFonts w:ascii="Times New Roman" w:eastAsia="Times New Roman" w:hAnsi="Times New Roman" w:cs="Times New Roman"/>
          <w:sz w:val="22"/>
          <w:szCs w:val="22"/>
          <w:lang w:val="es-MX"/>
        </w:rPr>
        <w:t xml:space="preserve">iscalización, </w:t>
      </w:r>
      <w:r>
        <w:rPr>
          <w:rFonts w:ascii="Times New Roman" w:eastAsia="Times New Roman" w:hAnsi="Times New Roman" w:cs="Times New Roman"/>
          <w:sz w:val="22"/>
          <w:szCs w:val="22"/>
          <w:lang w:val="es-MX"/>
        </w:rPr>
        <w:t>J</w:t>
      </w:r>
      <w:r w:rsidRPr="004A66F0">
        <w:rPr>
          <w:rFonts w:ascii="Times New Roman" w:eastAsia="Times New Roman" w:hAnsi="Times New Roman" w:cs="Times New Roman"/>
          <w:sz w:val="22"/>
          <w:szCs w:val="22"/>
          <w:lang w:val="es-MX"/>
        </w:rPr>
        <w:t xml:space="preserve">urídico y </w:t>
      </w:r>
      <w:r>
        <w:rPr>
          <w:rFonts w:ascii="Times New Roman" w:eastAsia="Times New Roman" w:hAnsi="Times New Roman" w:cs="Times New Roman"/>
          <w:sz w:val="22"/>
          <w:szCs w:val="22"/>
          <w:lang w:val="es-MX"/>
        </w:rPr>
        <w:t>A</w:t>
      </w:r>
      <w:r w:rsidRPr="004A66F0">
        <w:rPr>
          <w:rFonts w:ascii="Times New Roman" w:eastAsia="Times New Roman" w:hAnsi="Times New Roman" w:cs="Times New Roman"/>
          <w:sz w:val="22"/>
          <w:szCs w:val="22"/>
          <w:lang w:val="es-MX"/>
        </w:rPr>
        <w:t>duanas</w:t>
      </w:r>
      <w:r>
        <w:rPr>
          <w:rFonts w:ascii="Times New Roman" w:eastAsia="Times New Roman" w:hAnsi="Times New Roman" w:cs="Times New Roman"/>
          <w:sz w:val="22"/>
          <w:szCs w:val="22"/>
          <w:lang w:val="es-MX"/>
        </w:rPr>
        <w:t xml:space="preserve">, y algunos factores exógenos que apuntalaron la recaudación, tal y como se ha citado con </w:t>
      </w:r>
      <w:r w:rsidRPr="004A66F0">
        <w:rPr>
          <w:rFonts w:ascii="Times New Roman" w:eastAsia="Times New Roman" w:hAnsi="Times New Roman" w:cs="Times New Roman"/>
          <w:sz w:val="22"/>
          <w:szCs w:val="22"/>
          <w:lang w:val="es-MX"/>
        </w:rPr>
        <w:t xml:space="preserve">el precio de los combustibles, </w:t>
      </w:r>
      <w:r>
        <w:rPr>
          <w:rFonts w:ascii="Times New Roman" w:eastAsia="Times New Roman" w:hAnsi="Times New Roman" w:cs="Times New Roman"/>
          <w:sz w:val="22"/>
          <w:szCs w:val="22"/>
          <w:lang w:val="es-MX"/>
        </w:rPr>
        <w:t>así como una depreciación del</w:t>
      </w:r>
      <w:r w:rsidRPr="004A66F0">
        <w:rPr>
          <w:rFonts w:ascii="Times New Roman" w:eastAsia="Times New Roman" w:hAnsi="Times New Roman" w:cs="Times New Roman"/>
          <w:sz w:val="22"/>
          <w:szCs w:val="22"/>
          <w:lang w:val="es-MX"/>
        </w:rPr>
        <w:t xml:space="preserve"> tipo de cambio, </w:t>
      </w:r>
      <w:r>
        <w:rPr>
          <w:rFonts w:ascii="Times New Roman" w:eastAsia="Times New Roman" w:hAnsi="Times New Roman" w:cs="Times New Roman"/>
          <w:sz w:val="22"/>
          <w:szCs w:val="22"/>
          <w:lang w:val="es-MX"/>
        </w:rPr>
        <w:t xml:space="preserve">y </w:t>
      </w:r>
      <w:r w:rsidRPr="004A66F0">
        <w:rPr>
          <w:rFonts w:ascii="Times New Roman" w:eastAsia="Times New Roman" w:hAnsi="Times New Roman" w:cs="Times New Roman"/>
          <w:sz w:val="22"/>
          <w:szCs w:val="22"/>
          <w:lang w:val="es-MX"/>
        </w:rPr>
        <w:t>la no acreditación al fondo del crédito fiscal a los exportadores a partir del 16 de septiembre al 31 de diciembre</w:t>
      </w:r>
      <w:r>
        <w:rPr>
          <w:rFonts w:ascii="Times New Roman" w:eastAsia="Times New Roman" w:hAnsi="Times New Roman" w:cs="Times New Roman"/>
          <w:sz w:val="22"/>
          <w:szCs w:val="22"/>
          <w:lang w:val="es-MX"/>
        </w:rPr>
        <w:t>, producto de suficiencia financiera en la cuenta para atender esos compromisos.</w:t>
      </w:r>
    </w:p>
    <w:p w14:paraId="2DDD0207" w14:textId="77777777" w:rsidR="005543F9" w:rsidRPr="004A66F0" w:rsidRDefault="005543F9" w:rsidP="005543F9">
      <w:pPr>
        <w:spacing w:line="276" w:lineRule="auto"/>
        <w:contextualSpacing/>
        <w:jc w:val="both"/>
        <w:rPr>
          <w:rFonts w:ascii="Times New Roman" w:eastAsia="Times New Roman" w:hAnsi="Times New Roman" w:cs="Times New Roman"/>
          <w:sz w:val="22"/>
          <w:szCs w:val="22"/>
          <w:lang w:val="es-MX"/>
        </w:rPr>
      </w:pPr>
    </w:p>
    <w:p w14:paraId="12A3A302" w14:textId="77777777" w:rsidR="005543F9" w:rsidRPr="004A66F0" w:rsidRDefault="005543F9" w:rsidP="005543F9">
      <w:pPr>
        <w:keepNext/>
        <w:keepLines/>
        <w:numPr>
          <w:ilvl w:val="1"/>
          <w:numId w:val="41"/>
        </w:numPr>
        <w:spacing w:line="276" w:lineRule="auto"/>
        <w:ind w:left="567" w:hanging="283"/>
        <w:contextualSpacing/>
        <w:outlineLvl w:val="1"/>
        <w:rPr>
          <w:rFonts w:ascii="Times New Roman" w:eastAsiaTheme="majorEastAsia" w:hAnsi="Times New Roman" w:cs="Times New Roman"/>
          <w:b/>
          <w:bCs/>
          <w:sz w:val="22"/>
          <w:szCs w:val="26"/>
        </w:rPr>
      </w:pPr>
      <w:bookmarkStart w:id="25" w:name="_Toc64025431"/>
      <w:bookmarkStart w:id="26" w:name="_Toc94259625"/>
      <w:r w:rsidRPr="004A66F0">
        <w:rPr>
          <w:rFonts w:ascii="Times New Roman" w:eastAsiaTheme="majorEastAsia" w:hAnsi="Times New Roman" w:cs="Times New Roman"/>
          <w:b/>
          <w:bCs/>
          <w:sz w:val="22"/>
          <w:szCs w:val="26"/>
        </w:rPr>
        <w:t xml:space="preserve"> </w:t>
      </w:r>
      <w:r>
        <w:rPr>
          <w:rFonts w:ascii="Times New Roman" w:eastAsiaTheme="majorEastAsia" w:hAnsi="Times New Roman" w:cs="Times New Roman"/>
          <w:b/>
          <w:bCs/>
          <w:sz w:val="22"/>
          <w:szCs w:val="26"/>
        </w:rPr>
        <w:t xml:space="preserve"> </w:t>
      </w:r>
      <w:bookmarkStart w:id="27" w:name="_Toc125723280"/>
      <w:r w:rsidRPr="004A66F0">
        <w:rPr>
          <w:rFonts w:ascii="Times New Roman" w:eastAsiaTheme="majorEastAsia" w:hAnsi="Times New Roman" w:cs="Times New Roman"/>
          <w:b/>
          <w:bCs/>
          <w:sz w:val="22"/>
          <w:szCs w:val="26"/>
        </w:rPr>
        <w:t>Recaudación no tributaria</w:t>
      </w:r>
      <w:bookmarkEnd w:id="25"/>
      <w:bookmarkEnd w:id="26"/>
      <w:bookmarkEnd w:id="27"/>
    </w:p>
    <w:p w14:paraId="2AB13CC0" w14:textId="77777777" w:rsidR="005543F9" w:rsidRPr="004A66F0" w:rsidRDefault="005543F9" w:rsidP="005543F9">
      <w:pPr>
        <w:spacing w:line="276" w:lineRule="auto"/>
        <w:contextualSpacing/>
        <w:rPr>
          <w:rFonts w:ascii="Times New Roman" w:eastAsia="Times New Roman" w:hAnsi="Times New Roman" w:cs="Times New Roman"/>
          <w:sz w:val="22"/>
          <w:szCs w:val="22"/>
        </w:rPr>
      </w:pPr>
    </w:p>
    <w:p w14:paraId="6C744DFD" w14:textId="77777777" w:rsidR="005543F9" w:rsidRPr="004A66F0" w:rsidRDefault="005543F9" w:rsidP="005543F9">
      <w:pPr>
        <w:spacing w:line="276" w:lineRule="auto"/>
        <w:contextualSpacing/>
        <w:jc w:val="both"/>
        <w:rPr>
          <w:rFonts w:ascii="Times New Roman" w:eastAsia="Times New Roman" w:hAnsi="Times New Roman" w:cs="Times New Roman"/>
          <w:sz w:val="22"/>
          <w:szCs w:val="22"/>
        </w:rPr>
      </w:pPr>
      <w:r w:rsidRPr="004A66F0">
        <w:rPr>
          <w:rFonts w:ascii="Times New Roman" w:eastAsia="Times New Roman" w:hAnsi="Times New Roman" w:cs="Times New Roman"/>
          <w:sz w:val="22"/>
          <w:szCs w:val="22"/>
        </w:rPr>
        <w:t xml:space="preserve">Los recursos que se perciben de fuentes no impositivas, </w:t>
      </w:r>
      <w:r>
        <w:rPr>
          <w:rFonts w:ascii="Times New Roman" w:eastAsia="Times New Roman" w:hAnsi="Times New Roman" w:cs="Times New Roman"/>
          <w:sz w:val="22"/>
          <w:szCs w:val="22"/>
        </w:rPr>
        <w:t>también</w:t>
      </w:r>
      <w:r w:rsidRPr="004A66F0">
        <w:rPr>
          <w:rFonts w:ascii="Times New Roman" w:eastAsia="Times New Roman" w:hAnsi="Times New Roman" w:cs="Times New Roman"/>
          <w:sz w:val="22"/>
          <w:szCs w:val="22"/>
        </w:rPr>
        <w:t xml:space="preserve"> reflejaron resultado positivo</w:t>
      </w:r>
      <w:r>
        <w:rPr>
          <w:rFonts w:ascii="Times New Roman" w:eastAsia="Times New Roman" w:hAnsi="Times New Roman" w:cs="Times New Roman"/>
          <w:sz w:val="22"/>
          <w:szCs w:val="22"/>
        </w:rPr>
        <w:t>.  E</w:t>
      </w:r>
      <w:r w:rsidRPr="004A66F0">
        <w:rPr>
          <w:rFonts w:ascii="Times New Roman" w:eastAsia="Times New Roman" w:hAnsi="Times New Roman" w:cs="Times New Roman"/>
          <w:sz w:val="22"/>
          <w:szCs w:val="22"/>
        </w:rPr>
        <w:t>l cierre preliminar del ejercicio 2022 denota que se percibieron Q4,457.2 millones por concepto de ingresos no tributarios</w:t>
      </w:r>
      <w:r>
        <w:rPr>
          <w:rFonts w:ascii="Times New Roman" w:eastAsia="Times New Roman" w:hAnsi="Times New Roman" w:cs="Times New Roman"/>
          <w:sz w:val="22"/>
          <w:szCs w:val="22"/>
        </w:rPr>
        <w:t>,</w:t>
      </w:r>
      <w:r w:rsidRPr="004A66F0">
        <w:rPr>
          <w:rFonts w:ascii="Times New Roman" w:eastAsia="Times New Roman" w:hAnsi="Times New Roman" w:cs="Times New Roman"/>
          <w:sz w:val="22"/>
          <w:szCs w:val="22"/>
        </w:rPr>
        <w:t xml:space="preserve"> lo que significó un incremento de 9% respecto a lo observado en 2021</w:t>
      </w:r>
      <w:r>
        <w:rPr>
          <w:rFonts w:ascii="Times New Roman" w:eastAsia="Times New Roman" w:hAnsi="Times New Roman" w:cs="Times New Roman"/>
          <w:sz w:val="22"/>
          <w:szCs w:val="22"/>
        </w:rPr>
        <w:t>.  L</w:t>
      </w:r>
      <w:r w:rsidRPr="004A66F0">
        <w:rPr>
          <w:rFonts w:ascii="Times New Roman" w:eastAsia="Times New Roman" w:hAnsi="Times New Roman" w:cs="Times New Roman"/>
          <w:sz w:val="22"/>
          <w:szCs w:val="22"/>
        </w:rPr>
        <w:t>as contribuciones a la seguridad y previsión social representan el 61.8% del total de ingresos no tributarios, seguido por los ingresos de tasas, derechos, arrendamientos, multas, intereses por mora y otros ingresos no tributarios que representan el 20.6% y la venta de bienes y servicios de la administración pública que conforman el 11.0%, el 6.7% restante está distribuido en rentas de la propiedad y transferencias corrientes.</w:t>
      </w:r>
    </w:p>
    <w:p w14:paraId="44E0E49C" w14:textId="77777777" w:rsidR="005543F9" w:rsidRPr="004A66F0" w:rsidRDefault="005543F9" w:rsidP="005543F9">
      <w:pPr>
        <w:spacing w:line="276" w:lineRule="auto"/>
        <w:contextualSpacing/>
        <w:jc w:val="both"/>
        <w:rPr>
          <w:rFonts w:ascii="Times New Roman" w:eastAsia="Times New Roman" w:hAnsi="Times New Roman" w:cs="Times New Roman"/>
          <w:sz w:val="22"/>
          <w:szCs w:val="22"/>
        </w:rPr>
      </w:pPr>
    </w:p>
    <w:p w14:paraId="02AF1EB3" w14:textId="5C13F341" w:rsidR="005543F9" w:rsidRPr="004A66F0" w:rsidRDefault="005543F9" w:rsidP="005543F9">
      <w:pPr>
        <w:spacing w:line="276" w:lineRule="auto"/>
        <w:contextualSpacing/>
        <w:jc w:val="center"/>
        <w:rPr>
          <w:rFonts w:ascii="Times New Roman" w:eastAsia="Times New Roman" w:hAnsi="Times New Roman" w:cs="Times New Roman"/>
          <w:b/>
          <w:sz w:val="22"/>
          <w:szCs w:val="22"/>
        </w:rPr>
      </w:pPr>
      <w:bookmarkStart w:id="28" w:name="_Toc125733205"/>
      <w:r w:rsidRPr="00A11E1A">
        <w:rPr>
          <w:rFonts w:ascii="Times New Roman" w:eastAsia="Times New Roman" w:hAnsi="Times New Roman" w:cs="Times New Roman"/>
          <w:b/>
          <w:sz w:val="22"/>
          <w:szCs w:val="22"/>
        </w:rPr>
        <w:t xml:space="preserve">Gráfico </w:t>
      </w:r>
      <w:r w:rsidRPr="00A11E1A">
        <w:rPr>
          <w:rFonts w:ascii="Times New Roman" w:eastAsia="Times New Roman" w:hAnsi="Times New Roman" w:cs="Times New Roman"/>
          <w:b/>
          <w:sz w:val="22"/>
          <w:szCs w:val="22"/>
        </w:rPr>
        <w:fldChar w:fldCharType="begin"/>
      </w:r>
      <w:r w:rsidRPr="00A11E1A">
        <w:rPr>
          <w:rFonts w:ascii="Times New Roman" w:eastAsia="Times New Roman" w:hAnsi="Times New Roman" w:cs="Times New Roman"/>
          <w:b/>
          <w:sz w:val="22"/>
          <w:szCs w:val="22"/>
        </w:rPr>
        <w:instrText xml:space="preserve"> SEQ Gráfico \* ARABIC </w:instrText>
      </w:r>
      <w:r w:rsidRPr="00A11E1A">
        <w:rPr>
          <w:rFonts w:ascii="Times New Roman" w:eastAsia="Times New Roman" w:hAnsi="Times New Roman" w:cs="Times New Roman"/>
          <w:b/>
          <w:sz w:val="22"/>
          <w:szCs w:val="22"/>
        </w:rPr>
        <w:fldChar w:fldCharType="separate"/>
      </w:r>
      <w:r w:rsidR="006F4BE5">
        <w:rPr>
          <w:rFonts w:ascii="Times New Roman" w:eastAsia="Times New Roman" w:hAnsi="Times New Roman" w:cs="Times New Roman"/>
          <w:b/>
          <w:noProof/>
          <w:sz w:val="22"/>
          <w:szCs w:val="22"/>
        </w:rPr>
        <w:t>9</w:t>
      </w:r>
      <w:r w:rsidRPr="00A11E1A">
        <w:rPr>
          <w:rFonts w:ascii="Times New Roman" w:eastAsia="Times New Roman" w:hAnsi="Times New Roman" w:cs="Times New Roman"/>
          <w:b/>
          <w:sz w:val="22"/>
          <w:szCs w:val="22"/>
        </w:rPr>
        <w:fldChar w:fldCharType="end"/>
      </w:r>
      <w:r w:rsidRPr="00A11E1A">
        <w:rPr>
          <w:rFonts w:ascii="Times New Roman" w:eastAsia="Times New Roman" w:hAnsi="Times New Roman" w:cs="Times New Roman"/>
          <w:b/>
          <w:sz w:val="22"/>
          <w:szCs w:val="22"/>
        </w:rPr>
        <w:t xml:space="preserve">. </w:t>
      </w:r>
      <w:r w:rsidRPr="004A66F0">
        <w:rPr>
          <w:rFonts w:ascii="Times New Roman" w:eastAsia="Times New Roman" w:hAnsi="Times New Roman" w:cs="Times New Roman"/>
          <w:b/>
          <w:sz w:val="22"/>
          <w:szCs w:val="22"/>
        </w:rPr>
        <w:t>Estructura de ingresos no tributarios</w:t>
      </w:r>
      <w:bookmarkEnd w:id="28"/>
    </w:p>
    <w:p w14:paraId="13396D55" w14:textId="77777777" w:rsidR="005543F9" w:rsidRPr="004A66F0" w:rsidRDefault="005543F9" w:rsidP="005543F9">
      <w:pPr>
        <w:spacing w:line="276" w:lineRule="auto"/>
        <w:contextualSpacing/>
        <w:jc w:val="center"/>
        <w:rPr>
          <w:rFonts w:ascii="Times New Roman" w:eastAsia="Times New Roman" w:hAnsi="Times New Roman" w:cs="Times New Roman"/>
          <w:sz w:val="22"/>
          <w:szCs w:val="22"/>
        </w:rPr>
      </w:pPr>
      <w:r w:rsidRPr="004A66F0">
        <w:rPr>
          <w:rFonts w:ascii="Times New Roman" w:eastAsia="Times New Roman" w:hAnsi="Times New Roman" w:cs="Times New Roman"/>
          <w:sz w:val="22"/>
          <w:szCs w:val="22"/>
        </w:rPr>
        <w:t>Porcentaje</w:t>
      </w:r>
    </w:p>
    <w:p w14:paraId="1D24011E" w14:textId="77777777" w:rsidR="005543F9" w:rsidRPr="004A66F0" w:rsidRDefault="005543F9" w:rsidP="005543F9">
      <w:pPr>
        <w:spacing w:line="276" w:lineRule="auto"/>
        <w:contextualSpacing/>
        <w:jc w:val="both"/>
        <w:rPr>
          <w:rFonts w:ascii="Times New Roman" w:eastAsia="Times New Roman" w:hAnsi="Times New Roman" w:cs="Times New Roman"/>
          <w:sz w:val="22"/>
          <w:szCs w:val="22"/>
        </w:rPr>
      </w:pPr>
      <w:r w:rsidRPr="004A66F0">
        <w:rPr>
          <w:rFonts w:ascii="Calibri" w:eastAsia="Times New Roman" w:hAnsi="Calibri" w:cs="Calibri"/>
          <w:noProof/>
          <w:sz w:val="22"/>
          <w:szCs w:val="22"/>
        </w:rPr>
        <w:drawing>
          <wp:anchor distT="0" distB="1651" distL="114300" distR="114300" simplePos="0" relativeHeight="251620864" behindDoc="0" locked="0" layoutInCell="1" allowOverlap="1" wp14:anchorId="19CEFA3C" wp14:editId="34628E5D">
            <wp:simplePos x="0" y="0"/>
            <wp:positionH relativeFrom="column">
              <wp:posOffset>1315720</wp:posOffset>
            </wp:positionH>
            <wp:positionV relativeFrom="paragraph">
              <wp:posOffset>7620</wp:posOffset>
            </wp:positionV>
            <wp:extent cx="3408680" cy="2077085"/>
            <wp:effectExtent l="0" t="0" r="1270" b="0"/>
            <wp:wrapSquare wrapText="bothSides"/>
            <wp:docPr id="39" name="Gráfico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094B9EF7" w14:textId="77777777" w:rsidR="005543F9" w:rsidRPr="004A66F0" w:rsidRDefault="005543F9" w:rsidP="005543F9">
      <w:pPr>
        <w:spacing w:line="276" w:lineRule="auto"/>
        <w:contextualSpacing/>
        <w:jc w:val="both"/>
        <w:rPr>
          <w:rFonts w:ascii="Times New Roman" w:eastAsia="Times New Roman" w:hAnsi="Times New Roman" w:cs="Times New Roman"/>
          <w:sz w:val="22"/>
          <w:szCs w:val="22"/>
        </w:rPr>
      </w:pPr>
    </w:p>
    <w:p w14:paraId="351E0CA6" w14:textId="77777777" w:rsidR="005543F9" w:rsidRPr="004A66F0" w:rsidRDefault="005543F9" w:rsidP="005543F9">
      <w:pPr>
        <w:spacing w:line="276" w:lineRule="auto"/>
        <w:contextualSpacing/>
        <w:jc w:val="both"/>
        <w:rPr>
          <w:rFonts w:ascii="Times New Roman" w:eastAsia="Times New Roman" w:hAnsi="Times New Roman" w:cs="Times New Roman"/>
          <w:sz w:val="22"/>
          <w:szCs w:val="22"/>
        </w:rPr>
      </w:pPr>
    </w:p>
    <w:p w14:paraId="5CD80881" w14:textId="77777777" w:rsidR="005543F9" w:rsidRPr="004A66F0" w:rsidRDefault="005543F9" w:rsidP="005543F9">
      <w:pPr>
        <w:spacing w:line="276" w:lineRule="auto"/>
        <w:contextualSpacing/>
        <w:jc w:val="both"/>
        <w:rPr>
          <w:rFonts w:ascii="Times New Roman" w:eastAsia="Times New Roman" w:hAnsi="Times New Roman" w:cs="Times New Roman"/>
          <w:sz w:val="22"/>
          <w:szCs w:val="22"/>
        </w:rPr>
      </w:pPr>
    </w:p>
    <w:p w14:paraId="66CB32A6" w14:textId="77777777" w:rsidR="005543F9" w:rsidRPr="004A66F0" w:rsidRDefault="005543F9" w:rsidP="005543F9">
      <w:pPr>
        <w:spacing w:line="276" w:lineRule="auto"/>
        <w:contextualSpacing/>
        <w:jc w:val="both"/>
        <w:rPr>
          <w:rFonts w:ascii="Times New Roman" w:eastAsia="Times New Roman" w:hAnsi="Times New Roman" w:cs="Times New Roman"/>
          <w:sz w:val="22"/>
          <w:szCs w:val="22"/>
        </w:rPr>
      </w:pPr>
    </w:p>
    <w:p w14:paraId="1C62F8D4" w14:textId="77777777" w:rsidR="005543F9" w:rsidRPr="004A66F0" w:rsidRDefault="005543F9" w:rsidP="005543F9">
      <w:pPr>
        <w:spacing w:line="276" w:lineRule="auto"/>
        <w:contextualSpacing/>
        <w:jc w:val="both"/>
        <w:rPr>
          <w:rFonts w:ascii="Times New Roman" w:eastAsia="Times New Roman" w:hAnsi="Times New Roman" w:cs="Times New Roman"/>
          <w:sz w:val="22"/>
          <w:szCs w:val="22"/>
        </w:rPr>
      </w:pPr>
    </w:p>
    <w:p w14:paraId="1BF08D6C" w14:textId="77777777" w:rsidR="005543F9" w:rsidRPr="004A66F0" w:rsidRDefault="005543F9" w:rsidP="005543F9">
      <w:pPr>
        <w:spacing w:line="276" w:lineRule="auto"/>
        <w:contextualSpacing/>
        <w:jc w:val="both"/>
        <w:rPr>
          <w:rFonts w:ascii="Times New Roman" w:eastAsia="Times New Roman" w:hAnsi="Times New Roman" w:cs="Times New Roman"/>
          <w:sz w:val="22"/>
          <w:szCs w:val="22"/>
        </w:rPr>
      </w:pPr>
    </w:p>
    <w:p w14:paraId="766E28BF" w14:textId="77777777" w:rsidR="005543F9" w:rsidRPr="004A66F0" w:rsidRDefault="005543F9" w:rsidP="005543F9">
      <w:pPr>
        <w:spacing w:line="276" w:lineRule="auto"/>
        <w:contextualSpacing/>
        <w:jc w:val="both"/>
        <w:rPr>
          <w:rFonts w:ascii="Times New Roman" w:eastAsia="Times New Roman" w:hAnsi="Times New Roman" w:cs="Times New Roman"/>
          <w:sz w:val="22"/>
          <w:szCs w:val="22"/>
        </w:rPr>
      </w:pPr>
    </w:p>
    <w:p w14:paraId="7B1E1048" w14:textId="77777777" w:rsidR="005543F9" w:rsidRPr="004A66F0" w:rsidRDefault="005543F9" w:rsidP="005543F9">
      <w:pPr>
        <w:spacing w:line="276" w:lineRule="auto"/>
        <w:contextualSpacing/>
        <w:jc w:val="both"/>
        <w:rPr>
          <w:rFonts w:ascii="Times New Roman" w:eastAsia="Times New Roman" w:hAnsi="Times New Roman" w:cs="Times New Roman"/>
          <w:sz w:val="22"/>
          <w:szCs w:val="22"/>
        </w:rPr>
      </w:pPr>
    </w:p>
    <w:p w14:paraId="4B63A5BF" w14:textId="77777777" w:rsidR="005543F9" w:rsidRPr="004A66F0" w:rsidRDefault="005543F9" w:rsidP="005543F9">
      <w:pPr>
        <w:spacing w:line="276" w:lineRule="auto"/>
        <w:contextualSpacing/>
        <w:jc w:val="both"/>
        <w:rPr>
          <w:rFonts w:ascii="Times New Roman" w:eastAsia="Times New Roman" w:hAnsi="Times New Roman" w:cs="Times New Roman"/>
          <w:sz w:val="22"/>
          <w:szCs w:val="22"/>
        </w:rPr>
      </w:pPr>
    </w:p>
    <w:p w14:paraId="48DA7983" w14:textId="77777777" w:rsidR="005543F9" w:rsidRPr="004A66F0" w:rsidRDefault="005543F9" w:rsidP="005543F9">
      <w:pPr>
        <w:spacing w:line="276" w:lineRule="auto"/>
        <w:contextualSpacing/>
        <w:jc w:val="both"/>
        <w:rPr>
          <w:rFonts w:ascii="Times New Roman" w:eastAsia="Times New Roman" w:hAnsi="Times New Roman" w:cs="Times New Roman"/>
          <w:sz w:val="22"/>
          <w:szCs w:val="22"/>
        </w:rPr>
      </w:pPr>
    </w:p>
    <w:p w14:paraId="00746A5D" w14:textId="77777777" w:rsidR="005543F9" w:rsidRPr="004A66F0" w:rsidRDefault="005543F9" w:rsidP="005543F9">
      <w:pPr>
        <w:spacing w:line="276" w:lineRule="auto"/>
        <w:contextualSpacing/>
        <w:jc w:val="both"/>
        <w:rPr>
          <w:rFonts w:ascii="Times New Roman" w:eastAsia="Times New Roman" w:hAnsi="Times New Roman" w:cs="Times New Roman"/>
          <w:sz w:val="22"/>
          <w:szCs w:val="22"/>
        </w:rPr>
      </w:pPr>
    </w:p>
    <w:p w14:paraId="0D21281D" w14:textId="77777777" w:rsidR="005543F9" w:rsidRPr="004A66F0" w:rsidRDefault="005543F9" w:rsidP="005543F9">
      <w:pPr>
        <w:spacing w:line="276" w:lineRule="auto"/>
        <w:contextualSpacing/>
        <w:jc w:val="both"/>
        <w:rPr>
          <w:rFonts w:ascii="Times New Roman" w:eastAsia="Times New Roman" w:hAnsi="Times New Roman" w:cs="Times New Roman"/>
          <w:sz w:val="22"/>
          <w:szCs w:val="22"/>
        </w:rPr>
      </w:pPr>
    </w:p>
    <w:p w14:paraId="4C0C8819" w14:textId="77777777" w:rsidR="005543F9" w:rsidRPr="004A66F0" w:rsidRDefault="005543F9" w:rsidP="005543F9">
      <w:pPr>
        <w:spacing w:line="276" w:lineRule="auto"/>
        <w:contextualSpacing/>
        <w:jc w:val="both"/>
        <w:rPr>
          <w:rFonts w:ascii="Times New Roman" w:eastAsia="Times New Roman" w:hAnsi="Times New Roman" w:cs="Times New Roman"/>
          <w:sz w:val="18"/>
          <w:szCs w:val="22"/>
        </w:rPr>
      </w:pPr>
      <w:r w:rsidRPr="004A66F0">
        <w:rPr>
          <w:rFonts w:ascii="Times New Roman" w:eastAsia="Times New Roman" w:hAnsi="Times New Roman" w:cs="Times New Roman"/>
          <w:sz w:val="18"/>
          <w:szCs w:val="22"/>
        </w:rPr>
        <w:t xml:space="preserve">                                                 Fuente: Dirección de Análisis y Política Fiscal.</w:t>
      </w:r>
    </w:p>
    <w:p w14:paraId="17CE08D4" w14:textId="77777777" w:rsidR="005543F9" w:rsidRPr="004A66F0" w:rsidRDefault="005543F9" w:rsidP="005543F9">
      <w:pPr>
        <w:spacing w:line="276" w:lineRule="auto"/>
        <w:contextualSpacing/>
        <w:jc w:val="both"/>
        <w:rPr>
          <w:rFonts w:ascii="Times New Roman" w:eastAsia="Times New Roman" w:hAnsi="Times New Roman" w:cs="Times New Roman"/>
          <w:sz w:val="22"/>
          <w:szCs w:val="22"/>
        </w:rPr>
      </w:pPr>
    </w:p>
    <w:p w14:paraId="55E6B3FF" w14:textId="563571CC" w:rsidR="0059756B" w:rsidRPr="00580E0E" w:rsidRDefault="005543F9" w:rsidP="00580E0E">
      <w:pPr>
        <w:jc w:val="both"/>
        <w:rPr>
          <w:rFonts w:ascii="Times New Roman" w:eastAsia="Times New Roman" w:hAnsi="Times New Roman" w:cs="Times New Roman"/>
        </w:rPr>
        <w:sectPr w:rsidR="0059756B" w:rsidRPr="00580E0E" w:rsidSect="00500E38">
          <w:pgSz w:w="12240" w:h="15840"/>
          <w:pgMar w:top="2189" w:right="1701" w:bottom="1417" w:left="1701" w:header="708" w:footer="708" w:gutter="0"/>
          <w:cols w:space="708"/>
          <w:docGrid w:linePitch="360"/>
        </w:sectPr>
      </w:pPr>
      <w:r w:rsidRPr="00580E0E">
        <w:rPr>
          <w:rFonts w:ascii="Times New Roman" w:eastAsia="Times New Roman" w:hAnsi="Times New Roman" w:cs="Times New Roman"/>
        </w:rPr>
        <w:t>En los resultados preliminares de 2022 sobresale que en el rubro de contribuciones a la seguridad y previsión social creció en 3.1% respecto a lo observado en 2021, monto menor al registrado en ese año cuando creció de manera interanual en 4.3</w:t>
      </w:r>
    </w:p>
    <w:p w14:paraId="09A3CEF9" w14:textId="28020625" w:rsidR="00B72147" w:rsidRDefault="004A66F0" w:rsidP="008D7BB4">
      <w:pPr>
        <w:pStyle w:val="Prrafodelista"/>
        <w:numPr>
          <w:ilvl w:val="0"/>
          <w:numId w:val="20"/>
        </w:numPr>
        <w:spacing w:line="276" w:lineRule="auto"/>
        <w:ind w:left="284" w:hanging="284"/>
        <w:jc w:val="both"/>
        <w:outlineLvl w:val="0"/>
        <w:rPr>
          <w:rFonts w:ascii="Times New Roman" w:eastAsiaTheme="majorEastAsia" w:hAnsi="Times New Roman" w:cs="Times New Roman"/>
          <w:b/>
          <w:bCs/>
          <w:sz w:val="26"/>
          <w:szCs w:val="26"/>
          <w:lang w:val="es-ES_tradnl" w:eastAsia="es-ES"/>
        </w:rPr>
      </w:pPr>
      <w:bookmarkStart w:id="29" w:name="_Toc125723281"/>
      <w:r w:rsidRPr="00CD72A1">
        <w:rPr>
          <w:rFonts w:ascii="Times New Roman" w:eastAsiaTheme="majorEastAsia" w:hAnsi="Times New Roman" w:cs="Times New Roman"/>
          <w:b/>
          <w:bCs/>
          <w:sz w:val="26"/>
          <w:szCs w:val="26"/>
          <w:lang w:val="es-ES_tradnl" w:eastAsia="es-ES"/>
        </w:rPr>
        <w:lastRenderedPageBreak/>
        <w:t>Gasto Público</w:t>
      </w:r>
      <w:bookmarkStart w:id="30" w:name="_Toc125458258"/>
      <w:bookmarkStart w:id="31" w:name="_Toc125458346"/>
      <w:bookmarkEnd w:id="29"/>
      <w:bookmarkEnd w:id="30"/>
      <w:bookmarkEnd w:id="31"/>
    </w:p>
    <w:p w14:paraId="70B285B7" w14:textId="77777777" w:rsidR="00A02621" w:rsidRDefault="00A02621" w:rsidP="008D7BB4">
      <w:pPr>
        <w:pStyle w:val="Prrafodelista"/>
        <w:spacing w:line="276" w:lineRule="auto"/>
        <w:ind w:left="284"/>
        <w:jc w:val="both"/>
        <w:outlineLvl w:val="0"/>
        <w:rPr>
          <w:rFonts w:ascii="Times New Roman" w:eastAsiaTheme="majorEastAsia" w:hAnsi="Times New Roman" w:cs="Times New Roman"/>
          <w:b/>
          <w:bCs/>
          <w:sz w:val="26"/>
          <w:szCs w:val="26"/>
          <w:lang w:val="es-ES_tradnl" w:eastAsia="es-ES"/>
        </w:rPr>
      </w:pPr>
    </w:p>
    <w:p w14:paraId="3E4DDBA9" w14:textId="6C00CA75" w:rsidR="004A66F0" w:rsidRPr="00A02621" w:rsidRDefault="004A66F0" w:rsidP="008D7BB4">
      <w:pPr>
        <w:pStyle w:val="Prrafodelista"/>
        <w:keepNext/>
        <w:keepLines/>
        <w:numPr>
          <w:ilvl w:val="1"/>
          <w:numId w:val="20"/>
        </w:numPr>
        <w:tabs>
          <w:tab w:val="left" w:pos="1134"/>
        </w:tabs>
        <w:spacing w:line="276" w:lineRule="auto"/>
        <w:jc w:val="both"/>
        <w:outlineLvl w:val="1"/>
        <w:rPr>
          <w:rFonts w:ascii="Times New Roman" w:eastAsiaTheme="majorEastAsia" w:hAnsi="Times New Roman" w:cs="Times New Roman"/>
          <w:b/>
          <w:bCs/>
        </w:rPr>
      </w:pPr>
      <w:bookmarkStart w:id="32" w:name="_Toc125723282"/>
      <w:r w:rsidRPr="00A02621">
        <w:rPr>
          <w:rFonts w:ascii="Times New Roman" w:eastAsiaTheme="majorEastAsia" w:hAnsi="Times New Roman" w:cs="Times New Roman"/>
          <w:b/>
          <w:bCs/>
        </w:rPr>
        <w:t>El 2022 arrancó con un presupuesto aprobado facilitando el manejo de la política fiscal</w:t>
      </w:r>
      <w:bookmarkEnd w:id="32"/>
    </w:p>
    <w:p w14:paraId="4BF0C812" w14:textId="77777777" w:rsidR="004A66F0" w:rsidRPr="004A66F0" w:rsidRDefault="004A66F0" w:rsidP="008D7BB4">
      <w:pPr>
        <w:spacing w:line="276" w:lineRule="auto"/>
        <w:contextualSpacing/>
        <w:jc w:val="both"/>
        <w:rPr>
          <w:rFonts w:ascii="Times New Roman" w:eastAsia="Times New Roman" w:hAnsi="Times New Roman" w:cs="Times New Roman"/>
          <w:sz w:val="22"/>
          <w:szCs w:val="22"/>
        </w:rPr>
      </w:pPr>
    </w:p>
    <w:p w14:paraId="6F384708" w14:textId="77777777" w:rsidR="004A66F0" w:rsidRPr="004A66F0" w:rsidRDefault="004A66F0" w:rsidP="008D7BB4">
      <w:pPr>
        <w:spacing w:line="276" w:lineRule="auto"/>
        <w:contextualSpacing/>
        <w:jc w:val="both"/>
        <w:rPr>
          <w:rFonts w:ascii="Times New Roman" w:eastAsia="Times New Roman" w:hAnsi="Times New Roman" w:cs="Times New Roman"/>
          <w:sz w:val="22"/>
          <w:szCs w:val="22"/>
        </w:rPr>
      </w:pPr>
      <w:r w:rsidRPr="004A66F0">
        <w:rPr>
          <w:rFonts w:ascii="Times New Roman" w:eastAsia="Times New Roman" w:hAnsi="Times New Roman" w:cs="Times New Roman"/>
          <w:sz w:val="22"/>
          <w:szCs w:val="22"/>
        </w:rPr>
        <w:t>Luego de dos años consecutivos en los cuales el Proyecto de Presupuesto General de Ingresos y Egresos del Estado no había sido aprobado por el Congreso de la República, el ejercicio fiscal 2022 arrancó con la ventaja de contar con un Presupuesto Aprobado, lo cual responde a las necesidades y requerimientos que fueron planteadas por las entidades públicas.</w:t>
      </w:r>
    </w:p>
    <w:p w14:paraId="5D09FEB5" w14:textId="77777777" w:rsidR="004A66F0" w:rsidRPr="004A66F0" w:rsidRDefault="004A66F0" w:rsidP="008D7BB4">
      <w:pPr>
        <w:spacing w:line="276" w:lineRule="auto"/>
        <w:contextualSpacing/>
        <w:rPr>
          <w:rFonts w:ascii="Times New Roman" w:eastAsia="Times New Roman" w:hAnsi="Times New Roman" w:cs="Times New Roman"/>
          <w:sz w:val="22"/>
          <w:szCs w:val="22"/>
        </w:rPr>
      </w:pPr>
    </w:p>
    <w:p w14:paraId="637D48E2" w14:textId="77777777" w:rsidR="004A66F0" w:rsidRPr="004A66F0" w:rsidRDefault="004A66F0" w:rsidP="008D7BB4">
      <w:pPr>
        <w:spacing w:line="276" w:lineRule="auto"/>
        <w:contextualSpacing/>
        <w:jc w:val="both"/>
        <w:rPr>
          <w:rFonts w:ascii="Times New Roman" w:hAnsi="Times New Roman" w:cs="Times New Roman"/>
          <w:sz w:val="22"/>
          <w:szCs w:val="22"/>
          <w:lang w:val="es-ES_tradnl" w:eastAsia="es-ES"/>
        </w:rPr>
      </w:pPr>
      <w:r w:rsidRPr="004A66F0">
        <w:rPr>
          <w:rFonts w:ascii="Times New Roman" w:hAnsi="Times New Roman" w:cs="Times New Roman"/>
          <w:sz w:val="22"/>
          <w:szCs w:val="22"/>
          <w:lang w:val="es-ES_tradnl" w:eastAsia="es-ES"/>
        </w:rPr>
        <w:t>Entre los elementos más importantes que influenciaron la ejecución de gasto en 2022, destacan:</w:t>
      </w:r>
    </w:p>
    <w:p w14:paraId="5861EBDA" w14:textId="77777777" w:rsidR="004A66F0" w:rsidRPr="004A66F0" w:rsidRDefault="004A66F0" w:rsidP="008D7BB4">
      <w:pPr>
        <w:spacing w:line="276" w:lineRule="auto"/>
        <w:contextualSpacing/>
        <w:jc w:val="both"/>
        <w:rPr>
          <w:rFonts w:ascii="Times New Roman" w:eastAsia="Times New Roman" w:hAnsi="Times New Roman" w:cs="Times New Roman"/>
          <w:sz w:val="22"/>
          <w:szCs w:val="22"/>
          <w:lang w:val="es-ES_tradnl" w:eastAsia="es-ES"/>
        </w:rPr>
      </w:pPr>
    </w:p>
    <w:p w14:paraId="3FA1FDA9" w14:textId="3E7D130D" w:rsidR="004A66F0" w:rsidRPr="004A66F0" w:rsidRDefault="004A66F0" w:rsidP="008D7BB4">
      <w:pPr>
        <w:numPr>
          <w:ilvl w:val="0"/>
          <w:numId w:val="31"/>
        </w:numPr>
        <w:spacing w:line="276" w:lineRule="auto"/>
        <w:ind w:left="360"/>
        <w:contextualSpacing/>
        <w:jc w:val="both"/>
        <w:rPr>
          <w:rFonts w:ascii="Times New Roman" w:eastAsia="Times New Roman" w:hAnsi="Times New Roman" w:cs="Times New Roman"/>
          <w:sz w:val="22"/>
          <w:szCs w:val="22"/>
        </w:rPr>
      </w:pPr>
      <w:r w:rsidRPr="004A66F0">
        <w:rPr>
          <w:rFonts w:ascii="Times New Roman" w:eastAsia="Times New Roman" w:hAnsi="Times New Roman" w:cs="Times New Roman"/>
          <w:sz w:val="22"/>
          <w:szCs w:val="22"/>
        </w:rPr>
        <w:t xml:space="preserve">Desde finales de 2021 se venía observando volatilidad en los precios internacionales de ciertos </w:t>
      </w:r>
      <w:r w:rsidRPr="00497F62">
        <w:rPr>
          <w:rFonts w:ascii="Times New Roman" w:eastAsia="Times New Roman" w:hAnsi="Times New Roman" w:cs="Times New Roman"/>
          <w:i/>
          <w:iCs/>
          <w:sz w:val="22"/>
          <w:szCs w:val="22"/>
        </w:rPr>
        <w:t>commodities</w:t>
      </w:r>
      <w:r w:rsidRPr="004A66F0">
        <w:rPr>
          <w:rFonts w:ascii="Times New Roman" w:eastAsia="Times New Roman" w:hAnsi="Times New Roman" w:cs="Times New Roman"/>
          <w:sz w:val="22"/>
          <w:szCs w:val="22"/>
        </w:rPr>
        <w:t xml:space="preserve">, de esa cuenta se aprobó el subsidio al gas propano. Dicha volatilidad se agravó con el inicio de la guerra entre Rusia y Ucrania, por lo cual fue necesario prorrogar los subsidios e incorporar o ampliar otros como a las gasolinas, </w:t>
      </w:r>
      <w:r w:rsidR="00497F62">
        <w:rPr>
          <w:rFonts w:ascii="Times New Roman" w:eastAsia="Times New Roman" w:hAnsi="Times New Roman" w:cs="Times New Roman"/>
          <w:sz w:val="22"/>
          <w:szCs w:val="22"/>
        </w:rPr>
        <w:t>d</w:t>
      </w:r>
      <w:r w:rsidRPr="004A66F0">
        <w:rPr>
          <w:rFonts w:ascii="Times New Roman" w:eastAsia="Times New Roman" w:hAnsi="Times New Roman" w:cs="Times New Roman"/>
          <w:sz w:val="22"/>
          <w:szCs w:val="22"/>
        </w:rPr>
        <w:t>i</w:t>
      </w:r>
      <w:r w:rsidR="00497F62">
        <w:rPr>
          <w:rFonts w:ascii="Times New Roman" w:eastAsia="Times New Roman" w:hAnsi="Times New Roman" w:cs="Times New Roman"/>
          <w:sz w:val="22"/>
          <w:szCs w:val="22"/>
        </w:rPr>
        <w:t>é</w:t>
      </w:r>
      <w:r w:rsidRPr="004A66F0">
        <w:rPr>
          <w:rFonts w:ascii="Times New Roman" w:eastAsia="Times New Roman" w:hAnsi="Times New Roman" w:cs="Times New Roman"/>
          <w:sz w:val="22"/>
          <w:szCs w:val="22"/>
        </w:rPr>
        <w:t xml:space="preserve">sel y a la energía eléctrica. Lo anterior </w:t>
      </w:r>
      <w:r w:rsidR="00497F62">
        <w:rPr>
          <w:rFonts w:ascii="Times New Roman" w:eastAsia="Times New Roman" w:hAnsi="Times New Roman" w:cs="Times New Roman"/>
          <w:sz w:val="22"/>
          <w:szCs w:val="22"/>
        </w:rPr>
        <w:t>requirió</w:t>
      </w:r>
      <w:r w:rsidRPr="004A66F0">
        <w:rPr>
          <w:rFonts w:ascii="Times New Roman" w:eastAsia="Times New Roman" w:hAnsi="Times New Roman" w:cs="Times New Roman"/>
          <w:sz w:val="22"/>
          <w:szCs w:val="22"/>
        </w:rPr>
        <w:t xml:space="preserve"> la ampliación del presupuesto de 2022 en Q6,710.4 millones, la cual fue financiada principalmente con uso de recursos de caja del gobierno en el Banco de Guatemala, que se obtuvo básicamente del excedente de recaudación que se experimentó en 2021.</w:t>
      </w:r>
    </w:p>
    <w:p w14:paraId="448D12B6" w14:textId="77777777" w:rsidR="004A66F0" w:rsidRPr="004A66F0" w:rsidRDefault="004A66F0" w:rsidP="008D7BB4">
      <w:pPr>
        <w:spacing w:line="276" w:lineRule="auto"/>
        <w:ind w:left="360"/>
        <w:contextualSpacing/>
        <w:jc w:val="both"/>
        <w:rPr>
          <w:rFonts w:ascii="Times New Roman" w:eastAsia="Times New Roman" w:hAnsi="Times New Roman" w:cs="Times New Roman"/>
          <w:sz w:val="22"/>
          <w:szCs w:val="22"/>
        </w:rPr>
      </w:pPr>
    </w:p>
    <w:p w14:paraId="7313B38B" w14:textId="2E1DC348" w:rsidR="004A66F0" w:rsidRPr="004A66F0" w:rsidRDefault="004A66F0" w:rsidP="008D7BB4">
      <w:pPr>
        <w:numPr>
          <w:ilvl w:val="0"/>
          <w:numId w:val="31"/>
        </w:numPr>
        <w:spacing w:line="276" w:lineRule="auto"/>
        <w:ind w:left="360"/>
        <w:contextualSpacing/>
        <w:jc w:val="both"/>
        <w:rPr>
          <w:rFonts w:ascii="Times New Roman" w:eastAsia="Times New Roman" w:hAnsi="Times New Roman" w:cs="Times New Roman"/>
          <w:sz w:val="22"/>
          <w:szCs w:val="22"/>
        </w:rPr>
      </w:pPr>
      <w:r w:rsidRPr="004A66F0">
        <w:rPr>
          <w:rFonts w:ascii="Times New Roman" w:eastAsia="Times New Roman" w:hAnsi="Times New Roman" w:cs="Times New Roman"/>
          <w:sz w:val="22"/>
          <w:szCs w:val="22"/>
        </w:rPr>
        <w:t>En 2022 la dinámica del gasto público ya no estuvo influenciada por la crisis sanitaria y económica del COVID-19</w:t>
      </w:r>
      <w:r w:rsidR="00497F62">
        <w:rPr>
          <w:rFonts w:ascii="Times New Roman" w:eastAsia="Times New Roman" w:hAnsi="Times New Roman" w:cs="Times New Roman"/>
          <w:sz w:val="22"/>
          <w:szCs w:val="22"/>
        </w:rPr>
        <w:t>.</w:t>
      </w:r>
      <w:r w:rsidRPr="004A66F0">
        <w:rPr>
          <w:rFonts w:ascii="Times New Roman" w:eastAsia="Times New Roman" w:hAnsi="Times New Roman" w:cs="Times New Roman"/>
          <w:sz w:val="22"/>
          <w:szCs w:val="22"/>
        </w:rPr>
        <w:t xml:space="preserve"> </w:t>
      </w:r>
      <w:r w:rsidR="00497F62">
        <w:rPr>
          <w:rFonts w:ascii="Times New Roman" w:eastAsia="Times New Roman" w:hAnsi="Times New Roman" w:cs="Times New Roman"/>
          <w:sz w:val="22"/>
          <w:szCs w:val="22"/>
        </w:rPr>
        <w:t xml:space="preserve"> E</w:t>
      </w:r>
      <w:r w:rsidRPr="004A66F0">
        <w:rPr>
          <w:rFonts w:ascii="Times New Roman" w:eastAsia="Times New Roman" w:hAnsi="Times New Roman" w:cs="Times New Roman"/>
          <w:sz w:val="22"/>
          <w:szCs w:val="22"/>
        </w:rPr>
        <w:t>l gasto destinado a la vacuna contra el COVID-19 fue significativamente menor y hubo un mayor enfoque en los servicios de prevención y tratamiento de COVID-19.</w:t>
      </w:r>
    </w:p>
    <w:p w14:paraId="55DBDD1F" w14:textId="77777777" w:rsidR="004A66F0" w:rsidRPr="004A66F0" w:rsidRDefault="004A66F0" w:rsidP="008D7BB4">
      <w:pPr>
        <w:spacing w:line="276" w:lineRule="auto"/>
        <w:ind w:left="720"/>
        <w:contextualSpacing/>
        <w:rPr>
          <w:rFonts w:ascii="Times New Roman" w:eastAsia="Times New Roman" w:hAnsi="Times New Roman" w:cs="Times New Roman"/>
          <w:sz w:val="22"/>
          <w:szCs w:val="22"/>
        </w:rPr>
      </w:pPr>
    </w:p>
    <w:p w14:paraId="6EBED164" w14:textId="33DD85D1" w:rsidR="004A66F0" w:rsidRPr="004A66F0" w:rsidRDefault="004A66F0" w:rsidP="008D7BB4">
      <w:pPr>
        <w:numPr>
          <w:ilvl w:val="0"/>
          <w:numId w:val="31"/>
        </w:numPr>
        <w:spacing w:line="276" w:lineRule="auto"/>
        <w:ind w:left="360"/>
        <w:contextualSpacing/>
        <w:jc w:val="both"/>
        <w:rPr>
          <w:rFonts w:ascii="Times New Roman" w:eastAsia="Times New Roman" w:hAnsi="Times New Roman" w:cs="Times New Roman"/>
          <w:sz w:val="22"/>
          <w:szCs w:val="22"/>
        </w:rPr>
      </w:pPr>
      <w:r w:rsidRPr="004A66F0">
        <w:rPr>
          <w:rFonts w:ascii="Times New Roman" w:eastAsia="Times New Roman" w:hAnsi="Times New Roman" w:cs="Times New Roman"/>
          <w:sz w:val="22"/>
          <w:szCs w:val="22"/>
        </w:rPr>
        <w:t xml:space="preserve">La orientación de gasto </w:t>
      </w:r>
      <w:r w:rsidR="00497F62">
        <w:rPr>
          <w:rFonts w:ascii="Times New Roman" w:eastAsia="Times New Roman" w:hAnsi="Times New Roman" w:cs="Times New Roman"/>
          <w:sz w:val="22"/>
          <w:szCs w:val="22"/>
        </w:rPr>
        <w:t xml:space="preserve">se </w:t>
      </w:r>
      <w:r w:rsidR="00497F62" w:rsidRPr="004A66F0">
        <w:rPr>
          <w:rFonts w:ascii="Times New Roman" w:eastAsia="Times New Roman" w:hAnsi="Times New Roman" w:cs="Times New Roman"/>
          <w:sz w:val="22"/>
          <w:szCs w:val="22"/>
        </w:rPr>
        <w:t>destin</w:t>
      </w:r>
      <w:r w:rsidR="00497F62">
        <w:rPr>
          <w:rFonts w:ascii="Times New Roman" w:eastAsia="Times New Roman" w:hAnsi="Times New Roman" w:cs="Times New Roman"/>
          <w:sz w:val="22"/>
          <w:szCs w:val="22"/>
        </w:rPr>
        <w:t>ó</w:t>
      </w:r>
      <w:r w:rsidR="00497F62" w:rsidRPr="004A66F0">
        <w:rPr>
          <w:rFonts w:ascii="Times New Roman" w:eastAsia="Times New Roman" w:hAnsi="Times New Roman" w:cs="Times New Roman"/>
          <w:sz w:val="22"/>
          <w:szCs w:val="22"/>
        </w:rPr>
        <w:t xml:space="preserve"> </w:t>
      </w:r>
      <w:r w:rsidRPr="004A66F0">
        <w:rPr>
          <w:rFonts w:ascii="Times New Roman" w:eastAsia="Times New Roman" w:hAnsi="Times New Roman" w:cs="Times New Roman"/>
          <w:sz w:val="22"/>
          <w:szCs w:val="22"/>
        </w:rPr>
        <w:t>a los diferentes programas de Estados de Calamidad Pública derivado de los fenómenos naturales</w:t>
      </w:r>
      <w:r w:rsidR="00497F62">
        <w:rPr>
          <w:rFonts w:ascii="Times New Roman" w:eastAsia="Times New Roman" w:hAnsi="Times New Roman" w:cs="Times New Roman"/>
          <w:sz w:val="22"/>
          <w:szCs w:val="22"/>
        </w:rPr>
        <w:t>,</w:t>
      </w:r>
      <w:r w:rsidRPr="004A66F0">
        <w:rPr>
          <w:rFonts w:ascii="Times New Roman" w:eastAsia="Times New Roman" w:hAnsi="Times New Roman" w:cs="Times New Roman"/>
          <w:sz w:val="22"/>
          <w:szCs w:val="22"/>
        </w:rPr>
        <w:t xml:space="preserve"> tanto de proyectos de arrastre por la Tormenta ETA y IOTA, como los ocurridos en 2022 (Programa por exceso de lluvias y ciclón tropical Julia)</w:t>
      </w:r>
    </w:p>
    <w:p w14:paraId="2973CF15" w14:textId="77777777" w:rsidR="004A66F0" w:rsidRPr="004A66F0" w:rsidRDefault="004A66F0" w:rsidP="008D7BB4">
      <w:pPr>
        <w:spacing w:line="276" w:lineRule="auto"/>
        <w:ind w:left="720"/>
        <w:contextualSpacing/>
        <w:rPr>
          <w:rFonts w:ascii="Times New Roman" w:eastAsia="Times New Roman" w:hAnsi="Times New Roman" w:cs="Times New Roman"/>
          <w:sz w:val="22"/>
          <w:szCs w:val="22"/>
        </w:rPr>
      </w:pPr>
    </w:p>
    <w:p w14:paraId="5ADC25E1" w14:textId="03AE70C0" w:rsidR="004A66F0" w:rsidRPr="004A66F0" w:rsidRDefault="004A66F0" w:rsidP="008D7BB4">
      <w:pPr>
        <w:numPr>
          <w:ilvl w:val="0"/>
          <w:numId w:val="31"/>
        </w:numPr>
        <w:spacing w:line="276" w:lineRule="auto"/>
        <w:ind w:left="360"/>
        <w:contextualSpacing/>
        <w:jc w:val="both"/>
        <w:rPr>
          <w:rFonts w:ascii="Times New Roman" w:eastAsia="Times New Roman" w:hAnsi="Times New Roman" w:cs="Times New Roman"/>
          <w:sz w:val="22"/>
          <w:szCs w:val="22"/>
        </w:rPr>
      </w:pPr>
      <w:r w:rsidRPr="004A66F0">
        <w:rPr>
          <w:rFonts w:ascii="Times New Roman" w:eastAsia="Times New Roman" w:hAnsi="Times New Roman" w:cs="Times New Roman"/>
          <w:sz w:val="22"/>
          <w:szCs w:val="22"/>
        </w:rPr>
        <w:t xml:space="preserve">En el tercer año de gobierno de la </w:t>
      </w:r>
      <w:r w:rsidR="00497F62">
        <w:rPr>
          <w:rFonts w:ascii="Times New Roman" w:eastAsia="Times New Roman" w:hAnsi="Times New Roman" w:cs="Times New Roman"/>
          <w:sz w:val="22"/>
          <w:szCs w:val="22"/>
        </w:rPr>
        <w:t xml:space="preserve">actual </w:t>
      </w:r>
      <w:r w:rsidRPr="004A66F0">
        <w:rPr>
          <w:rFonts w:ascii="Times New Roman" w:eastAsia="Times New Roman" w:hAnsi="Times New Roman" w:cs="Times New Roman"/>
          <w:sz w:val="22"/>
          <w:szCs w:val="22"/>
        </w:rPr>
        <w:t xml:space="preserve">administración pública, se observó una ejecución dinámica del gasto público, pero manteniendo una senda de consolidación, </w:t>
      </w:r>
      <w:r w:rsidR="00A928B7">
        <w:rPr>
          <w:rFonts w:ascii="Times New Roman" w:eastAsia="Times New Roman" w:hAnsi="Times New Roman" w:cs="Times New Roman"/>
          <w:sz w:val="22"/>
          <w:szCs w:val="22"/>
        </w:rPr>
        <w:t xml:space="preserve">y se observa la aplicación </w:t>
      </w:r>
      <w:r w:rsidRPr="004A66F0">
        <w:rPr>
          <w:rFonts w:ascii="Times New Roman" w:eastAsia="Times New Roman" w:hAnsi="Times New Roman" w:cs="Times New Roman"/>
          <w:sz w:val="22"/>
          <w:szCs w:val="22"/>
        </w:rPr>
        <w:t xml:space="preserve">de </w:t>
      </w:r>
      <w:r w:rsidR="00A928B7">
        <w:rPr>
          <w:rFonts w:ascii="Times New Roman" w:eastAsia="Times New Roman" w:hAnsi="Times New Roman" w:cs="Times New Roman"/>
          <w:sz w:val="22"/>
          <w:szCs w:val="22"/>
        </w:rPr>
        <w:t xml:space="preserve">una </w:t>
      </w:r>
      <w:r w:rsidRPr="004A66F0">
        <w:rPr>
          <w:rFonts w:ascii="Times New Roman" w:eastAsia="Times New Roman" w:hAnsi="Times New Roman" w:cs="Times New Roman"/>
          <w:sz w:val="22"/>
          <w:szCs w:val="22"/>
        </w:rPr>
        <w:t>política fiscal contra cíclica para los años 2020-2022.</w:t>
      </w:r>
    </w:p>
    <w:p w14:paraId="4AA60CFE" w14:textId="77777777" w:rsidR="004A66F0" w:rsidRPr="004A66F0" w:rsidRDefault="004A66F0" w:rsidP="008D7BB4">
      <w:pPr>
        <w:spacing w:line="276" w:lineRule="auto"/>
        <w:ind w:left="720"/>
        <w:contextualSpacing/>
        <w:rPr>
          <w:rFonts w:ascii="Times New Roman" w:eastAsia="Times New Roman" w:hAnsi="Times New Roman" w:cs="Times New Roman"/>
          <w:sz w:val="22"/>
          <w:szCs w:val="22"/>
        </w:rPr>
      </w:pPr>
    </w:p>
    <w:p w14:paraId="5F4D4776" w14:textId="56283A02" w:rsidR="004A66F0" w:rsidRPr="004A66F0" w:rsidRDefault="004A66F0" w:rsidP="008D7BB4">
      <w:pPr>
        <w:spacing w:line="276" w:lineRule="auto"/>
        <w:contextualSpacing/>
        <w:jc w:val="both"/>
        <w:rPr>
          <w:rFonts w:ascii="Times New Roman" w:hAnsi="Times New Roman" w:cs="Times New Roman"/>
          <w:sz w:val="22"/>
          <w:szCs w:val="22"/>
          <w:lang w:val="es-ES_tradnl" w:eastAsia="es-ES"/>
        </w:rPr>
      </w:pPr>
      <w:r w:rsidRPr="004A66F0">
        <w:rPr>
          <w:rFonts w:ascii="Times New Roman" w:hAnsi="Times New Roman" w:cs="Times New Roman"/>
          <w:sz w:val="22"/>
          <w:szCs w:val="22"/>
          <w:lang w:val="es-ES_tradnl" w:eastAsia="es-ES"/>
        </w:rPr>
        <w:t>Aunque existen otros elementos que incidieron en la ejecución de</w:t>
      </w:r>
      <w:r w:rsidR="00497F62">
        <w:rPr>
          <w:rFonts w:ascii="Times New Roman" w:hAnsi="Times New Roman" w:cs="Times New Roman"/>
          <w:sz w:val="22"/>
          <w:szCs w:val="22"/>
          <w:lang w:val="es-ES_tradnl" w:eastAsia="es-ES"/>
        </w:rPr>
        <w:t>l</w:t>
      </w:r>
      <w:r w:rsidRPr="004A66F0">
        <w:rPr>
          <w:rFonts w:ascii="Times New Roman" w:hAnsi="Times New Roman" w:cs="Times New Roman"/>
          <w:sz w:val="22"/>
          <w:szCs w:val="22"/>
          <w:lang w:val="es-ES_tradnl" w:eastAsia="es-ES"/>
        </w:rPr>
        <w:t xml:space="preserve"> gasto de 2022, estos serán abordados en secciones posteriores</w:t>
      </w:r>
      <w:r w:rsidR="00497F62">
        <w:rPr>
          <w:rFonts w:ascii="Times New Roman" w:hAnsi="Times New Roman" w:cs="Times New Roman"/>
          <w:sz w:val="22"/>
          <w:szCs w:val="22"/>
          <w:lang w:val="es-ES_tradnl" w:eastAsia="es-ES"/>
        </w:rPr>
        <w:t xml:space="preserve"> del presente Informe</w:t>
      </w:r>
      <w:r w:rsidRPr="004A66F0">
        <w:rPr>
          <w:rFonts w:ascii="Times New Roman" w:hAnsi="Times New Roman" w:cs="Times New Roman"/>
          <w:sz w:val="22"/>
          <w:szCs w:val="22"/>
          <w:lang w:val="es-ES_tradnl" w:eastAsia="es-ES"/>
        </w:rPr>
        <w:t xml:space="preserve">, </w:t>
      </w:r>
      <w:r w:rsidR="00497F62">
        <w:rPr>
          <w:rFonts w:ascii="Times New Roman" w:hAnsi="Times New Roman" w:cs="Times New Roman"/>
          <w:sz w:val="22"/>
          <w:szCs w:val="22"/>
          <w:lang w:val="es-ES_tradnl" w:eastAsia="es-ES"/>
        </w:rPr>
        <w:t xml:space="preserve">sin embargo, </w:t>
      </w:r>
      <w:r w:rsidRPr="004A66F0">
        <w:rPr>
          <w:rFonts w:ascii="Times New Roman" w:hAnsi="Times New Roman" w:cs="Times New Roman"/>
          <w:sz w:val="22"/>
          <w:szCs w:val="22"/>
          <w:lang w:val="es-ES_tradnl" w:eastAsia="es-ES"/>
        </w:rPr>
        <w:t xml:space="preserve">los mencionados anteriormente se pueden considerar </w:t>
      </w:r>
      <w:r w:rsidR="00497F62">
        <w:rPr>
          <w:rFonts w:ascii="Times New Roman" w:hAnsi="Times New Roman" w:cs="Times New Roman"/>
          <w:sz w:val="22"/>
          <w:szCs w:val="22"/>
          <w:lang w:val="es-ES_tradnl" w:eastAsia="es-ES"/>
        </w:rPr>
        <w:t xml:space="preserve">como </w:t>
      </w:r>
      <w:r w:rsidRPr="004A66F0">
        <w:rPr>
          <w:rFonts w:ascii="Times New Roman" w:hAnsi="Times New Roman" w:cs="Times New Roman"/>
          <w:sz w:val="22"/>
          <w:szCs w:val="22"/>
          <w:lang w:val="es-ES_tradnl" w:eastAsia="es-ES"/>
        </w:rPr>
        <w:t xml:space="preserve">los más relevantes, </w:t>
      </w:r>
      <w:r w:rsidR="00497F62">
        <w:rPr>
          <w:rFonts w:ascii="Times New Roman" w:hAnsi="Times New Roman" w:cs="Times New Roman"/>
          <w:sz w:val="22"/>
          <w:szCs w:val="22"/>
          <w:lang w:val="es-ES_tradnl" w:eastAsia="es-ES"/>
        </w:rPr>
        <w:t xml:space="preserve">pues </w:t>
      </w:r>
      <w:r w:rsidRPr="004A66F0">
        <w:rPr>
          <w:rFonts w:ascii="Times New Roman" w:hAnsi="Times New Roman" w:cs="Times New Roman"/>
          <w:sz w:val="22"/>
          <w:szCs w:val="22"/>
          <w:lang w:val="es-ES_tradnl" w:eastAsia="es-ES"/>
        </w:rPr>
        <w:t>algunos reducen la capacidad del gobierno en gastar y otros son aceleradores de la ejecución.</w:t>
      </w:r>
    </w:p>
    <w:p w14:paraId="32BB55E1" w14:textId="77777777" w:rsidR="004A66F0" w:rsidRPr="004A66F0" w:rsidRDefault="004A66F0" w:rsidP="008D7BB4">
      <w:pPr>
        <w:spacing w:line="276" w:lineRule="auto"/>
        <w:contextualSpacing/>
        <w:rPr>
          <w:rFonts w:ascii="Times New Roman" w:eastAsia="Times New Roman" w:hAnsi="Times New Roman" w:cs="Times New Roman"/>
          <w:sz w:val="22"/>
          <w:szCs w:val="22"/>
          <w:lang w:val="es-ES_tradnl"/>
        </w:rPr>
      </w:pPr>
    </w:p>
    <w:p w14:paraId="72BAE5D0" w14:textId="1913C50D" w:rsidR="004A66F0" w:rsidRDefault="004A66F0" w:rsidP="008D7BB4">
      <w:pPr>
        <w:pStyle w:val="Prrafodelista"/>
        <w:keepNext/>
        <w:keepLines/>
        <w:numPr>
          <w:ilvl w:val="1"/>
          <w:numId w:val="20"/>
        </w:numPr>
        <w:tabs>
          <w:tab w:val="left" w:pos="1134"/>
        </w:tabs>
        <w:spacing w:line="276" w:lineRule="auto"/>
        <w:jc w:val="both"/>
        <w:outlineLvl w:val="1"/>
        <w:rPr>
          <w:rFonts w:ascii="Times New Roman" w:eastAsiaTheme="majorEastAsia" w:hAnsi="Times New Roman" w:cs="Times New Roman"/>
          <w:b/>
          <w:bCs/>
        </w:rPr>
      </w:pPr>
      <w:bookmarkStart w:id="33" w:name="_Toc125723283"/>
      <w:r w:rsidRPr="00A36506">
        <w:rPr>
          <w:rFonts w:ascii="Times New Roman" w:eastAsiaTheme="majorEastAsia" w:hAnsi="Times New Roman" w:cs="Times New Roman"/>
          <w:b/>
          <w:bCs/>
        </w:rPr>
        <w:t>Alto dinamismo en la ejecución del gasto 2022</w:t>
      </w:r>
      <w:bookmarkEnd w:id="33"/>
    </w:p>
    <w:p w14:paraId="267B40B7" w14:textId="77777777" w:rsidR="00A02621" w:rsidRPr="00A02621" w:rsidRDefault="00A02621" w:rsidP="008D7BB4">
      <w:pPr>
        <w:keepNext/>
        <w:keepLines/>
        <w:tabs>
          <w:tab w:val="left" w:pos="1134"/>
        </w:tabs>
        <w:spacing w:line="276" w:lineRule="auto"/>
        <w:ind w:left="360"/>
        <w:contextualSpacing/>
        <w:jc w:val="both"/>
        <w:outlineLvl w:val="1"/>
        <w:rPr>
          <w:rFonts w:ascii="Times New Roman" w:eastAsiaTheme="majorEastAsia" w:hAnsi="Times New Roman" w:cs="Times New Roman"/>
          <w:b/>
          <w:bCs/>
        </w:rPr>
      </w:pPr>
    </w:p>
    <w:p w14:paraId="7349DE3E" w14:textId="72E65BB6" w:rsidR="004A66F0" w:rsidRPr="004A66F0" w:rsidRDefault="004A66F0" w:rsidP="008D7BB4">
      <w:pPr>
        <w:spacing w:line="276" w:lineRule="auto"/>
        <w:contextualSpacing/>
        <w:jc w:val="both"/>
        <w:rPr>
          <w:rFonts w:ascii="Times New Roman" w:eastAsia="Times New Roman" w:hAnsi="Times New Roman" w:cs="Times New Roman"/>
          <w:sz w:val="22"/>
          <w:szCs w:val="22"/>
          <w:lang w:val="es-ES_tradnl" w:eastAsia="es-ES"/>
        </w:rPr>
      </w:pPr>
      <w:r w:rsidRPr="004A66F0">
        <w:rPr>
          <w:rFonts w:ascii="Times New Roman" w:eastAsia="Times New Roman" w:hAnsi="Times New Roman" w:cs="Times New Roman"/>
          <w:sz w:val="22"/>
          <w:szCs w:val="22"/>
          <w:lang w:val="es-ES_tradnl" w:eastAsia="es-ES"/>
        </w:rPr>
        <w:t xml:space="preserve">La ejecución de gasto al cierre de 2022 se situó en Q105,725.8 millones (sin incluir amortizaciones de la deuda pública), mayor en Q15,660.0 millones al cierre de 2021. </w:t>
      </w:r>
    </w:p>
    <w:p w14:paraId="73DFD3BA" w14:textId="77777777" w:rsidR="004A66F0" w:rsidRPr="004A66F0" w:rsidRDefault="004A66F0" w:rsidP="008D7BB4">
      <w:pPr>
        <w:spacing w:line="276" w:lineRule="auto"/>
        <w:contextualSpacing/>
        <w:jc w:val="both"/>
        <w:rPr>
          <w:rFonts w:ascii="Times New Roman" w:eastAsia="Times New Roman" w:hAnsi="Times New Roman" w:cs="Times New Roman"/>
          <w:sz w:val="22"/>
          <w:szCs w:val="22"/>
          <w:lang w:val="es-ES_tradnl" w:eastAsia="es-ES"/>
        </w:rPr>
      </w:pPr>
      <w:r w:rsidRPr="004A66F0">
        <w:rPr>
          <w:rFonts w:ascii="Times New Roman" w:eastAsia="Times New Roman" w:hAnsi="Times New Roman" w:cs="Times New Roman"/>
          <w:sz w:val="22"/>
          <w:szCs w:val="22"/>
          <w:lang w:val="es-ES_tradnl" w:eastAsia="es-ES"/>
        </w:rPr>
        <w:lastRenderedPageBreak/>
        <w:t xml:space="preserve">El 2022 estuvo marcado por el conflicto geopolítico entre Rusia y Ucrania que generó tensiones imperantes en los mercados internacionales, afectando el abastecimiento del mercado de ciertos </w:t>
      </w:r>
      <w:r w:rsidRPr="00497F62">
        <w:rPr>
          <w:rFonts w:ascii="Times New Roman" w:eastAsia="Times New Roman" w:hAnsi="Times New Roman" w:cs="Times New Roman"/>
          <w:i/>
          <w:iCs/>
          <w:sz w:val="22"/>
          <w:szCs w:val="22"/>
          <w:lang w:val="es-ES_tradnl" w:eastAsia="es-ES"/>
        </w:rPr>
        <w:t>commodities</w:t>
      </w:r>
      <w:r w:rsidRPr="004A66F0">
        <w:rPr>
          <w:rFonts w:ascii="Times New Roman" w:eastAsia="Times New Roman" w:hAnsi="Times New Roman" w:cs="Times New Roman"/>
          <w:sz w:val="22"/>
          <w:szCs w:val="22"/>
          <w:lang w:val="es-ES_tradnl" w:eastAsia="es-ES"/>
        </w:rPr>
        <w:t>, incidiendo de forma significativa en los precios y por ende en la inflación, lo cual presentó un escenario de incertidumbre a nivel mundial en cuanto al desempeño de la actividad económica, causando preocupación en la población guatemalteca. Derivado de ello, durante 2022, se dio una fuerte intervención por parte de la política fiscal para aliviar los efectos del incremento de los precios en la economía de los guatemaltecos, esta intervención se tradujo en la aprobación de diversos Decretos Legislativos que permitieron ampliar el presupuesto y con ello brindar apoyos de carácter temporal en productos y servicios esenciales como el gas propano, los combustibles y la energía eléctrica.</w:t>
      </w:r>
    </w:p>
    <w:p w14:paraId="6CCA734A" w14:textId="77777777" w:rsidR="004A66F0" w:rsidRPr="004A66F0" w:rsidRDefault="004A66F0" w:rsidP="008D7BB4">
      <w:pPr>
        <w:spacing w:line="276" w:lineRule="auto"/>
        <w:contextualSpacing/>
        <w:jc w:val="both"/>
        <w:rPr>
          <w:rFonts w:ascii="Times New Roman" w:eastAsia="Times New Roman" w:hAnsi="Times New Roman" w:cs="Times New Roman"/>
          <w:sz w:val="22"/>
          <w:szCs w:val="22"/>
          <w:lang w:val="es-ES_tradnl" w:eastAsia="es-ES"/>
        </w:rPr>
      </w:pPr>
    </w:p>
    <w:p w14:paraId="2DB5CD4D" w14:textId="03AF64ED" w:rsidR="004A66F0" w:rsidRPr="004A66F0" w:rsidRDefault="004A66F0" w:rsidP="008D7BB4">
      <w:pPr>
        <w:spacing w:line="276" w:lineRule="auto"/>
        <w:contextualSpacing/>
        <w:jc w:val="both"/>
        <w:rPr>
          <w:rFonts w:ascii="Times New Roman" w:eastAsia="Times New Roman" w:hAnsi="Times New Roman" w:cs="Times New Roman"/>
          <w:sz w:val="22"/>
          <w:szCs w:val="22"/>
          <w:lang w:val="es-ES_tradnl" w:eastAsia="es-ES"/>
        </w:rPr>
      </w:pPr>
      <w:r w:rsidRPr="004A66F0">
        <w:rPr>
          <w:rFonts w:ascii="Times New Roman" w:eastAsia="Times New Roman" w:hAnsi="Times New Roman" w:cs="Times New Roman"/>
          <w:sz w:val="22"/>
          <w:szCs w:val="22"/>
          <w:lang w:val="es-ES_tradnl" w:eastAsia="es-ES"/>
        </w:rPr>
        <w:t>A lo largo del 2022, el gasto público estuvo reportando crecimientos interanuales superiores al año anterior, esto derivado que durante 2021 el gasto público reportó una caída debido a que los programas sociales y económicos en apoyo por la crisis del COVID-19 que se implementaron en 2020, ya no estuvieron vigentes. Esto</w:t>
      </w:r>
      <w:r w:rsidR="00DE0EFA">
        <w:rPr>
          <w:rFonts w:ascii="Times New Roman" w:eastAsia="Times New Roman" w:hAnsi="Times New Roman" w:cs="Times New Roman"/>
          <w:sz w:val="22"/>
          <w:szCs w:val="22"/>
          <w:lang w:val="es-ES_tradnl" w:eastAsia="es-ES"/>
        </w:rPr>
        <w:t>,</w:t>
      </w:r>
      <w:r w:rsidRPr="004A66F0">
        <w:rPr>
          <w:rFonts w:ascii="Times New Roman" w:eastAsia="Times New Roman" w:hAnsi="Times New Roman" w:cs="Times New Roman"/>
          <w:sz w:val="22"/>
          <w:szCs w:val="22"/>
          <w:lang w:val="es-ES_tradnl" w:eastAsia="es-ES"/>
        </w:rPr>
        <w:t xml:space="preserve"> anudado a los subsidios implementados en 2022, permitieron que el gasto público reportara un crecimiento de 17.4%, crecimiento incluso superior al reportado en 2020, cuando fue de 17.2%. </w:t>
      </w:r>
    </w:p>
    <w:p w14:paraId="3291E0B6" w14:textId="77777777" w:rsidR="004A66F0" w:rsidRPr="004A66F0" w:rsidRDefault="004A66F0" w:rsidP="008D7BB4">
      <w:pPr>
        <w:spacing w:line="276" w:lineRule="auto"/>
        <w:contextualSpacing/>
        <w:jc w:val="both"/>
        <w:rPr>
          <w:rFonts w:ascii="Times New Roman" w:eastAsia="Times New Roman" w:hAnsi="Times New Roman" w:cs="Times New Roman"/>
          <w:sz w:val="22"/>
          <w:szCs w:val="22"/>
          <w:lang w:val="es-ES_tradnl" w:eastAsia="es-ES"/>
        </w:rPr>
      </w:pPr>
    </w:p>
    <w:p w14:paraId="21666283" w14:textId="7D165372" w:rsidR="004A66F0" w:rsidRPr="004A66F0" w:rsidRDefault="00A11E1A" w:rsidP="008D7BB4">
      <w:pPr>
        <w:spacing w:line="276" w:lineRule="auto"/>
        <w:contextualSpacing/>
        <w:jc w:val="center"/>
        <w:rPr>
          <w:rFonts w:ascii="Times New Roman" w:eastAsia="Times New Roman" w:hAnsi="Times New Roman" w:cs="Times New Roman"/>
          <w:b/>
          <w:sz w:val="22"/>
          <w:szCs w:val="22"/>
          <w:lang w:val="es-ES_tradnl" w:eastAsia="es-ES"/>
        </w:rPr>
      </w:pPr>
      <w:bookmarkStart w:id="34" w:name="_Toc125733206"/>
      <w:r w:rsidRPr="00A11E1A">
        <w:rPr>
          <w:rFonts w:ascii="Times New Roman" w:eastAsia="Times New Roman" w:hAnsi="Times New Roman" w:cs="Times New Roman"/>
          <w:b/>
          <w:sz w:val="22"/>
          <w:szCs w:val="22"/>
        </w:rPr>
        <w:t xml:space="preserve">Gráfico </w:t>
      </w:r>
      <w:r w:rsidRPr="00A11E1A">
        <w:rPr>
          <w:rFonts w:ascii="Times New Roman" w:eastAsia="Times New Roman" w:hAnsi="Times New Roman" w:cs="Times New Roman"/>
          <w:b/>
          <w:sz w:val="22"/>
          <w:szCs w:val="22"/>
        </w:rPr>
        <w:fldChar w:fldCharType="begin"/>
      </w:r>
      <w:r w:rsidRPr="00A11E1A">
        <w:rPr>
          <w:rFonts w:ascii="Times New Roman" w:eastAsia="Times New Roman" w:hAnsi="Times New Roman" w:cs="Times New Roman"/>
          <w:b/>
          <w:sz w:val="22"/>
          <w:szCs w:val="22"/>
        </w:rPr>
        <w:instrText xml:space="preserve"> SEQ Gráfico \* ARABIC </w:instrText>
      </w:r>
      <w:r w:rsidRPr="00A11E1A">
        <w:rPr>
          <w:rFonts w:ascii="Times New Roman" w:eastAsia="Times New Roman" w:hAnsi="Times New Roman" w:cs="Times New Roman"/>
          <w:b/>
          <w:sz w:val="22"/>
          <w:szCs w:val="22"/>
        </w:rPr>
        <w:fldChar w:fldCharType="separate"/>
      </w:r>
      <w:r w:rsidR="006F4BE5">
        <w:rPr>
          <w:rFonts w:ascii="Times New Roman" w:eastAsia="Times New Roman" w:hAnsi="Times New Roman" w:cs="Times New Roman"/>
          <w:b/>
          <w:noProof/>
          <w:sz w:val="22"/>
          <w:szCs w:val="22"/>
        </w:rPr>
        <w:t>10</w:t>
      </w:r>
      <w:r w:rsidRPr="00A11E1A">
        <w:rPr>
          <w:rFonts w:ascii="Times New Roman" w:eastAsia="Times New Roman" w:hAnsi="Times New Roman" w:cs="Times New Roman"/>
          <w:b/>
          <w:sz w:val="22"/>
          <w:szCs w:val="22"/>
        </w:rPr>
        <w:fldChar w:fldCharType="end"/>
      </w:r>
      <w:r>
        <w:rPr>
          <w:rFonts w:ascii="Times New Roman" w:eastAsia="Times New Roman" w:hAnsi="Times New Roman" w:cs="Times New Roman"/>
          <w:b/>
          <w:sz w:val="22"/>
          <w:szCs w:val="22"/>
        </w:rPr>
        <w:t xml:space="preserve">. </w:t>
      </w:r>
      <w:r w:rsidR="004A66F0" w:rsidRPr="004A66F0">
        <w:rPr>
          <w:rFonts w:ascii="Times New Roman" w:eastAsia="Times New Roman" w:hAnsi="Times New Roman" w:cs="Times New Roman"/>
          <w:b/>
          <w:sz w:val="22"/>
          <w:szCs w:val="22"/>
          <w:lang w:val="es-ES_tradnl" w:eastAsia="es-ES"/>
        </w:rPr>
        <w:t>Ritmo de ejecución del gasto público</w:t>
      </w:r>
      <w:bookmarkEnd w:id="34"/>
    </w:p>
    <w:p w14:paraId="6FDDFE80" w14:textId="77777777" w:rsidR="004A66F0" w:rsidRPr="004A66F0" w:rsidRDefault="004A66F0" w:rsidP="008D7BB4">
      <w:pPr>
        <w:spacing w:line="276" w:lineRule="auto"/>
        <w:contextualSpacing/>
        <w:jc w:val="center"/>
        <w:rPr>
          <w:rFonts w:ascii="Times New Roman" w:eastAsia="Times New Roman" w:hAnsi="Times New Roman" w:cs="Times New Roman"/>
          <w:sz w:val="22"/>
          <w:szCs w:val="22"/>
          <w:lang w:val="es-ES_tradnl" w:eastAsia="es-ES"/>
        </w:rPr>
      </w:pPr>
      <w:r w:rsidRPr="004A66F0">
        <w:rPr>
          <w:rFonts w:ascii="Times New Roman" w:eastAsia="Times New Roman" w:hAnsi="Times New Roman" w:cs="Times New Roman"/>
          <w:sz w:val="22"/>
          <w:szCs w:val="22"/>
          <w:lang w:val="es-ES_tradnl" w:eastAsia="es-ES"/>
        </w:rPr>
        <w:t>Mensual 2018-2022</w:t>
      </w:r>
    </w:p>
    <w:p w14:paraId="32795635" w14:textId="50A61002" w:rsidR="004A66F0" w:rsidRPr="004A66F0" w:rsidRDefault="004A66F0" w:rsidP="008D7BB4">
      <w:pPr>
        <w:spacing w:line="276" w:lineRule="auto"/>
        <w:contextualSpacing/>
        <w:jc w:val="center"/>
        <w:rPr>
          <w:rFonts w:ascii="Calibri" w:eastAsia="Times New Roman" w:hAnsi="Calibri" w:cs="Times New Roman"/>
          <w:sz w:val="22"/>
          <w:szCs w:val="22"/>
          <w:lang w:val="es-ES_tradnl" w:eastAsia="es-ES"/>
        </w:rPr>
      </w:pPr>
      <w:r w:rsidRPr="004A66F0">
        <w:rPr>
          <w:rFonts w:ascii="Calibri" w:eastAsia="Times New Roman" w:hAnsi="Calibri" w:cs="Calibri"/>
          <w:noProof/>
          <w:sz w:val="22"/>
          <w:szCs w:val="22"/>
        </w:rPr>
        <w:drawing>
          <wp:anchor distT="0" distB="0" distL="114300" distR="115570" simplePos="0" relativeHeight="251613696" behindDoc="0" locked="0" layoutInCell="1" allowOverlap="1" wp14:anchorId="53D48237" wp14:editId="333EF2A6">
            <wp:simplePos x="0" y="0"/>
            <wp:positionH relativeFrom="margin">
              <wp:align>right</wp:align>
            </wp:positionH>
            <wp:positionV relativeFrom="paragraph">
              <wp:posOffset>167640</wp:posOffset>
            </wp:positionV>
            <wp:extent cx="5610225" cy="2757805"/>
            <wp:effectExtent l="0" t="0" r="0" b="4445"/>
            <wp:wrapSquare wrapText="bothSides"/>
            <wp:docPr id="38" name="Gráfico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Pr="004A66F0">
        <w:rPr>
          <w:rFonts w:ascii="Times New Roman" w:eastAsia="Times New Roman" w:hAnsi="Times New Roman" w:cs="Times New Roman"/>
          <w:sz w:val="22"/>
          <w:szCs w:val="22"/>
          <w:lang w:val="es-ES_tradnl" w:eastAsia="es-ES"/>
        </w:rPr>
        <w:t>Porcentajes</w:t>
      </w:r>
    </w:p>
    <w:p w14:paraId="73ED03B2" w14:textId="77777777" w:rsidR="004A66F0" w:rsidRPr="004A66F0" w:rsidRDefault="004A66F0" w:rsidP="008D7BB4">
      <w:pPr>
        <w:spacing w:line="276" w:lineRule="auto"/>
        <w:contextualSpacing/>
        <w:rPr>
          <w:rFonts w:ascii="Times New Roman" w:eastAsia="Times New Roman" w:hAnsi="Times New Roman" w:cs="Times New Roman"/>
          <w:sz w:val="16"/>
          <w:szCs w:val="22"/>
          <w:lang w:val="es-ES_tradnl" w:eastAsia="es-ES"/>
        </w:rPr>
      </w:pPr>
    </w:p>
    <w:p w14:paraId="66B3B8B3" w14:textId="77777777" w:rsidR="004A66F0" w:rsidRPr="004A66F0" w:rsidRDefault="004A66F0" w:rsidP="008D7BB4">
      <w:pPr>
        <w:spacing w:line="276" w:lineRule="auto"/>
        <w:contextualSpacing/>
        <w:rPr>
          <w:rFonts w:ascii="Times New Roman" w:eastAsia="Times New Roman" w:hAnsi="Times New Roman" w:cs="Times New Roman"/>
          <w:sz w:val="16"/>
          <w:szCs w:val="22"/>
          <w:lang w:val="es-ES_tradnl" w:eastAsia="es-ES"/>
        </w:rPr>
      </w:pPr>
    </w:p>
    <w:p w14:paraId="17C1A0BE" w14:textId="60C09367" w:rsidR="004A66F0" w:rsidRPr="008C3120" w:rsidRDefault="000627C3" w:rsidP="008D7BB4">
      <w:pPr>
        <w:spacing w:line="276" w:lineRule="auto"/>
        <w:contextualSpacing/>
        <w:rPr>
          <w:rFonts w:ascii="Times New Roman" w:eastAsia="Times New Roman" w:hAnsi="Times New Roman" w:cs="Times New Roman"/>
          <w:sz w:val="18"/>
          <w:szCs w:val="18"/>
          <w:lang w:val="es-ES_tradnl" w:eastAsia="es-ES"/>
        </w:rPr>
      </w:pPr>
      <w:r w:rsidRPr="008C3120">
        <w:rPr>
          <w:rFonts w:ascii="Times New Roman" w:eastAsia="Times New Roman" w:hAnsi="Times New Roman" w:cs="Times New Roman"/>
          <w:sz w:val="18"/>
          <w:szCs w:val="18"/>
          <w:lang w:val="es-ES_tradnl" w:eastAsia="es-ES"/>
        </w:rPr>
        <w:t xml:space="preserve">Nota: </w:t>
      </w:r>
      <w:r w:rsidR="004A66F0" w:rsidRPr="008C3120">
        <w:rPr>
          <w:rFonts w:ascii="Times New Roman" w:eastAsia="Times New Roman" w:hAnsi="Times New Roman" w:cs="Times New Roman"/>
          <w:sz w:val="18"/>
          <w:szCs w:val="18"/>
          <w:lang w:val="es-ES_tradnl" w:eastAsia="es-ES"/>
        </w:rPr>
        <w:t>No incluye amortizaciones de la deuda pública</w:t>
      </w:r>
    </w:p>
    <w:p w14:paraId="7A405A35" w14:textId="77777777" w:rsidR="004A66F0" w:rsidRPr="008C3120" w:rsidRDefault="004A66F0" w:rsidP="008D7BB4">
      <w:pPr>
        <w:spacing w:line="276" w:lineRule="auto"/>
        <w:contextualSpacing/>
        <w:rPr>
          <w:rFonts w:ascii="Times New Roman" w:eastAsia="Times New Roman" w:hAnsi="Times New Roman" w:cs="Times New Roman"/>
          <w:sz w:val="18"/>
          <w:szCs w:val="18"/>
          <w:lang w:val="es-ES_tradnl" w:eastAsia="es-ES"/>
        </w:rPr>
      </w:pPr>
      <w:r w:rsidRPr="008C3120">
        <w:rPr>
          <w:rFonts w:ascii="Times New Roman" w:eastAsia="Times New Roman" w:hAnsi="Times New Roman" w:cs="Times New Roman"/>
          <w:sz w:val="18"/>
          <w:szCs w:val="18"/>
          <w:lang w:val="es-ES_tradnl" w:eastAsia="es-ES"/>
        </w:rPr>
        <w:t>Fuente: Dirección de Análisis y Política Fiscal</w:t>
      </w:r>
    </w:p>
    <w:p w14:paraId="32A0CF71" w14:textId="77777777" w:rsidR="004A66F0" w:rsidRPr="004A66F0" w:rsidRDefault="004A66F0" w:rsidP="008D7BB4">
      <w:pPr>
        <w:spacing w:line="276" w:lineRule="auto"/>
        <w:contextualSpacing/>
        <w:jc w:val="both"/>
        <w:rPr>
          <w:rFonts w:ascii="Times New Roman" w:eastAsia="Times New Roman" w:hAnsi="Times New Roman" w:cs="Times New Roman"/>
          <w:sz w:val="22"/>
          <w:szCs w:val="22"/>
          <w:lang w:val="es-MX"/>
        </w:rPr>
      </w:pPr>
    </w:p>
    <w:p w14:paraId="5E42EF13" w14:textId="7ABF8726" w:rsidR="004A66F0" w:rsidRPr="004A66F0" w:rsidRDefault="004A66F0" w:rsidP="008D7BB4">
      <w:pPr>
        <w:spacing w:line="276" w:lineRule="auto"/>
        <w:contextualSpacing/>
        <w:jc w:val="both"/>
        <w:rPr>
          <w:rFonts w:ascii="Times New Roman" w:eastAsia="Times New Roman" w:hAnsi="Times New Roman" w:cs="Times New Roman"/>
          <w:sz w:val="22"/>
          <w:szCs w:val="22"/>
          <w:lang w:val="es-MX"/>
        </w:rPr>
      </w:pPr>
      <w:r w:rsidRPr="004A66F0">
        <w:rPr>
          <w:rFonts w:ascii="Times New Roman" w:eastAsia="Times New Roman" w:hAnsi="Times New Roman" w:cs="Times New Roman"/>
          <w:sz w:val="22"/>
          <w:szCs w:val="22"/>
          <w:lang w:val="es-MX"/>
        </w:rPr>
        <w:t xml:space="preserve">A nivel de los diferentes rubros por cuenta económica del gasto, se puede observar que el rubro que reporta el mayor crecimiento interanual en términos absolutos, son las transferencias corrientes con </w:t>
      </w:r>
      <w:r w:rsidRPr="004A66F0">
        <w:rPr>
          <w:rFonts w:ascii="Times New Roman" w:eastAsia="Times New Roman" w:hAnsi="Times New Roman" w:cs="Times New Roman"/>
          <w:sz w:val="22"/>
          <w:szCs w:val="22"/>
          <w:lang w:val="es-MX"/>
        </w:rPr>
        <w:lastRenderedPageBreak/>
        <w:t xml:space="preserve">Q6,579.4 millones, al desglosar este rubro, las transferencias al sector privado concentran el mayor crecimiento, derivado que el Ministerio de Energía y Minas realizó transferencias hacia empresas privadas por concepto del subsidio al </w:t>
      </w:r>
      <w:r w:rsidR="007A54F9">
        <w:rPr>
          <w:rFonts w:ascii="Times New Roman" w:eastAsia="Times New Roman" w:hAnsi="Times New Roman" w:cs="Times New Roman"/>
          <w:sz w:val="22"/>
          <w:szCs w:val="22"/>
          <w:lang w:val="es-MX"/>
        </w:rPr>
        <w:t xml:space="preserve">precio del </w:t>
      </w:r>
      <w:r w:rsidRPr="004A66F0">
        <w:rPr>
          <w:rFonts w:ascii="Times New Roman" w:eastAsia="Times New Roman" w:hAnsi="Times New Roman" w:cs="Times New Roman"/>
          <w:sz w:val="22"/>
          <w:szCs w:val="22"/>
          <w:lang w:val="es-MX"/>
        </w:rPr>
        <w:t xml:space="preserve">gas propano y </w:t>
      </w:r>
      <w:r w:rsidR="007A54F9">
        <w:rPr>
          <w:rFonts w:ascii="Times New Roman" w:eastAsia="Times New Roman" w:hAnsi="Times New Roman" w:cs="Times New Roman"/>
          <w:sz w:val="22"/>
          <w:szCs w:val="22"/>
          <w:lang w:val="es-MX"/>
        </w:rPr>
        <w:t>de</w:t>
      </w:r>
      <w:r w:rsidRPr="004A66F0">
        <w:rPr>
          <w:rFonts w:ascii="Times New Roman" w:eastAsia="Times New Roman" w:hAnsi="Times New Roman" w:cs="Times New Roman"/>
          <w:sz w:val="22"/>
          <w:szCs w:val="22"/>
          <w:lang w:val="es-MX"/>
        </w:rPr>
        <w:t xml:space="preserve"> las gasolinas y diésel.</w:t>
      </w:r>
    </w:p>
    <w:p w14:paraId="48DAA19D" w14:textId="77777777" w:rsidR="004A66F0" w:rsidRPr="004A66F0" w:rsidRDefault="004A66F0" w:rsidP="008D7BB4">
      <w:pPr>
        <w:spacing w:line="276" w:lineRule="auto"/>
        <w:contextualSpacing/>
        <w:jc w:val="both"/>
        <w:rPr>
          <w:rFonts w:ascii="Times New Roman" w:eastAsia="Times New Roman" w:hAnsi="Times New Roman" w:cs="Times New Roman"/>
          <w:sz w:val="22"/>
          <w:szCs w:val="22"/>
          <w:lang w:val="es-MX"/>
        </w:rPr>
      </w:pPr>
    </w:p>
    <w:p w14:paraId="0676EB97" w14:textId="0C8B3162" w:rsidR="004A66F0" w:rsidRPr="004A66F0" w:rsidRDefault="004A66F0" w:rsidP="008D7BB4">
      <w:pPr>
        <w:spacing w:line="276" w:lineRule="auto"/>
        <w:contextualSpacing/>
        <w:jc w:val="both"/>
        <w:rPr>
          <w:rFonts w:ascii="Times New Roman" w:eastAsia="Times New Roman" w:hAnsi="Times New Roman" w:cs="Times New Roman"/>
          <w:sz w:val="22"/>
          <w:szCs w:val="22"/>
          <w:lang w:val="es-MX"/>
        </w:rPr>
      </w:pPr>
      <w:r w:rsidRPr="004A66F0">
        <w:rPr>
          <w:rFonts w:ascii="Times New Roman" w:eastAsia="Times New Roman" w:hAnsi="Times New Roman" w:cs="Times New Roman"/>
          <w:sz w:val="22"/>
          <w:szCs w:val="22"/>
          <w:lang w:val="es-MX"/>
        </w:rPr>
        <w:t>Es importante considerar que, los subsidios sufrieron diferentes pr</w:t>
      </w:r>
      <w:r w:rsidR="007A54F9">
        <w:rPr>
          <w:rFonts w:ascii="Times New Roman" w:eastAsia="Times New Roman" w:hAnsi="Times New Roman" w:cs="Times New Roman"/>
          <w:sz w:val="22"/>
          <w:szCs w:val="22"/>
          <w:lang w:val="es-MX"/>
        </w:rPr>
        <w:t>ó</w:t>
      </w:r>
      <w:r w:rsidRPr="004A66F0">
        <w:rPr>
          <w:rFonts w:ascii="Times New Roman" w:eastAsia="Times New Roman" w:hAnsi="Times New Roman" w:cs="Times New Roman"/>
          <w:sz w:val="22"/>
          <w:szCs w:val="22"/>
          <w:lang w:val="es-MX"/>
        </w:rPr>
        <w:t>rrogas durante el 2022, derivado del incremento de los precios internacionales</w:t>
      </w:r>
      <w:r w:rsidR="007A54F9">
        <w:rPr>
          <w:rFonts w:ascii="Times New Roman" w:eastAsia="Times New Roman" w:hAnsi="Times New Roman" w:cs="Times New Roman"/>
          <w:sz w:val="22"/>
          <w:szCs w:val="22"/>
          <w:lang w:val="es-MX"/>
        </w:rPr>
        <w:t>,</w:t>
      </w:r>
      <w:r w:rsidRPr="004A66F0">
        <w:rPr>
          <w:rFonts w:ascii="Times New Roman" w:eastAsia="Times New Roman" w:hAnsi="Times New Roman" w:cs="Times New Roman"/>
          <w:sz w:val="22"/>
          <w:szCs w:val="22"/>
          <w:lang w:val="es-MX"/>
        </w:rPr>
        <w:t xml:space="preserve"> con repercusiones en la economía nacional</w:t>
      </w:r>
      <w:r w:rsidR="007A54F9">
        <w:rPr>
          <w:rFonts w:ascii="Times New Roman" w:eastAsia="Times New Roman" w:hAnsi="Times New Roman" w:cs="Times New Roman"/>
          <w:sz w:val="22"/>
          <w:szCs w:val="22"/>
          <w:lang w:val="es-MX"/>
        </w:rPr>
        <w:t>.</w:t>
      </w:r>
    </w:p>
    <w:p w14:paraId="1B38B462" w14:textId="77777777" w:rsidR="004A66F0" w:rsidRPr="004A66F0" w:rsidRDefault="004A66F0" w:rsidP="008D7BB4">
      <w:pPr>
        <w:spacing w:line="276" w:lineRule="auto"/>
        <w:contextualSpacing/>
        <w:jc w:val="both"/>
        <w:rPr>
          <w:rFonts w:ascii="Times New Roman" w:eastAsia="Times New Roman" w:hAnsi="Times New Roman" w:cs="Times New Roman"/>
          <w:sz w:val="22"/>
          <w:szCs w:val="22"/>
          <w:lang w:val="es-MX"/>
        </w:rPr>
      </w:pPr>
    </w:p>
    <w:p w14:paraId="696CD3BD" w14:textId="77777777" w:rsidR="004A66F0" w:rsidRPr="004A66F0" w:rsidRDefault="004A66F0" w:rsidP="008D7BB4">
      <w:pPr>
        <w:spacing w:line="276" w:lineRule="auto"/>
        <w:contextualSpacing/>
        <w:jc w:val="both"/>
        <w:rPr>
          <w:rFonts w:ascii="Times New Roman" w:eastAsia="Times New Roman" w:hAnsi="Times New Roman" w:cs="Times New Roman"/>
          <w:sz w:val="22"/>
          <w:szCs w:val="22"/>
          <w:lang w:val="es-MX"/>
        </w:rPr>
      </w:pPr>
      <w:r w:rsidRPr="004A66F0">
        <w:rPr>
          <w:rFonts w:ascii="Times New Roman" w:eastAsia="Times New Roman" w:hAnsi="Times New Roman" w:cs="Times New Roman"/>
          <w:sz w:val="22"/>
          <w:szCs w:val="22"/>
          <w:lang w:val="es-MX"/>
        </w:rPr>
        <w:t xml:space="preserve">Seguidamente, los bienes y servicios reportaron un crecimiento interanual de 28.2%, equivalente a Q3,875.9 millones, siendo el Ministerio de Comunicaciones, Infraestructura y Vivienda, la entidad que reporta el mayor dinamismo en este rubro derivado de intervenciones en el mantenimiento y reparación de carreteras y puentes, que fueron afectados por un invierno más copioso, con daños significativos en la infraestructura nacional y estratégica. </w:t>
      </w:r>
    </w:p>
    <w:p w14:paraId="0F03E616" w14:textId="77777777" w:rsidR="004A66F0" w:rsidRPr="004A66F0" w:rsidRDefault="004A66F0" w:rsidP="008D7BB4">
      <w:pPr>
        <w:spacing w:line="276" w:lineRule="auto"/>
        <w:contextualSpacing/>
        <w:jc w:val="both"/>
        <w:rPr>
          <w:rFonts w:ascii="Times New Roman" w:eastAsia="Times New Roman" w:hAnsi="Times New Roman" w:cs="Times New Roman"/>
          <w:sz w:val="22"/>
          <w:szCs w:val="22"/>
          <w:lang w:val="es-MX"/>
        </w:rPr>
      </w:pPr>
    </w:p>
    <w:p w14:paraId="239E871A" w14:textId="6A23D605" w:rsidR="004A66F0" w:rsidRDefault="004A66F0" w:rsidP="008D7BB4">
      <w:pPr>
        <w:spacing w:line="276" w:lineRule="auto"/>
        <w:contextualSpacing/>
        <w:jc w:val="both"/>
        <w:rPr>
          <w:rFonts w:ascii="Times New Roman" w:eastAsia="Times New Roman" w:hAnsi="Times New Roman" w:cs="Times New Roman"/>
          <w:sz w:val="22"/>
          <w:szCs w:val="22"/>
          <w:lang w:val="es-MX"/>
        </w:rPr>
      </w:pPr>
      <w:r w:rsidRPr="004A66F0">
        <w:rPr>
          <w:rFonts w:ascii="Times New Roman" w:eastAsia="Times New Roman" w:hAnsi="Times New Roman" w:cs="Times New Roman"/>
          <w:sz w:val="22"/>
          <w:szCs w:val="22"/>
          <w:lang w:val="es-MX"/>
        </w:rPr>
        <w:t>Luego se encuentra el Ministerio de Economía</w:t>
      </w:r>
      <w:r w:rsidR="007A54F9">
        <w:rPr>
          <w:rFonts w:ascii="Times New Roman" w:eastAsia="Times New Roman" w:hAnsi="Times New Roman" w:cs="Times New Roman"/>
          <w:sz w:val="22"/>
          <w:szCs w:val="22"/>
          <w:lang w:val="es-MX"/>
        </w:rPr>
        <w:t>,</w:t>
      </w:r>
      <w:r w:rsidRPr="004A66F0">
        <w:rPr>
          <w:rFonts w:ascii="Times New Roman" w:eastAsia="Times New Roman" w:hAnsi="Times New Roman" w:cs="Times New Roman"/>
          <w:sz w:val="22"/>
          <w:szCs w:val="22"/>
          <w:lang w:val="es-MX"/>
        </w:rPr>
        <w:t xml:space="preserve"> con un incremento de Q362.9 millones, el cual concentra las sentencias judiciales, entre otr</w:t>
      </w:r>
      <w:r w:rsidR="00411615">
        <w:rPr>
          <w:rFonts w:ascii="Times New Roman" w:eastAsia="Times New Roman" w:hAnsi="Times New Roman" w:cs="Times New Roman"/>
          <w:sz w:val="22"/>
          <w:szCs w:val="22"/>
          <w:lang w:val="es-MX"/>
        </w:rPr>
        <w:t>a</w:t>
      </w:r>
      <w:r w:rsidRPr="004A66F0">
        <w:rPr>
          <w:rFonts w:ascii="Times New Roman" w:eastAsia="Times New Roman" w:hAnsi="Times New Roman" w:cs="Times New Roman"/>
          <w:sz w:val="22"/>
          <w:szCs w:val="22"/>
          <w:lang w:val="es-MX"/>
        </w:rPr>
        <w:t xml:space="preserve">s, </w:t>
      </w:r>
      <w:r w:rsidR="00411615">
        <w:rPr>
          <w:rFonts w:ascii="Times New Roman" w:eastAsia="Times New Roman" w:hAnsi="Times New Roman" w:cs="Times New Roman"/>
          <w:sz w:val="22"/>
          <w:szCs w:val="22"/>
          <w:lang w:val="es-MX"/>
        </w:rPr>
        <w:t>e</w:t>
      </w:r>
      <w:r w:rsidRPr="004A66F0">
        <w:rPr>
          <w:rFonts w:ascii="Times New Roman" w:eastAsia="Times New Roman" w:hAnsi="Times New Roman" w:cs="Times New Roman"/>
          <w:sz w:val="22"/>
          <w:szCs w:val="22"/>
          <w:lang w:val="es-MX"/>
        </w:rPr>
        <w:t xml:space="preserve">l pago por una demanda en contra del Estado de Guatemala. Asimismo, el Ministerio de Gobernación reporta un incremento de Q360.9 millones por combustibles y lubricantes, otros servicios, prendas de vestir, entre otros. </w:t>
      </w:r>
    </w:p>
    <w:p w14:paraId="7BD6733A" w14:textId="13093C52" w:rsidR="004C205D" w:rsidRDefault="004C205D" w:rsidP="008D7BB4">
      <w:pPr>
        <w:spacing w:line="276" w:lineRule="auto"/>
        <w:contextualSpacing/>
        <w:jc w:val="both"/>
        <w:rPr>
          <w:rFonts w:ascii="Times New Roman" w:eastAsia="Times New Roman" w:hAnsi="Times New Roman" w:cs="Times New Roman"/>
          <w:sz w:val="22"/>
          <w:szCs w:val="22"/>
          <w:lang w:val="es-MX"/>
        </w:rPr>
      </w:pPr>
    </w:p>
    <w:p w14:paraId="2F39B367" w14:textId="77777777" w:rsidR="004C205D" w:rsidRPr="004A66F0" w:rsidRDefault="004C205D" w:rsidP="004C205D">
      <w:pPr>
        <w:spacing w:line="276" w:lineRule="auto"/>
        <w:contextualSpacing/>
        <w:jc w:val="both"/>
        <w:rPr>
          <w:rFonts w:ascii="Times New Roman" w:eastAsia="Times New Roman" w:hAnsi="Times New Roman" w:cs="Times New Roman"/>
          <w:sz w:val="22"/>
          <w:szCs w:val="22"/>
          <w:lang w:val="es-MX"/>
        </w:rPr>
      </w:pPr>
      <w:r w:rsidRPr="004A66F0">
        <w:rPr>
          <w:rFonts w:ascii="Times New Roman" w:eastAsia="Times New Roman" w:hAnsi="Times New Roman" w:cs="Times New Roman"/>
          <w:sz w:val="22"/>
          <w:szCs w:val="22"/>
          <w:lang w:val="es-MX"/>
        </w:rPr>
        <w:t xml:space="preserve">Por su parte, el Ministerio de Salud Pública y Asistencia Social, es la entidad con la mayor caída en </w:t>
      </w:r>
      <w:r>
        <w:rPr>
          <w:rFonts w:ascii="Times New Roman" w:eastAsia="Times New Roman" w:hAnsi="Times New Roman" w:cs="Times New Roman"/>
          <w:sz w:val="22"/>
          <w:szCs w:val="22"/>
          <w:lang w:val="es-MX"/>
        </w:rPr>
        <w:t xml:space="preserve">la adquisición de bienes y servicios </w:t>
      </w:r>
      <w:r w:rsidRPr="004A66F0">
        <w:rPr>
          <w:rFonts w:ascii="Times New Roman" w:eastAsia="Times New Roman" w:hAnsi="Times New Roman" w:cs="Times New Roman"/>
          <w:sz w:val="22"/>
          <w:szCs w:val="22"/>
          <w:lang w:val="es-MX"/>
        </w:rPr>
        <w:t xml:space="preserve">(Q622.8 millones), lo cual se encuentra asociado a que en este rubro se registra la compra de la vacuna contra el COVID-19, siendo las compras por este concepto menores durante 2022. </w:t>
      </w:r>
    </w:p>
    <w:p w14:paraId="53A44F6F" w14:textId="77777777" w:rsidR="004C205D" w:rsidRPr="004A66F0" w:rsidRDefault="004C205D" w:rsidP="004C205D">
      <w:pPr>
        <w:spacing w:line="276" w:lineRule="auto"/>
        <w:contextualSpacing/>
        <w:jc w:val="both"/>
        <w:rPr>
          <w:rFonts w:ascii="Times New Roman" w:eastAsia="Times New Roman" w:hAnsi="Times New Roman" w:cs="Times New Roman"/>
          <w:sz w:val="22"/>
          <w:szCs w:val="22"/>
          <w:lang w:val="es-MX"/>
        </w:rPr>
      </w:pPr>
    </w:p>
    <w:p w14:paraId="61882712" w14:textId="77777777" w:rsidR="004C205D" w:rsidRPr="004A66F0" w:rsidRDefault="004C205D" w:rsidP="004C205D">
      <w:pPr>
        <w:spacing w:line="276" w:lineRule="auto"/>
        <w:contextualSpacing/>
        <w:jc w:val="both"/>
        <w:rPr>
          <w:rFonts w:ascii="Times New Roman" w:eastAsia="Times New Roman" w:hAnsi="Times New Roman" w:cs="Times New Roman"/>
          <w:sz w:val="22"/>
          <w:szCs w:val="22"/>
          <w:lang w:val="es-MX"/>
        </w:rPr>
      </w:pPr>
      <w:r w:rsidRPr="004A66F0">
        <w:rPr>
          <w:rFonts w:ascii="Times New Roman" w:eastAsia="Times New Roman" w:hAnsi="Times New Roman" w:cs="Times New Roman"/>
          <w:sz w:val="22"/>
          <w:szCs w:val="22"/>
          <w:lang w:val="es-MX"/>
        </w:rPr>
        <w:t xml:space="preserve">En cuanto </w:t>
      </w:r>
      <w:bookmarkStart w:id="35" w:name="_Hlk125366707"/>
      <w:r w:rsidRPr="004A66F0">
        <w:rPr>
          <w:rFonts w:ascii="Times New Roman" w:eastAsia="Times New Roman" w:hAnsi="Times New Roman" w:cs="Times New Roman"/>
          <w:sz w:val="22"/>
          <w:szCs w:val="22"/>
          <w:lang w:val="es-MX"/>
        </w:rPr>
        <w:t xml:space="preserve">a las transferencias de capital, estas reportan un crecimiento de 16.7% (equivalente a Q1,975.2 millones), por las transferencias al sector público, resaltando las transferencias a las municipalidades con un aumento de Q1,196.2 millones y los Consejos de Desarrollo Urbano y Rural con un aumento de Q592.7 millones, lo cual se explica por el dinamismo de la recaudación tributaria que ha derivado en un aumento de los aportes institucionales provenientes de la recaudación tributaria. </w:t>
      </w:r>
    </w:p>
    <w:bookmarkEnd w:id="35"/>
    <w:p w14:paraId="645BC24B" w14:textId="7134EAA8" w:rsidR="004C205D" w:rsidRDefault="004C205D" w:rsidP="008D7BB4">
      <w:pPr>
        <w:spacing w:line="276" w:lineRule="auto"/>
        <w:contextualSpacing/>
        <w:jc w:val="both"/>
        <w:rPr>
          <w:rFonts w:ascii="Times New Roman" w:eastAsia="Times New Roman" w:hAnsi="Times New Roman" w:cs="Times New Roman"/>
          <w:sz w:val="22"/>
          <w:szCs w:val="22"/>
          <w:lang w:val="es-MX"/>
        </w:rPr>
      </w:pPr>
    </w:p>
    <w:p w14:paraId="22EA0F63" w14:textId="6482B2AA" w:rsidR="004A66F0" w:rsidRPr="004A66F0" w:rsidRDefault="004C205D" w:rsidP="008D7BB4">
      <w:pPr>
        <w:spacing w:line="276" w:lineRule="auto"/>
        <w:contextualSpacing/>
        <w:jc w:val="both"/>
        <w:rPr>
          <w:rFonts w:ascii="Times New Roman" w:eastAsia="Times New Roman" w:hAnsi="Times New Roman" w:cs="Times New Roman"/>
          <w:sz w:val="22"/>
          <w:szCs w:val="22"/>
          <w:lang w:val="es-MX"/>
        </w:rPr>
      </w:pPr>
      <w:r w:rsidRPr="004A66F0">
        <w:rPr>
          <w:rFonts w:ascii="Times New Roman" w:eastAsia="Times New Roman" w:hAnsi="Times New Roman" w:cs="Times New Roman"/>
          <w:sz w:val="22"/>
          <w:szCs w:val="22"/>
          <w:lang w:val="es-MX"/>
        </w:rPr>
        <w:t>Asimismo, las remuneraciones crecieron (4.6%), mayor al crecimiento observado durante 2021 (3.6%), esto se explica porque en el Ministerio de Educación se dio el mayor aumento en términos absolutos, siendo de Q808.8 millones. Hay que considerar que en 2021 no se dieron mejoras salariales, mientras que en marzo de 2022 se resolvió homologar el Pacto Colectivo de Condiciones de Trabajo, negociado y suscrito entre el Ministerio de Educación y el Sindicato de Trabajadores y Trabajadoras de la Educación de Guatemala (STEG), siendo la vigencia del pacto colectivo de 2 años. En el artículo 64 reajuste salarial, el Mineduc considera que la dignificación de los trabajadores es un elemento fundamental en la prestación de los servicios a la población en general. Si bien durante 2021 y 2022 no hubo reajustes salariales, en el presupuesto del 2023 habría un reajuste del 3% sobre el salario base; no obstante, lo relevante en esta homologación es un bono anual de Q2,500 en el mes de junio a partir del 2022. Por su parte, también se otorgará un reajuste al salario base de todos los trabajadores administrativos y de servicio que no super</w:t>
      </w:r>
      <w:r>
        <w:rPr>
          <w:rFonts w:ascii="Times New Roman" w:eastAsia="Times New Roman" w:hAnsi="Times New Roman" w:cs="Times New Roman"/>
          <w:sz w:val="22"/>
          <w:szCs w:val="22"/>
          <w:lang w:val="es-MX"/>
        </w:rPr>
        <w:t>ara</w:t>
      </w:r>
      <w:r w:rsidRPr="004A66F0">
        <w:rPr>
          <w:rFonts w:ascii="Times New Roman" w:eastAsia="Times New Roman" w:hAnsi="Times New Roman" w:cs="Times New Roman"/>
          <w:sz w:val="22"/>
          <w:szCs w:val="22"/>
          <w:lang w:val="es-MX"/>
        </w:rPr>
        <w:t xml:space="preserve">n el salario mínimo vigente. </w:t>
      </w:r>
    </w:p>
    <w:p w14:paraId="085D1DB6" w14:textId="61F86356" w:rsidR="004A66F0" w:rsidRPr="004A66F0" w:rsidRDefault="00B85496" w:rsidP="008D7BB4">
      <w:pPr>
        <w:pBdr>
          <w:top w:val="single" w:sz="4" w:space="0" w:color="auto"/>
          <w:left w:val="single" w:sz="4" w:space="4" w:color="auto"/>
          <w:bottom w:val="single" w:sz="4" w:space="1" w:color="auto"/>
          <w:right w:val="single" w:sz="4" w:space="4" w:color="auto"/>
        </w:pBdr>
        <w:shd w:val="clear" w:color="auto" w:fill="D9E2F3" w:themeFill="accent1" w:themeFillTint="33"/>
        <w:spacing w:line="276" w:lineRule="auto"/>
        <w:ind w:left="284" w:right="332"/>
        <w:contextualSpacing/>
        <w:jc w:val="center"/>
        <w:rPr>
          <w:rFonts w:ascii="Times New Roman" w:eastAsia="Times New Roman" w:hAnsi="Times New Roman" w:cs="Times New Roman"/>
          <w:b/>
          <w:sz w:val="20"/>
          <w:szCs w:val="20"/>
          <w:lang w:val="es-MX"/>
        </w:rPr>
      </w:pPr>
      <w:r>
        <w:rPr>
          <w:rFonts w:ascii="Times New Roman" w:eastAsia="Times New Roman" w:hAnsi="Times New Roman" w:cs="Times New Roman"/>
          <w:b/>
          <w:sz w:val="20"/>
          <w:szCs w:val="20"/>
          <w:lang w:val="es-MX"/>
        </w:rPr>
        <w:lastRenderedPageBreak/>
        <w:t xml:space="preserve">Recuadro 2. </w:t>
      </w:r>
      <w:r w:rsidR="004A66F0" w:rsidRPr="004A66F0">
        <w:rPr>
          <w:rFonts w:ascii="Times New Roman" w:eastAsia="Times New Roman" w:hAnsi="Times New Roman" w:cs="Times New Roman"/>
          <w:b/>
          <w:sz w:val="20"/>
          <w:szCs w:val="20"/>
          <w:lang w:val="es-MX"/>
        </w:rPr>
        <w:t>Pago a favor de la empresa Teco Guatemala Holdings por US$46.0 millones</w:t>
      </w:r>
    </w:p>
    <w:p w14:paraId="7749934D" w14:textId="77777777" w:rsidR="004A66F0" w:rsidRPr="004A66F0" w:rsidRDefault="004A66F0" w:rsidP="008D7BB4">
      <w:pPr>
        <w:pBdr>
          <w:top w:val="single" w:sz="4" w:space="0" w:color="auto"/>
          <w:left w:val="single" w:sz="4" w:space="4" w:color="auto"/>
          <w:bottom w:val="single" w:sz="4" w:space="1" w:color="auto"/>
          <w:right w:val="single" w:sz="4" w:space="4" w:color="auto"/>
        </w:pBdr>
        <w:shd w:val="clear" w:color="auto" w:fill="D9E2F3" w:themeFill="accent1" w:themeFillTint="33"/>
        <w:spacing w:line="276" w:lineRule="auto"/>
        <w:ind w:left="284" w:right="332"/>
        <w:contextualSpacing/>
        <w:jc w:val="center"/>
        <w:rPr>
          <w:rFonts w:ascii="Times New Roman" w:eastAsia="Times New Roman" w:hAnsi="Times New Roman" w:cs="Times New Roman"/>
          <w:b/>
          <w:sz w:val="20"/>
          <w:szCs w:val="20"/>
          <w:lang w:val="es-MX"/>
        </w:rPr>
      </w:pPr>
    </w:p>
    <w:p w14:paraId="5CA4D60D" w14:textId="487D5054" w:rsidR="004A66F0" w:rsidRPr="004A66F0" w:rsidRDefault="004A66F0" w:rsidP="008D7BB4">
      <w:pPr>
        <w:pBdr>
          <w:top w:val="single" w:sz="4" w:space="0" w:color="auto"/>
          <w:left w:val="single" w:sz="4" w:space="4" w:color="auto"/>
          <w:bottom w:val="single" w:sz="4" w:space="1" w:color="auto"/>
          <w:right w:val="single" w:sz="4" w:space="4" w:color="auto"/>
        </w:pBdr>
        <w:shd w:val="clear" w:color="auto" w:fill="D9E2F3" w:themeFill="accent1" w:themeFillTint="33"/>
        <w:spacing w:line="276" w:lineRule="auto"/>
        <w:ind w:left="284" w:right="332"/>
        <w:contextualSpacing/>
        <w:jc w:val="both"/>
        <w:rPr>
          <w:rFonts w:ascii="Times New Roman" w:eastAsia="Times New Roman" w:hAnsi="Times New Roman" w:cs="Times New Roman"/>
          <w:bCs/>
          <w:sz w:val="20"/>
          <w:szCs w:val="20"/>
          <w:lang w:val="es-MX"/>
        </w:rPr>
      </w:pPr>
      <w:r w:rsidRPr="004A66F0">
        <w:rPr>
          <w:rFonts w:ascii="Times New Roman" w:eastAsia="Times New Roman" w:hAnsi="Times New Roman" w:cs="Times New Roman"/>
          <w:bCs/>
          <w:sz w:val="20"/>
          <w:szCs w:val="20"/>
          <w:lang w:val="es-MX"/>
        </w:rPr>
        <w:t xml:space="preserve">Con la aprobación del Tratado de Libre Comercio entre la República Dominicana, Centroamérica y EE.UU., se aprueba también el Convenio sobre Arreglo de Diferencias Relativas a Inversiones entre Estados y Nacionales de otros Estados, los cuales establecen el arbitraje internacional de inversión como método para resolver litigios o controversias entre los Estados Parte y los inversionistas extranjeros protegidos, </w:t>
      </w:r>
      <w:r w:rsidR="00411615">
        <w:rPr>
          <w:rFonts w:ascii="Times New Roman" w:eastAsia="Times New Roman" w:hAnsi="Times New Roman" w:cs="Times New Roman"/>
          <w:bCs/>
          <w:sz w:val="20"/>
          <w:szCs w:val="20"/>
          <w:lang w:val="es-MX"/>
        </w:rPr>
        <w:t xml:space="preserve">que incluye </w:t>
      </w:r>
      <w:r w:rsidRPr="004A66F0">
        <w:rPr>
          <w:rFonts w:ascii="Times New Roman" w:eastAsia="Times New Roman" w:hAnsi="Times New Roman" w:cs="Times New Roman"/>
          <w:bCs/>
          <w:sz w:val="20"/>
          <w:szCs w:val="20"/>
          <w:lang w:val="es-MX"/>
        </w:rPr>
        <w:t>un laudo obligatorio para las partes.</w:t>
      </w:r>
    </w:p>
    <w:p w14:paraId="3AB48BE9" w14:textId="77777777" w:rsidR="004A66F0" w:rsidRPr="004A66F0" w:rsidRDefault="004A66F0" w:rsidP="008D7BB4">
      <w:pPr>
        <w:pBdr>
          <w:top w:val="single" w:sz="4" w:space="0" w:color="auto"/>
          <w:left w:val="single" w:sz="4" w:space="4" w:color="auto"/>
          <w:bottom w:val="single" w:sz="4" w:space="1" w:color="auto"/>
          <w:right w:val="single" w:sz="4" w:space="4" w:color="auto"/>
        </w:pBdr>
        <w:shd w:val="clear" w:color="auto" w:fill="D9E2F3" w:themeFill="accent1" w:themeFillTint="33"/>
        <w:spacing w:line="276" w:lineRule="auto"/>
        <w:ind w:left="284" w:right="332"/>
        <w:contextualSpacing/>
        <w:jc w:val="both"/>
        <w:rPr>
          <w:rFonts w:ascii="Times New Roman" w:eastAsia="Times New Roman" w:hAnsi="Times New Roman" w:cs="Times New Roman"/>
          <w:bCs/>
          <w:sz w:val="20"/>
          <w:szCs w:val="20"/>
          <w:lang w:val="es-MX"/>
        </w:rPr>
      </w:pPr>
    </w:p>
    <w:p w14:paraId="3B6845A8" w14:textId="0A7F7592" w:rsidR="004A66F0" w:rsidRPr="004A66F0" w:rsidRDefault="004A66F0" w:rsidP="008D7BB4">
      <w:pPr>
        <w:pBdr>
          <w:top w:val="single" w:sz="4" w:space="0" w:color="auto"/>
          <w:left w:val="single" w:sz="4" w:space="4" w:color="auto"/>
          <w:bottom w:val="single" w:sz="4" w:space="1" w:color="auto"/>
          <w:right w:val="single" w:sz="4" w:space="4" w:color="auto"/>
        </w:pBdr>
        <w:shd w:val="clear" w:color="auto" w:fill="D9E2F3" w:themeFill="accent1" w:themeFillTint="33"/>
        <w:spacing w:line="276" w:lineRule="auto"/>
        <w:ind w:left="284" w:right="332"/>
        <w:contextualSpacing/>
        <w:jc w:val="both"/>
        <w:rPr>
          <w:rFonts w:ascii="Times New Roman" w:eastAsia="Times New Roman" w:hAnsi="Times New Roman" w:cs="Times New Roman"/>
          <w:bCs/>
          <w:sz w:val="20"/>
          <w:szCs w:val="20"/>
          <w:lang w:val="es-MX"/>
        </w:rPr>
      </w:pPr>
      <w:r w:rsidRPr="004A66F0">
        <w:rPr>
          <w:rFonts w:ascii="Times New Roman" w:eastAsia="Times New Roman" w:hAnsi="Times New Roman" w:cs="Times New Roman"/>
          <w:bCs/>
          <w:sz w:val="20"/>
          <w:szCs w:val="20"/>
          <w:lang w:val="es-MX"/>
        </w:rPr>
        <w:t>En este contexto, un tribunal arbitral determinó que la República de Guatemala debía pagar a la entidad Teco Guatemala Holdings LLC, la suma de US$64.7 millones (al 19 de octubre de 2022), por el incumplimiento de las normas jurídicas</w:t>
      </w:r>
      <w:r w:rsidR="00411615">
        <w:rPr>
          <w:rFonts w:ascii="Times New Roman" w:eastAsia="Times New Roman" w:hAnsi="Times New Roman" w:cs="Times New Roman"/>
          <w:bCs/>
          <w:sz w:val="20"/>
          <w:szCs w:val="20"/>
          <w:lang w:val="es-MX"/>
        </w:rPr>
        <w:t>,</w:t>
      </w:r>
      <w:r w:rsidRPr="004A66F0">
        <w:rPr>
          <w:rFonts w:ascii="Times New Roman" w:eastAsia="Times New Roman" w:hAnsi="Times New Roman" w:cs="Times New Roman"/>
          <w:bCs/>
          <w:sz w:val="20"/>
          <w:szCs w:val="20"/>
          <w:lang w:val="es-MX"/>
        </w:rPr>
        <w:t xml:space="preserve"> derivado del proceso de fijación de tarifas de distribución de energía eléctrica para el quinquenio 2008-2013 </w:t>
      </w:r>
      <w:r w:rsidR="00411615">
        <w:rPr>
          <w:rFonts w:ascii="Times New Roman" w:eastAsia="Times New Roman" w:hAnsi="Times New Roman" w:cs="Times New Roman"/>
          <w:bCs/>
          <w:sz w:val="20"/>
          <w:szCs w:val="20"/>
          <w:lang w:val="es-MX"/>
        </w:rPr>
        <w:t xml:space="preserve">realizado por </w:t>
      </w:r>
      <w:r w:rsidRPr="004A66F0">
        <w:rPr>
          <w:rFonts w:ascii="Times New Roman" w:eastAsia="Times New Roman" w:hAnsi="Times New Roman" w:cs="Times New Roman"/>
          <w:bCs/>
          <w:sz w:val="20"/>
          <w:szCs w:val="20"/>
          <w:lang w:val="es-MX"/>
        </w:rPr>
        <w:t>la Comisión Nacional de Energía Eléctrica.</w:t>
      </w:r>
    </w:p>
    <w:p w14:paraId="2A4519F8" w14:textId="77777777" w:rsidR="004A66F0" w:rsidRPr="004A66F0" w:rsidRDefault="004A66F0" w:rsidP="008D7BB4">
      <w:pPr>
        <w:pBdr>
          <w:top w:val="single" w:sz="4" w:space="0" w:color="auto"/>
          <w:left w:val="single" w:sz="4" w:space="4" w:color="auto"/>
          <w:bottom w:val="single" w:sz="4" w:space="1" w:color="auto"/>
          <w:right w:val="single" w:sz="4" w:space="4" w:color="auto"/>
        </w:pBdr>
        <w:shd w:val="clear" w:color="auto" w:fill="D9E2F3" w:themeFill="accent1" w:themeFillTint="33"/>
        <w:spacing w:line="276" w:lineRule="auto"/>
        <w:ind w:left="284" w:right="332"/>
        <w:contextualSpacing/>
        <w:jc w:val="both"/>
        <w:rPr>
          <w:rFonts w:ascii="Times New Roman" w:eastAsia="Times New Roman" w:hAnsi="Times New Roman" w:cs="Times New Roman"/>
          <w:bCs/>
          <w:sz w:val="20"/>
          <w:szCs w:val="20"/>
          <w:lang w:val="es-MX"/>
        </w:rPr>
      </w:pPr>
    </w:p>
    <w:p w14:paraId="38021410" w14:textId="77777777" w:rsidR="004A66F0" w:rsidRPr="004A66F0" w:rsidRDefault="004A66F0" w:rsidP="008D7BB4">
      <w:pPr>
        <w:pBdr>
          <w:top w:val="single" w:sz="4" w:space="0" w:color="auto"/>
          <w:left w:val="single" w:sz="4" w:space="4" w:color="auto"/>
          <w:bottom w:val="single" w:sz="4" w:space="1" w:color="auto"/>
          <w:right w:val="single" w:sz="4" w:space="4" w:color="auto"/>
        </w:pBdr>
        <w:shd w:val="clear" w:color="auto" w:fill="D9E2F3" w:themeFill="accent1" w:themeFillTint="33"/>
        <w:spacing w:line="276" w:lineRule="auto"/>
        <w:ind w:left="284" w:right="332"/>
        <w:contextualSpacing/>
        <w:jc w:val="both"/>
        <w:rPr>
          <w:rFonts w:ascii="Times New Roman" w:eastAsia="Times New Roman" w:hAnsi="Times New Roman" w:cs="Times New Roman"/>
          <w:bCs/>
          <w:sz w:val="20"/>
          <w:szCs w:val="20"/>
          <w:lang w:val="es-MX"/>
        </w:rPr>
      </w:pPr>
      <w:r w:rsidRPr="004A66F0">
        <w:rPr>
          <w:rFonts w:ascii="Times New Roman" w:eastAsia="Times New Roman" w:hAnsi="Times New Roman" w:cs="Times New Roman"/>
          <w:bCs/>
          <w:sz w:val="20"/>
          <w:szCs w:val="20"/>
          <w:lang w:val="es-MX"/>
        </w:rPr>
        <w:t xml:space="preserve">Derivado de esto, se determinó a través de análisis técnicos y jurídicos, la conveniencia a los intereses del Estado de finalizar el litigio por medio de una transacción y así evitar nuevas demandas internacionales y gastos legales adicionales, reduciendo la suma adeudada y prevenir procesos de ejecución en contra de Guatemala en jurisdicciones extranjeras. </w:t>
      </w:r>
    </w:p>
    <w:p w14:paraId="42C882E7" w14:textId="77777777" w:rsidR="004A66F0" w:rsidRPr="004A66F0" w:rsidRDefault="004A66F0" w:rsidP="008D7BB4">
      <w:pPr>
        <w:pBdr>
          <w:top w:val="single" w:sz="4" w:space="0" w:color="auto"/>
          <w:left w:val="single" w:sz="4" w:space="4" w:color="auto"/>
          <w:bottom w:val="single" w:sz="4" w:space="1" w:color="auto"/>
          <w:right w:val="single" w:sz="4" w:space="4" w:color="auto"/>
        </w:pBdr>
        <w:shd w:val="clear" w:color="auto" w:fill="D9E2F3" w:themeFill="accent1" w:themeFillTint="33"/>
        <w:spacing w:line="276" w:lineRule="auto"/>
        <w:ind w:left="284" w:right="332"/>
        <w:contextualSpacing/>
        <w:jc w:val="both"/>
        <w:rPr>
          <w:rFonts w:ascii="Times New Roman" w:eastAsia="Times New Roman" w:hAnsi="Times New Roman" w:cs="Times New Roman"/>
          <w:bCs/>
          <w:sz w:val="20"/>
          <w:szCs w:val="20"/>
          <w:lang w:val="es-MX"/>
        </w:rPr>
      </w:pPr>
    </w:p>
    <w:p w14:paraId="2152B0A3" w14:textId="56FCFAB9" w:rsidR="004A66F0" w:rsidRPr="004A66F0" w:rsidRDefault="004A66F0" w:rsidP="008D7BB4">
      <w:pPr>
        <w:pBdr>
          <w:top w:val="single" w:sz="4" w:space="0" w:color="auto"/>
          <w:left w:val="single" w:sz="4" w:space="4" w:color="auto"/>
          <w:bottom w:val="single" w:sz="4" w:space="1" w:color="auto"/>
          <w:right w:val="single" w:sz="4" w:space="4" w:color="auto"/>
        </w:pBdr>
        <w:shd w:val="clear" w:color="auto" w:fill="D9E2F3" w:themeFill="accent1" w:themeFillTint="33"/>
        <w:spacing w:line="276" w:lineRule="auto"/>
        <w:ind w:left="284" w:right="332"/>
        <w:contextualSpacing/>
        <w:jc w:val="both"/>
        <w:rPr>
          <w:rFonts w:ascii="Times New Roman" w:eastAsia="Times New Roman" w:hAnsi="Times New Roman" w:cs="Times New Roman"/>
          <w:bCs/>
          <w:sz w:val="20"/>
          <w:szCs w:val="20"/>
          <w:lang w:val="es-MX"/>
        </w:rPr>
      </w:pPr>
      <w:r w:rsidRPr="004A66F0">
        <w:rPr>
          <w:rFonts w:ascii="Times New Roman" w:eastAsia="Times New Roman" w:hAnsi="Times New Roman" w:cs="Times New Roman"/>
          <w:bCs/>
          <w:sz w:val="20"/>
          <w:szCs w:val="20"/>
          <w:lang w:val="es-MX"/>
        </w:rPr>
        <w:t>Por medio del Acuerdo Gubernativo 282-2022, Guatemala</w:t>
      </w:r>
      <w:r w:rsidR="00411615">
        <w:rPr>
          <w:rFonts w:ascii="Times New Roman" w:eastAsia="Times New Roman" w:hAnsi="Times New Roman" w:cs="Times New Roman"/>
          <w:bCs/>
          <w:sz w:val="20"/>
          <w:szCs w:val="20"/>
          <w:lang w:val="es-MX"/>
        </w:rPr>
        <w:t>,</w:t>
      </w:r>
      <w:r w:rsidRPr="004A66F0">
        <w:rPr>
          <w:rFonts w:ascii="Times New Roman" w:eastAsia="Times New Roman" w:hAnsi="Times New Roman" w:cs="Times New Roman"/>
          <w:bCs/>
          <w:sz w:val="20"/>
          <w:szCs w:val="20"/>
          <w:lang w:val="es-MX"/>
        </w:rPr>
        <w:t xml:space="preserve"> por </w:t>
      </w:r>
      <w:r w:rsidR="00411615">
        <w:rPr>
          <w:rFonts w:ascii="Times New Roman" w:eastAsia="Times New Roman" w:hAnsi="Times New Roman" w:cs="Times New Roman"/>
          <w:bCs/>
          <w:sz w:val="20"/>
          <w:szCs w:val="20"/>
          <w:lang w:val="es-MX"/>
        </w:rPr>
        <w:t>conducto</w:t>
      </w:r>
      <w:r w:rsidR="00411615" w:rsidRPr="004A66F0">
        <w:rPr>
          <w:rFonts w:ascii="Times New Roman" w:eastAsia="Times New Roman" w:hAnsi="Times New Roman" w:cs="Times New Roman"/>
          <w:bCs/>
          <w:sz w:val="20"/>
          <w:szCs w:val="20"/>
          <w:lang w:val="es-MX"/>
        </w:rPr>
        <w:t xml:space="preserve"> </w:t>
      </w:r>
      <w:r w:rsidRPr="004A66F0">
        <w:rPr>
          <w:rFonts w:ascii="Times New Roman" w:eastAsia="Times New Roman" w:hAnsi="Times New Roman" w:cs="Times New Roman"/>
          <w:bCs/>
          <w:sz w:val="20"/>
          <w:szCs w:val="20"/>
          <w:lang w:val="es-MX"/>
        </w:rPr>
        <w:t xml:space="preserve">del Ministerio de Economía </w:t>
      </w:r>
      <w:r w:rsidR="00411615">
        <w:rPr>
          <w:rFonts w:ascii="Times New Roman" w:eastAsia="Times New Roman" w:hAnsi="Times New Roman" w:cs="Times New Roman"/>
          <w:bCs/>
          <w:sz w:val="20"/>
          <w:szCs w:val="20"/>
          <w:lang w:val="es-MX"/>
        </w:rPr>
        <w:t xml:space="preserve">realizó </w:t>
      </w:r>
      <w:r w:rsidR="00411615" w:rsidRPr="004A66F0">
        <w:rPr>
          <w:rFonts w:ascii="Times New Roman" w:eastAsia="Times New Roman" w:hAnsi="Times New Roman" w:cs="Times New Roman"/>
          <w:bCs/>
          <w:sz w:val="20"/>
          <w:szCs w:val="20"/>
          <w:lang w:val="es-MX"/>
        </w:rPr>
        <w:t xml:space="preserve">un proceso de negociación </w:t>
      </w:r>
      <w:r w:rsidR="00411615">
        <w:rPr>
          <w:rFonts w:ascii="Times New Roman" w:eastAsia="Times New Roman" w:hAnsi="Times New Roman" w:cs="Times New Roman"/>
          <w:bCs/>
          <w:sz w:val="20"/>
          <w:szCs w:val="20"/>
          <w:lang w:val="es-MX"/>
        </w:rPr>
        <w:t>con</w:t>
      </w:r>
      <w:r w:rsidRPr="004A66F0">
        <w:rPr>
          <w:rFonts w:ascii="Times New Roman" w:eastAsia="Times New Roman" w:hAnsi="Times New Roman" w:cs="Times New Roman"/>
          <w:bCs/>
          <w:sz w:val="20"/>
          <w:szCs w:val="20"/>
          <w:lang w:val="es-MX"/>
        </w:rPr>
        <w:t xml:space="preserve"> Teco Guatemala Holdings LLC, </w:t>
      </w:r>
      <w:r w:rsidR="00411615">
        <w:rPr>
          <w:rFonts w:ascii="Times New Roman" w:eastAsia="Times New Roman" w:hAnsi="Times New Roman" w:cs="Times New Roman"/>
          <w:bCs/>
          <w:sz w:val="20"/>
          <w:szCs w:val="20"/>
          <w:lang w:val="es-MX"/>
        </w:rPr>
        <w:t>acordando</w:t>
      </w:r>
      <w:r w:rsidRPr="004A66F0">
        <w:rPr>
          <w:rFonts w:ascii="Times New Roman" w:eastAsia="Times New Roman" w:hAnsi="Times New Roman" w:cs="Times New Roman"/>
          <w:bCs/>
          <w:sz w:val="20"/>
          <w:szCs w:val="20"/>
          <w:lang w:val="es-MX"/>
        </w:rPr>
        <w:t xml:space="preserve"> las bases para </w:t>
      </w:r>
      <w:r w:rsidR="00411615">
        <w:rPr>
          <w:rFonts w:ascii="Times New Roman" w:eastAsia="Times New Roman" w:hAnsi="Times New Roman" w:cs="Times New Roman"/>
          <w:bCs/>
          <w:sz w:val="20"/>
          <w:szCs w:val="20"/>
          <w:lang w:val="es-MX"/>
        </w:rPr>
        <w:t>cerrar</w:t>
      </w:r>
      <w:r w:rsidR="00411615" w:rsidRPr="004A66F0">
        <w:rPr>
          <w:rFonts w:ascii="Times New Roman" w:eastAsia="Times New Roman" w:hAnsi="Times New Roman" w:cs="Times New Roman"/>
          <w:bCs/>
          <w:sz w:val="20"/>
          <w:szCs w:val="20"/>
          <w:lang w:val="es-MX"/>
        </w:rPr>
        <w:t xml:space="preserve"> </w:t>
      </w:r>
      <w:r w:rsidRPr="004A66F0">
        <w:rPr>
          <w:rFonts w:ascii="Times New Roman" w:eastAsia="Times New Roman" w:hAnsi="Times New Roman" w:cs="Times New Roman"/>
          <w:bCs/>
          <w:sz w:val="20"/>
          <w:szCs w:val="20"/>
          <w:lang w:val="es-MX"/>
        </w:rPr>
        <w:t xml:space="preserve">la controversia internacional, otorgándose concesiones recíprocas. </w:t>
      </w:r>
    </w:p>
    <w:p w14:paraId="7C4F1316" w14:textId="77777777" w:rsidR="004A66F0" w:rsidRPr="004A66F0" w:rsidRDefault="004A66F0" w:rsidP="008D7BB4">
      <w:pPr>
        <w:pBdr>
          <w:top w:val="single" w:sz="4" w:space="0" w:color="auto"/>
          <w:left w:val="single" w:sz="4" w:space="4" w:color="auto"/>
          <w:bottom w:val="single" w:sz="4" w:space="1" w:color="auto"/>
          <w:right w:val="single" w:sz="4" w:space="4" w:color="auto"/>
        </w:pBdr>
        <w:shd w:val="clear" w:color="auto" w:fill="D9E2F3" w:themeFill="accent1" w:themeFillTint="33"/>
        <w:spacing w:line="276" w:lineRule="auto"/>
        <w:ind w:left="284" w:right="332"/>
        <w:contextualSpacing/>
        <w:rPr>
          <w:rFonts w:ascii="Times New Roman" w:eastAsia="Times New Roman" w:hAnsi="Times New Roman" w:cs="Times New Roman"/>
          <w:bCs/>
          <w:sz w:val="20"/>
          <w:szCs w:val="20"/>
          <w:lang w:val="es-MX"/>
        </w:rPr>
      </w:pPr>
    </w:p>
    <w:p w14:paraId="009C23D7" w14:textId="6E2B0AAE" w:rsidR="004A66F0" w:rsidRPr="004A66F0" w:rsidRDefault="004A66F0" w:rsidP="008D7BB4">
      <w:pPr>
        <w:pBdr>
          <w:top w:val="single" w:sz="4" w:space="0" w:color="auto"/>
          <w:left w:val="single" w:sz="4" w:space="4" w:color="auto"/>
          <w:bottom w:val="single" w:sz="4" w:space="1" w:color="auto"/>
          <w:right w:val="single" w:sz="4" w:space="4" w:color="auto"/>
        </w:pBdr>
        <w:shd w:val="clear" w:color="auto" w:fill="D9E2F3" w:themeFill="accent1" w:themeFillTint="33"/>
        <w:spacing w:line="276" w:lineRule="auto"/>
        <w:ind w:left="284" w:right="332"/>
        <w:contextualSpacing/>
        <w:rPr>
          <w:rFonts w:ascii="Times New Roman" w:eastAsia="Times New Roman" w:hAnsi="Times New Roman" w:cs="Times New Roman"/>
          <w:bCs/>
          <w:sz w:val="20"/>
          <w:szCs w:val="20"/>
          <w:lang w:val="es-MX"/>
        </w:rPr>
      </w:pPr>
      <w:r w:rsidRPr="004A66F0">
        <w:rPr>
          <w:rFonts w:ascii="Times New Roman" w:eastAsia="Times New Roman" w:hAnsi="Times New Roman" w:cs="Times New Roman"/>
          <w:bCs/>
          <w:sz w:val="20"/>
          <w:szCs w:val="20"/>
          <w:lang w:val="es-MX"/>
        </w:rPr>
        <w:t>En las bases de la transacción se dispuso que Teco otorgara una reducción de US$18.7 millones a favor de Guatemala del monto indemnizatorio por el caso CIADI No. ARB/10/23. Asimismo, Teco aceptaría de forma expresa e irrevocable que el monto que Guatemala debía pagar a su favor e</w:t>
      </w:r>
      <w:r w:rsidR="00411615">
        <w:rPr>
          <w:rFonts w:ascii="Times New Roman" w:eastAsia="Times New Roman" w:hAnsi="Times New Roman" w:cs="Times New Roman"/>
          <w:bCs/>
          <w:sz w:val="20"/>
          <w:szCs w:val="20"/>
          <w:lang w:val="es-MX"/>
        </w:rPr>
        <w:t>ra</w:t>
      </w:r>
      <w:r w:rsidRPr="004A66F0">
        <w:rPr>
          <w:rFonts w:ascii="Times New Roman" w:eastAsia="Times New Roman" w:hAnsi="Times New Roman" w:cs="Times New Roman"/>
          <w:bCs/>
          <w:sz w:val="20"/>
          <w:szCs w:val="20"/>
          <w:lang w:val="es-MX"/>
        </w:rPr>
        <w:t xml:space="preserve"> de US$46.0 millones.</w:t>
      </w:r>
    </w:p>
    <w:p w14:paraId="01179180" w14:textId="77777777" w:rsidR="004A66F0" w:rsidRPr="004A66F0" w:rsidRDefault="004A66F0" w:rsidP="008D7BB4">
      <w:pPr>
        <w:pBdr>
          <w:top w:val="single" w:sz="4" w:space="0" w:color="auto"/>
          <w:left w:val="single" w:sz="4" w:space="4" w:color="auto"/>
          <w:bottom w:val="single" w:sz="4" w:space="1" w:color="auto"/>
          <w:right w:val="single" w:sz="4" w:space="4" w:color="auto"/>
        </w:pBdr>
        <w:shd w:val="clear" w:color="auto" w:fill="D9E2F3" w:themeFill="accent1" w:themeFillTint="33"/>
        <w:spacing w:line="276" w:lineRule="auto"/>
        <w:ind w:left="284" w:right="332"/>
        <w:contextualSpacing/>
        <w:rPr>
          <w:rFonts w:ascii="Times New Roman" w:eastAsia="Times New Roman" w:hAnsi="Times New Roman" w:cs="Times New Roman"/>
          <w:bCs/>
          <w:sz w:val="20"/>
          <w:szCs w:val="20"/>
          <w:lang w:val="es-MX"/>
        </w:rPr>
      </w:pPr>
    </w:p>
    <w:p w14:paraId="00359D4B" w14:textId="77777777" w:rsidR="004A66F0" w:rsidRPr="004A66F0" w:rsidRDefault="004A66F0" w:rsidP="008D7BB4">
      <w:pPr>
        <w:pBdr>
          <w:top w:val="single" w:sz="4" w:space="0" w:color="auto"/>
          <w:left w:val="single" w:sz="4" w:space="4" w:color="auto"/>
          <w:bottom w:val="single" w:sz="4" w:space="1" w:color="auto"/>
          <w:right w:val="single" w:sz="4" w:space="4" w:color="auto"/>
        </w:pBdr>
        <w:shd w:val="clear" w:color="auto" w:fill="D9E2F3" w:themeFill="accent1" w:themeFillTint="33"/>
        <w:spacing w:line="276" w:lineRule="auto"/>
        <w:ind w:left="284" w:right="332"/>
        <w:contextualSpacing/>
        <w:jc w:val="both"/>
        <w:rPr>
          <w:rFonts w:ascii="Times New Roman" w:eastAsia="Times New Roman" w:hAnsi="Times New Roman" w:cs="Times New Roman"/>
          <w:bCs/>
          <w:sz w:val="20"/>
          <w:szCs w:val="20"/>
          <w:lang w:val="es-MX"/>
        </w:rPr>
      </w:pPr>
      <w:r w:rsidRPr="004A66F0">
        <w:rPr>
          <w:rFonts w:ascii="Times New Roman" w:eastAsia="Times New Roman" w:hAnsi="Times New Roman" w:cs="Times New Roman"/>
          <w:bCs/>
          <w:sz w:val="20"/>
          <w:szCs w:val="20"/>
          <w:lang w:val="es-MX"/>
        </w:rPr>
        <w:t>Una vez realizado el pago por US$46 millones, Teco renunciaría a cualquier pretensión, reclamo, potencial reclamo, demanda, derecho u acción de cualquier naturaleza ante foro judicial, extrajudicial, arbitral, o de otra naturaleza a nivel nacional o internacional en contra de Guatemala.</w:t>
      </w:r>
    </w:p>
    <w:p w14:paraId="23DFF14B" w14:textId="77777777" w:rsidR="004A66F0" w:rsidRPr="004A66F0" w:rsidRDefault="004A66F0" w:rsidP="008D7BB4">
      <w:pPr>
        <w:pBdr>
          <w:top w:val="single" w:sz="4" w:space="0" w:color="auto"/>
          <w:left w:val="single" w:sz="4" w:space="4" w:color="auto"/>
          <w:bottom w:val="single" w:sz="4" w:space="1" w:color="auto"/>
          <w:right w:val="single" w:sz="4" w:space="4" w:color="auto"/>
        </w:pBdr>
        <w:shd w:val="clear" w:color="auto" w:fill="D9E2F3" w:themeFill="accent1" w:themeFillTint="33"/>
        <w:spacing w:line="276" w:lineRule="auto"/>
        <w:ind w:left="284" w:right="332"/>
        <w:contextualSpacing/>
        <w:rPr>
          <w:rFonts w:ascii="Times New Roman" w:eastAsia="Times New Roman" w:hAnsi="Times New Roman" w:cs="Times New Roman"/>
          <w:bCs/>
          <w:sz w:val="20"/>
          <w:szCs w:val="20"/>
          <w:lang w:val="es-MX"/>
        </w:rPr>
      </w:pPr>
    </w:p>
    <w:p w14:paraId="6138876F" w14:textId="6D28E608" w:rsidR="004A66F0" w:rsidRPr="004A66F0" w:rsidRDefault="004A66F0" w:rsidP="00411615">
      <w:pPr>
        <w:pBdr>
          <w:top w:val="single" w:sz="4" w:space="0" w:color="auto"/>
          <w:left w:val="single" w:sz="4" w:space="4" w:color="auto"/>
          <w:bottom w:val="single" w:sz="4" w:space="1" w:color="auto"/>
          <w:right w:val="single" w:sz="4" w:space="4" w:color="auto"/>
        </w:pBdr>
        <w:shd w:val="clear" w:color="auto" w:fill="D9E2F3" w:themeFill="accent1" w:themeFillTint="33"/>
        <w:spacing w:line="276" w:lineRule="auto"/>
        <w:ind w:left="284" w:right="332"/>
        <w:contextualSpacing/>
        <w:jc w:val="both"/>
        <w:rPr>
          <w:rFonts w:ascii="Times New Roman" w:eastAsia="Times New Roman" w:hAnsi="Times New Roman" w:cs="Times New Roman"/>
          <w:bCs/>
          <w:sz w:val="20"/>
          <w:szCs w:val="20"/>
          <w:lang w:val="es-MX"/>
        </w:rPr>
      </w:pPr>
      <w:r w:rsidRPr="004A66F0">
        <w:rPr>
          <w:rFonts w:ascii="Times New Roman" w:eastAsia="Times New Roman" w:hAnsi="Times New Roman" w:cs="Times New Roman"/>
          <w:bCs/>
          <w:sz w:val="20"/>
          <w:szCs w:val="20"/>
          <w:lang w:val="es-MX"/>
        </w:rPr>
        <w:t xml:space="preserve">En virtud de lo anterior, el Estado de Guatemala pagó a favor de Teco la suma de US$46 millones, para satisfacer absoluta y definitivamente el laudo </w:t>
      </w:r>
      <w:r w:rsidR="00411615">
        <w:rPr>
          <w:rFonts w:ascii="Times New Roman" w:eastAsia="Times New Roman" w:hAnsi="Times New Roman" w:cs="Times New Roman"/>
          <w:bCs/>
          <w:sz w:val="20"/>
          <w:szCs w:val="20"/>
          <w:lang w:val="es-MX"/>
        </w:rPr>
        <w:t xml:space="preserve">denominado </w:t>
      </w:r>
      <w:r w:rsidRPr="004A66F0">
        <w:rPr>
          <w:rFonts w:ascii="Times New Roman" w:eastAsia="Times New Roman" w:hAnsi="Times New Roman" w:cs="Times New Roman"/>
          <w:bCs/>
          <w:sz w:val="20"/>
          <w:szCs w:val="20"/>
          <w:lang w:val="es-MX"/>
        </w:rPr>
        <w:t>nueva sumisión y la decisión suplementaria del arbitraje Teco Guatemala Holdings LLC contra la República de Guatemala, Caso CIADI No.</w:t>
      </w:r>
    </w:p>
    <w:p w14:paraId="50B0867D" w14:textId="77777777" w:rsidR="004A66F0" w:rsidRPr="004A66F0" w:rsidRDefault="004A66F0" w:rsidP="00411615">
      <w:pPr>
        <w:pBdr>
          <w:top w:val="single" w:sz="4" w:space="0" w:color="auto"/>
          <w:left w:val="single" w:sz="4" w:space="4" w:color="auto"/>
          <w:bottom w:val="single" w:sz="4" w:space="1" w:color="auto"/>
          <w:right w:val="single" w:sz="4" w:space="4" w:color="auto"/>
        </w:pBdr>
        <w:shd w:val="clear" w:color="auto" w:fill="D9E2F3" w:themeFill="accent1" w:themeFillTint="33"/>
        <w:spacing w:line="276" w:lineRule="auto"/>
        <w:ind w:left="284" w:right="332"/>
        <w:contextualSpacing/>
        <w:jc w:val="both"/>
        <w:rPr>
          <w:rFonts w:ascii="Times New Roman" w:eastAsia="Times New Roman" w:hAnsi="Times New Roman" w:cs="Times New Roman"/>
          <w:bCs/>
          <w:sz w:val="20"/>
          <w:szCs w:val="20"/>
          <w:lang w:val="es-MX"/>
        </w:rPr>
      </w:pPr>
      <w:r w:rsidRPr="004A66F0">
        <w:rPr>
          <w:rFonts w:ascii="Times New Roman" w:eastAsia="Times New Roman" w:hAnsi="Times New Roman" w:cs="Times New Roman"/>
          <w:bCs/>
          <w:sz w:val="20"/>
          <w:szCs w:val="20"/>
          <w:lang w:val="es-MX"/>
        </w:rPr>
        <w:t xml:space="preserve">ARB/10/23. </w:t>
      </w:r>
    </w:p>
    <w:p w14:paraId="1F244919" w14:textId="77777777" w:rsidR="004A66F0" w:rsidRPr="004A66F0" w:rsidRDefault="004A66F0" w:rsidP="008D7BB4">
      <w:pPr>
        <w:pBdr>
          <w:top w:val="single" w:sz="4" w:space="0" w:color="auto"/>
          <w:left w:val="single" w:sz="4" w:space="4" w:color="auto"/>
          <w:bottom w:val="single" w:sz="4" w:space="1" w:color="auto"/>
          <w:right w:val="single" w:sz="4" w:space="4" w:color="auto"/>
        </w:pBdr>
        <w:shd w:val="clear" w:color="auto" w:fill="D9E2F3" w:themeFill="accent1" w:themeFillTint="33"/>
        <w:spacing w:line="276" w:lineRule="auto"/>
        <w:ind w:left="284" w:right="332"/>
        <w:contextualSpacing/>
        <w:rPr>
          <w:rFonts w:ascii="Times New Roman" w:eastAsia="Times New Roman" w:hAnsi="Times New Roman" w:cs="Times New Roman"/>
          <w:bCs/>
          <w:sz w:val="20"/>
          <w:szCs w:val="20"/>
          <w:lang w:val="es-MX"/>
        </w:rPr>
      </w:pPr>
    </w:p>
    <w:p w14:paraId="4E14F5D5" w14:textId="77777777" w:rsidR="004A66F0" w:rsidRPr="004A66F0" w:rsidRDefault="004A66F0" w:rsidP="008D7BB4">
      <w:pPr>
        <w:pBdr>
          <w:top w:val="single" w:sz="4" w:space="0" w:color="auto"/>
          <w:left w:val="single" w:sz="4" w:space="4" w:color="auto"/>
          <w:bottom w:val="single" w:sz="4" w:space="1" w:color="auto"/>
          <w:right w:val="single" w:sz="4" w:space="4" w:color="auto"/>
        </w:pBdr>
        <w:shd w:val="clear" w:color="auto" w:fill="D9E2F3" w:themeFill="accent1" w:themeFillTint="33"/>
        <w:spacing w:line="276" w:lineRule="auto"/>
        <w:ind w:left="284" w:right="332"/>
        <w:contextualSpacing/>
        <w:rPr>
          <w:rFonts w:ascii="Times New Roman" w:eastAsia="Times New Roman" w:hAnsi="Times New Roman" w:cs="Times New Roman"/>
          <w:b/>
          <w:sz w:val="20"/>
          <w:szCs w:val="20"/>
          <w:lang w:val="es-MX"/>
        </w:rPr>
      </w:pPr>
      <w:r w:rsidRPr="004A66F0">
        <w:rPr>
          <w:rFonts w:ascii="Times New Roman" w:eastAsia="Times New Roman" w:hAnsi="Times New Roman" w:cs="Times New Roman"/>
          <w:bCs/>
          <w:sz w:val="20"/>
          <w:szCs w:val="20"/>
          <w:lang w:val="es-MX"/>
        </w:rPr>
        <w:t>El pago se realizó por medio del Viceministerio de Integración y Comercio Exterior del Ministerio de Economía, reglón 913 sentencias judiciales, siendo financiado con las fuentes de financiamiento disponibles, fue un solo pago, mediante transferencia a la cuenta bancaria designada por Teco, con fecha límite del 22 de diciembre 2022.</w:t>
      </w:r>
    </w:p>
    <w:p w14:paraId="4792F274" w14:textId="77777777" w:rsidR="00411615" w:rsidRDefault="00411615" w:rsidP="008D7BB4">
      <w:pPr>
        <w:spacing w:line="276" w:lineRule="auto"/>
        <w:contextualSpacing/>
        <w:jc w:val="both"/>
        <w:rPr>
          <w:rFonts w:ascii="Times New Roman" w:eastAsia="Times New Roman" w:hAnsi="Times New Roman" w:cs="Times New Roman"/>
          <w:sz w:val="22"/>
          <w:szCs w:val="22"/>
          <w:lang w:val="es-MX"/>
        </w:rPr>
      </w:pPr>
    </w:p>
    <w:p w14:paraId="1D94258C" w14:textId="77777777" w:rsidR="004A66F0" w:rsidRPr="004A66F0" w:rsidRDefault="004A66F0" w:rsidP="008D7BB4">
      <w:pPr>
        <w:spacing w:line="276" w:lineRule="auto"/>
        <w:contextualSpacing/>
        <w:jc w:val="both"/>
        <w:rPr>
          <w:rFonts w:ascii="Times New Roman" w:eastAsia="Times New Roman" w:hAnsi="Times New Roman" w:cs="Times New Roman"/>
          <w:sz w:val="22"/>
          <w:szCs w:val="22"/>
          <w:lang w:val="es-MX"/>
        </w:rPr>
      </w:pPr>
    </w:p>
    <w:p w14:paraId="2A2513E8" w14:textId="77777777" w:rsidR="004A66F0" w:rsidRPr="004A66F0" w:rsidRDefault="004A66F0" w:rsidP="008D7BB4">
      <w:pPr>
        <w:spacing w:line="276" w:lineRule="auto"/>
        <w:contextualSpacing/>
        <w:jc w:val="both"/>
        <w:rPr>
          <w:rFonts w:ascii="Times New Roman" w:eastAsia="Times New Roman" w:hAnsi="Times New Roman" w:cs="Times New Roman"/>
          <w:sz w:val="22"/>
          <w:szCs w:val="22"/>
          <w:lang w:val="es-MX"/>
        </w:rPr>
      </w:pPr>
    </w:p>
    <w:p w14:paraId="6B797801" w14:textId="3B8412B7" w:rsidR="004A66F0" w:rsidRPr="004A66F0" w:rsidRDefault="004A66F0" w:rsidP="008D7BB4">
      <w:pPr>
        <w:spacing w:line="276" w:lineRule="auto"/>
        <w:contextualSpacing/>
        <w:jc w:val="both"/>
        <w:rPr>
          <w:rFonts w:ascii="Times New Roman" w:eastAsia="Times New Roman" w:hAnsi="Times New Roman" w:cs="Times New Roman"/>
          <w:sz w:val="22"/>
          <w:szCs w:val="22"/>
          <w:lang w:val="es-MX"/>
        </w:rPr>
      </w:pPr>
      <w:r w:rsidRPr="004A66F0">
        <w:rPr>
          <w:rFonts w:ascii="Times New Roman" w:eastAsia="Times New Roman" w:hAnsi="Times New Roman" w:cs="Times New Roman"/>
          <w:sz w:val="22"/>
          <w:szCs w:val="22"/>
          <w:lang w:val="es-MX"/>
        </w:rPr>
        <w:lastRenderedPageBreak/>
        <w:t>A</w:t>
      </w:r>
      <w:r w:rsidR="001638B7">
        <w:rPr>
          <w:rFonts w:ascii="Times New Roman" w:eastAsia="Times New Roman" w:hAnsi="Times New Roman" w:cs="Times New Roman"/>
          <w:sz w:val="22"/>
          <w:szCs w:val="22"/>
          <w:lang w:val="es-MX"/>
        </w:rPr>
        <w:t>dicionalmente</w:t>
      </w:r>
      <w:r w:rsidRPr="004A66F0">
        <w:rPr>
          <w:rFonts w:ascii="Times New Roman" w:eastAsia="Times New Roman" w:hAnsi="Times New Roman" w:cs="Times New Roman"/>
          <w:sz w:val="22"/>
          <w:szCs w:val="22"/>
          <w:lang w:val="es-MX"/>
        </w:rPr>
        <w:t>, se otorgó un bono de profesionalización que estuvo vigente desde el 01 de enero del 2022 por un monto mensual de Q700 para los docentes que se graduaron como profesores del Programa Académico de Desarrollo Profesional y Docente de Educación Física, siendo este bono otorgado también a los profesores egresados de la Formación Inicial Docente (FID).</w:t>
      </w:r>
    </w:p>
    <w:p w14:paraId="2DFDBE91" w14:textId="77777777" w:rsidR="004A66F0" w:rsidRPr="004A66F0" w:rsidRDefault="004A66F0" w:rsidP="008D7BB4">
      <w:pPr>
        <w:spacing w:line="276" w:lineRule="auto"/>
        <w:contextualSpacing/>
        <w:jc w:val="both"/>
        <w:rPr>
          <w:rFonts w:ascii="Times New Roman" w:eastAsia="Times New Roman" w:hAnsi="Times New Roman" w:cs="Times New Roman"/>
          <w:sz w:val="22"/>
          <w:szCs w:val="22"/>
          <w:highlight w:val="yellow"/>
          <w:lang w:val="es-MX"/>
        </w:rPr>
      </w:pPr>
    </w:p>
    <w:p w14:paraId="7A84926B" w14:textId="77777777" w:rsidR="004A66F0" w:rsidRPr="004A66F0" w:rsidRDefault="004A66F0" w:rsidP="008D7BB4">
      <w:pPr>
        <w:spacing w:line="276" w:lineRule="auto"/>
        <w:contextualSpacing/>
        <w:jc w:val="both"/>
        <w:rPr>
          <w:rFonts w:ascii="Times New Roman" w:eastAsia="Times New Roman" w:hAnsi="Times New Roman" w:cs="Times New Roman"/>
          <w:sz w:val="22"/>
          <w:szCs w:val="22"/>
          <w:lang w:val="es-MX"/>
        </w:rPr>
      </w:pPr>
      <w:r w:rsidRPr="004A66F0">
        <w:rPr>
          <w:rFonts w:ascii="Times New Roman" w:eastAsia="Times New Roman" w:hAnsi="Times New Roman" w:cs="Times New Roman"/>
          <w:sz w:val="22"/>
          <w:szCs w:val="22"/>
          <w:lang w:val="es-MX"/>
        </w:rPr>
        <w:t>En lo que respecta a la inversión real directa, tuvo un crecimiento de 23.9% (equivalente a Q888.3 millones), siendo la entidad que más aporta a este aumento el Ministerio de Salud Pública y Asistencia Social por construcciones de hospitales y centros de salud, seguido de mobiliario y equipo médico-sanitario y de laboratorio. Asimismo, el Ministerio de Defensa Nacional realizó compras de maquinaria y equipos (puentes con especificaciones militares) que contribuyeron a la inversión y el Ministerio de Educación realizó compras de equipo de cómputo.</w:t>
      </w:r>
    </w:p>
    <w:p w14:paraId="4AF21998" w14:textId="77777777" w:rsidR="004A66F0" w:rsidRPr="004A66F0" w:rsidRDefault="004A66F0" w:rsidP="008D7BB4">
      <w:pPr>
        <w:spacing w:line="276" w:lineRule="auto"/>
        <w:contextualSpacing/>
        <w:jc w:val="both"/>
        <w:rPr>
          <w:rFonts w:ascii="Times New Roman" w:eastAsia="Times New Roman" w:hAnsi="Times New Roman" w:cs="Times New Roman"/>
          <w:sz w:val="22"/>
          <w:szCs w:val="22"/>
          <w:lang w:val="es-MX"/>
        </w:rPr>
      </w:pPr>
    </w:p>
    <w:p w14:paraId="44CCA679" w14:textId="4181A3CF" w:rsidR="004A66F0" w:rsidRPr="004A66F0" w:rsidRDefault="004A66F0" w:rsidP="008D7BB4">
      <w:pPr>
        <w:spacing w:line="276" w:lineRule="auto"/>
        <w:contextualSpacing/>
        <w:jc w:val="both"/>
        <w:rPr>
          <w:rFonts w:ascii="Times New Roman" w:eastAsia="Times New Roman" w:hAnsi="Times New Roman" w:cs="Times New Roman"/>
          <w:sz w:val="22"/>
          <w:szCs w:val="22"/>
          <w:lang w:val="es-MX"/>
        </w:rPr>
      </w:pPr>
      <w:r w:rsidRPr="004A66F0">
        <w:rPr>
          <w:rFonts w:ascii="Times New Roman" w:eastAsia="Times New Roman" w:hAnsi="Times New Roman" w:cs="Times New Roman"/>
          <w:sz w:val="22"/>
          <w:szCs w:val="22"/>
          <w:lang w:val="es-MX"/>
        </w:rPr>
        <w:t xml:space="preserve">Por su parte, el Ministerio de Comunicaciones, Infraestructura y Vivienda reportó una contracción de 0.4%. En marzo fue aprobado el Decreto número 21-2022, “Ley </w:t>
      </w:r>
      <w:r w:rsidRPr="00323AC8">
        <w:rPr>
          <w:rFonts w:ascii="Times New Roman" w:eastAsia="Times New Roman" w:hAnsi="Times New Roman" w:cs="Times New Roman"/>
          <w:sz w:val="22"/>
          <w:szCs w:val="22"/>
          <w:lang w:val="es-MX"/>
        </w:rPr>
        <w:t xml:space="preserve">para fortalecer el Mantenimiento y Construcción de Infraestructura Estratégica”, siendo el objeto </w:t>
      </w:r>
      <w:r w:rsidR="00323AC8" w:rsidRPr="00323AC8">
        <w:rPr>
          <w:rFonts w:ascii="Times New Roman" w:eastAsia="Times New Roman" w:hAnsi="Times New Roman" w:cs="Times New Roman"/>
          <w:sz w:val="22"/>
          <w:szCs w:val="22"/>
          <w:lang w:val="es-MX"/>
        </w:rPr>
        <w:t>apoyar</w:t>
      </w:r>
      <w:r w:rsidRPr="00323AC8">
        <w:rPr>
          <w:rFonts w:ascii="Times New Roman" w:eastAsia="Times New Roman" w:hAnsi="Times New Roman" w:cs="Times New Roman"/>
          <w:sz w:val="22"/>
          <w:szCs w:val="22"/>
          <w:lang w:val="es-MX"/>
        </w:rPr>
        <w:t xml:space="preserve"> el mantenimiento y construcción de infraestructura estratégica, así como la recuperación de</w:t>
      </w:r>
      <w:r w:rsidRPr="004A66F0">
        <w:rPr>
          <w:rFonts w:ascii="Times New Roman" w:eastAsia="Times New Roman" w:hAnsi="Times New Roman" w:cs="Times New Roman"/>
          <w:sz w:val="22"/>
          <w:szCs w:val="22"/>
          <w:lang w:val="es-MX"/>
        </w:rPr>
        <w:t xml:space="preserve"> la red vial, como un mecanismo de reactivación económica y generación de empleo. En junio, ante la necesidad de reorientar recursos, el Decreto número 21-2022 </w:t>
      </w:r>
      <w:r w:rsidR="001638B7">
        <w:rPr>
          <w:rFonts w:ascii="Times New Roman" w:eastAsia="Times New Roman" w:hAnsi="Times New Roman" w:cs="Times New Roman"/>
          <w:sz w:val="22"/>
          <w:szCs w:val="22"/>
          <w:lang w:val="es-MX"/>
        </w:rPr>
        <w:t xml:space="preserve">se modificó mediante </w:t>
      </w:r>
      <w:r w:rsidRPr="004A66F0">
        <w:rPr>
          <w:rFonts w:ascii="Times New Roman" w:eastAsia="Times New Roman" w:hAnsi="Times New Roman" w:cs="Times New Roman"/>
          <w:sz w:val="22"/>
          <w:szCs w:val="22"/>
          <w:lang w:val="es-MX"/>
        </w:rPr>
        <w:t xml:space="preserve">el Decreto número 36-2022, que estableció un monto de hasta Q400 millones para destinarlos al fortalecimiento del Fondo Emergente, permitiendo mitigar los daños ocasionados por los fenómenos naturales que afectaron al país. Por ello, el presupuesto destinado a la infraestructura estratégica descendió. </w:t>
      </w:r>
    </w:p>
    <w:p w14:paraId="7A1B4A05" w14:textId="77777777" w:rsidR="004A66F0" w:rsidRPr="004A66F0" w:rsidRDefault="004A66F0" w:rsidP="008D7BB4">
      <w:pPr>
        <w:spacing w:line="276" w:lineRule="auto"/>
        <w:contextualSpacing/>
        <w:jc w:val="both"/>
        <w:rPr>
          <w:rFonts w:ascii="Times New Roman" w:eastAsia="Times New Roman" w:hAnsi="Times New Roman" w:cs="Times New Roman"/>
          <w:sz w:val="22"/>
          <w:szCs w:val="22"/>
          <w:lang w:val="es-MX"/>
        </w:rPr>
      </w:pPr>
    </w:p>
    <w:p w14:paraId="03F38866" w14:textId="1E767BD1" w:rsidR="004A66F0" w:rsidRPr="004A66F0" w:rsidRDefault="004A66F0" w:rsidP="008D7BB4">
      <w:pPr>
        <w:spacing w:line="276" w:lineRule="auto"/>
        <w:contextualSpacing/>
        <w:jc w:val="both"/>
        <w:rPr>
          <w:rFonts w:ascii="Times New Roman" w:eastAsia="Times New Roman" w:hAnsi="Times New Roman" w:cs="Times New Roman"/>
          <w:sz w:val="22"/>
          <w:szCs w:val="22"/>
          <w:lang w:val="es-MX"/>
        </w:rPr>
      </w:pPr>
      <w:r w:rsidRPr="004A66F0">
        <w:rPr>
          <w:rFonts w:ascii="Times New Roman" w:eastAsia="Times New Roman" w:hAnsi="Times New Roman" w:cs="Times New Roman"/>
          <w:sz w:val="22"/>
          <w:szCs w:val="22"/>
          <w:lang w:val="es-MX"/>
        </w:rPr>
        <w:t>En octubre fue aprobado el Decreto número 50-2022 por medio del cual se decreta estado de calamidad pública en todo el territorio por un plazo de 30 días</w:t>
      </w:r>
      <w:r w:rsidR="001638B7">
        <w:rPr>
          <w:rFonts w:ascii="Times New Roman" w:eastAsia="Times New Roman" w:hAnsi="Times New Roman" w:cs="Times New Roman"/>
          <w:sz w:val="22"/>
          <w:szCs w:val="22"/>
          <w:lang w:val="es-MX"/>
        </w:rPr>
        <w:t>.  E</w:t>
      </w:r>
      <w:r w:rsidRPr="004A66F0">
        <w:rPr>
          <w:rFonts w:ascii="Times New Roman" w:eastAsia="Times New Roman" w:hAnsi="Times New Roman" w:cs="Times New Roman"/>
          <w:sz w:val="22"/>
          <w:szCs w:val="22"/>
          <w:lang w:val="es-MX"/>
        </w:rPr>
        <w:t>n el mismo se dispone que el Ministerio de Comunicaciones debe de poner a disposición del Fondo Emergente un monto de hasta Q540.0 millones de los recursos correspondientes al Decreto número 21-2022 “Ley para fortalecer el Mantenimiento y Construcción de Infraestructura Estratégica”. Por ello, el presupuesto destinado a este decreto descendió nuevamente y esto afecto a la inversión real directa. No obstante, el Ministerio de Comunicaciones ha aumentado sus intervenciones en el mantenimiento de carreteras y puentes, lo cual se ve reflejado en el rubro de bienes y servicios.</w:t>
      </w:r>
    </w:p>
    <w:p w14:paraId="30C457CB" w14:textId="77777777" w:rsidR="004A66F0" w:rsidRPr="004A66F0" w:rsidRDefault="004A66F0" w:rsidP="008D7BB4">
      <w:pPr>
        <w:spacing w:line="276" w:lineRule="auto"/>
        <w:contextualSpacing/>
        <w:jc w:val="both"/>
        <w:rPr>
          <w:rFonts w:ascii="Times New Roman" w:eastAsia="Times New Roman" w:hAnsi="Times New Roman" w:cs="Times New Roman"/>
          <w:sz w:val="22"/>
          <w:szCs w:val="22"/>
          <w:lang w:val="es-MX"/>
        </w:rPr>
      </w:pPr>
    </w:p>
    <w:p w14:paraId="7768DD0F" w14:textId="2B9F45BD" w:rsidR="004A66F0" w:rsidRPr="004A66F0" w:rsidRDefault="004A66F0" w:rsidP="008D7BB4">
      <w:pPr>
        <w:spacing w:line="276" w:lineRule="auto"/>
        <w:contextualSpacing/>
        <w:jc w:val="both"/>
        <w:rPr>
          <w:rFonts w:ascii="Times New Roman" w:eastAsia="Times New Roman" w:hAnsi="Times New Roman" w:cs="Times New Roman"/>
          <w:sz w:val="22"/>
          <w:szCs w:val="22"/>
          <w:lang w:val="es-ES_tradnl" w:eastAsia="es-ES"/>
        </w:rPr>
      </w:pPr>
      <w:r w:rsidRPr="004A66F0">
        <w:rPr>
          <w:rFonts w:ascii="Times New Roman" w:eastAsia="Times New Roman" w:hAnsi="Times New Roman" w:cs="Times New Roman"/>
          <w:sz w:val="22"/>
          <w:szCs w:val="22"/>
          <w:lang w:val="es-ES_tradnl" w:eastAsia="es-ES"/>
        </w:rPr>
        <w:t>Respecto a los intereses de la deuda pública, dicho rubro aumentó en Q726.4 millones a lo observado en 2021, de los cuales se dio un aumento en los intereses de la deuda interna por Q576.5 millones, por la mayor colocación de Bonos del Tesoro. Por su parte, los intereses de la deuda externa aumentaron en Q149.8 millones, principalmente por la colocación de Eurobonos</w:t>
      </w:r>
      <w:r w:rsidR="001638B7">
        <w:rPr>
          <w:rFonts w:ascii="Times New Roman" w:eastAsia="Times New Roman" w:hAnsi="Times New Roman" w:cs="Times New Roman"/>
          <w:sz w:val="22"/>
          <w:szCs w:val="22"/>
          <w:lang w:val="es-ES_tradnl" w:eastAsia="es-ES"/>
        </w:rPr>
        <w:t>.  P</w:t>
      </w:r>
      <w:r w:rsidRPr="004A66F0">
        <w:rPr>
          <w:rFonts w:ascii="Times New Roman" w:eastAsia="Times New Roman" w:hAnsi="Times New Roman" w:cs="Times New Roman"/>
          <w:sz w:val="22"/>
          <w:szCs w:val="22"/>
          <w:lang w:val="es-ES_tradnl" w:eastAsia="es-ES"/>
        </w:rPr>
        <w:t>ara final de año el tipo de cambio promedio mostró una depreciación lo que generó un aumento en el pago de intereses en moneda extranjera.</w:t>
      </w:r>
    </w:p>
    <w:p w14:paraId="0CF5923F" w14:textId="77777777" w:rsidR="004A66F0" w:rsidRPr="004A66F0" w:rsidRDefault="004A66F0" w:rsidP="008D7BB4">
      <w:pPr>
        <w:spacing w:line="276" w:lineRule="auto"/>
        <w:contextualSpacing/>
        <w:jc w:val="both"/>
        <w:rPr>
          <w:rFonts w:ascii="Times New Roman" w:eastAsia="Times New Roman" w:hAnsi="Times New Roman" w:cs="Times New Roman"/>
          <w:sz w:val="22"/>
          <w:szCs w:val="22"/>
          <w:lang w:val="es-ES_tradnl"/>
        </w:rPr>
      </w:pPr>
    </w:p>
    <w:p w14:paraId="43F82FDC" w14:textId="63E0A899" w:rsidR="004A66F0" w:rsidRPr="004A66F0" w:rsidRDefault="004A66F0" w:rsidP="008D7BB4">
      <w:pPr>
        <w:spacing w:line="276" w:lineRule="auto"/>
        <w:contextualSpacing/>
        <w:jc w:val="both"/>
        <w:rPr>
          <w:rFonts w:ascii="Times New Roman" w:eastAsia="Times New Roman" w:hAnsi="Times New Roman" w:cs="Times New Roman"/>
          <w:color w:val="000000"/>
          <w:sz w:val="22"/>
          <w:szCs w:val="22"/>
        </w:rPr>
      </w:pPr>
      <w:r w:rsidRPr="004A66F0">
        <w:rPr>
          <w:rFonts w:ascii="Times New Roman" w:eastAsia="Times New Roman" w:hAnsi="Times New Roman" w:cs="Times New Roman"/>
          <w:sz w:val="22"/>
          <w:szCs w:val="22"/>
          <w:lang w:val="es-MX"/>
        </w:rPr>
        <w:t xml:space="preserve">Por su parte, las prestaciones a la seguridad social, que incluye el pago de pensiones y jubilaciones a los trabajadores del Estado, dan cuenta de un aumento de Q415.7 millones respecto a lo observado en 2021. En octubre se firmó y aprobó en Consejo de </w:t>
      </w:r>
      <w:proofErr w:type="gramStart"/>
      <w:r w:rsidRPr="004A66F0">
        <w:rPr>
          <w:rFonts w:ascii="Times New Roman" w:eastAsia="Times New Roman" w:hAnsi="Times New Roman" w:cs="Times New Roman"/>
          <w:sz w:val="22"/>
          <w:szCs w:val="22"/>
          <w:lang w:val="es-MX"/>
        </w:rPr>
        <w:t>Ministros</w:t>
      </w:r>
      <w:proofErr w:type="gramEnd"/>
      <w:r w:rsidR="001638B7">
        <w:rPr>
          <w:rFonts w:ascii="Times New Roman" w:eastAsia="Times New Roman" w:hAnsi="Times New Roman" w:cs="Times New Roman"/>
          <w:sz w:val="22"/>
          <w:szCs w:val="22"/>
          <w:lang w:val="es-MX"/>
        </w:rPr>
        <w:t>,</w:t>
      </w:r>
      <w:r w:rsidRPr="004A66F0">
        <w:rPr>
          <w:rFonts w:ascii="Times New Roman" w:eastAsia="Times New Roman" w:hAnsi="Times New Roman" w:cs="Times New Roman"/>
          <w:sz w:val="22"/>
          <w:szCs w:val="22"/>
          <w:lang w:val="es-MX"/>
        </w:rPr>
        <w:t xml:space="preserve"> un aumento de</w:t>
      </w:r>
      <w:r w:rsidRPr="004A66F0">
        <w:rPr>
          <w:rFonts w:ascii="Times New Roman" w:eastAsia="Times New Roman" w:hAnsi="Times New Roman" w:cs="Times New Roman"/>
          <w:color w:val="000000"/>
          <w:sz w:val="22"/>
          <w:szCs w:val="22"/>
        </w:rPr>
        <w:t xml:space="preserve">l 10% para los beneficiarios del régimen de clases pasivas y civiles del Estado, por medio del Acuerdo Gubernativo </w:t>
      </w:r>
      <w:r w:rsidRPr="004A66F0">
        <w:rPr>
          <w:rFonts w:ascii="Times New Roman" w:eastAsia="Times New Roman" w:hAnsi="Times New Roman" w:cs="Times New Roman"/>
          <w:color w:val="000000"/>
          <w:sz w:val="22"/>
          <w:szCs w:val="22"/>
        </w:rPr>
        <w:lastRenderedPageBreak/>
        <w:t>Número 267-2022</w:t>
      </w:r>
      <w:r w:rsidR="001638B7">
        <w:rPr>
          <w:rFonts w:ascii="Times New Roman" w:eastAsia="Times New Roman" w:hAnsi="Times New Roman" w:cs="Times New Roman"/>
          <w:color w:val="000000"/>
          <w:sz w:val="22"/>
          <w:szCs w:val="22"/>
        </w:rPr>
        <w:t>.  D</w:t>
      </w:r>
      <w:r w:rsidRPr="004A66F0">
        <w:rPr>
          <w:rFonts w:ascii="Times New Roman" w:eastAsia="Times New Roman" w:hAnsi="Times New Roman" w:cs="Times New Roman"/>
          <w:color w:val="000000"/>
          <w:sz w:val="22"/>
          <w:szCs w:val="22"/>
        </w:rPr>
        <w:t>icho aumento en ningún caso podrá ser menor a Q300.0</w:t>
      </w:r>
      <w:r w:rsidR="001638B7">
        <w:rPr>
          <w:rFonts w:ascii="Times New Roman" w:eastAsia="Times New Roman" w:hAnsi="Times New Roman" w:cs="Times New Roman"/>
          <w:color w:val="000000"/>
          <w:sz w:val="22"/>
          <w:szCs w:val="22"/>
        </w:rPr>
        <w:t>0</w:t>
      </w:r>
      <w:r w:rsidRPr="004A66F0">
        <w:rPr>
          <w:rFonts w:ascii="Times New Roman" w:eastAsia="Times New Roman" w:hAnsi="Times New Roman" w:cs="Times New Roman"/>
          <w:color w:val="000000"/>
          <w:sz w:val="22"/>
          <w:szCs w:val="22"/>
        </w:rPr>
        <w:t>, esto con el propósito de dignificar a los servidores públicos, comenzando a regir a partir de noviembre 2022. El mayor efecto de este aumento se verá reflejado durante 2023.</w:t>
      </w:r>
    </w:p>
    <w:p w14:paraId="2350F4DF" w14:textId="77777777" w:rsidR="004A66F0" w:rsidRPr="004A66F0" w:rsidRDefault="004A66F0" w:rsidP="008D7BB4">
      <w:pPr>
        <w:spacing w:line="276" w:lineRule="auto"/>
        <w:contextualSpacing/>
        <w:jc w:val="both"/>
        <w:rPr>
          <w:rFonts w:ascii="Times New Roman" w:eastAsia="Times New Roman" w:hAnsi="Times New Roman" w:cs="Times New Roman"/>
          <w:color w:val="000000"/>
          <w:sz w:val="22"/>
          <w:szCs w:val="22"/>
        </w:rPr>
      </w:pPr>
    </w:p>
    <w:p w14:paraId="62DC0F78" w14:textId="30B7143E" w:rsidR="004A66F0" w:rsidRPr="004A66F0" w:rsidRDefault="004A66F0" w:rsidP="008D7BB4">
      <w:pPr>
        <w:spacing w:line="276" w:lineRule="auto"/>
        <w:contextualSpacing/>
        <w:jc w:val="both"/>
        <w:rPr>
          <w:rFonts w:ascii="Times New Roman" w:eastAsia="Times New Roman" w:hAnsi="Times New Roman" w:cs="Times New Roman"/>
          <w:color w:val="000000"/>
          <w:sz w:val="22"/>
          <w:szCs w:val="22"/>
        </w:rPr>
      </w:pPr>
      <w:r w:rsidRPr="004A66F0">
        <w:rPr>
          <w:rFonts w:ascii="Times New Roman" w:eastAsia="Times New Roman" w:hAnsi="Times New Roman" w:cs="Times New Roman"/>
          <w:color w:val="000000"/>
          <w:sz w:val="22"/>
          <w:szCs w:val="22"/>
        </w:rPr>
        <w:t xml:space="preserve">Por último, la inversión financiera sería el único rubro del gasto que reportaría contracción, la caída se debe a que en 2021 se tuvo un aporte de capital mediante la compra de acciones y/o participaciones al Banco de Desarrollo Rural (Banrural), mientras que en 2022 no se reportó ningún gasto relevante en dicho rubro. </w:t>
      </w:r>
    </w:p>
    <w:p w14:paraId="2F4A6701" w14:textId="0BA0647F" w:rsidR="004A66F0" w:rsidRPr="004A66F0" w:rsidRDefault="00A11E1A" w:rsidP="008D7BB4">
      <w:pPr>
        <w:spacing w:line="276" w:lineRule="auto"/>
        <w:contextualSpacing/>
        <w:jc w:val="center"/>
        <w:rPr>
          <w:rFonts w:ascii="Times New Roman" w:eastAsia="Times New Roman" w:hAnsi="Times New Roman" w:cs="Times New Roman"/>
          <w:b/>
          <w:sz w:val="22"/>
          <w:szCs w:val="22"/>
        </w:rPr>
      </w:pPr>
      <w:bookmarkStart w:id="36" w:name="_Toc125733207"/>
      <w:r w:rsidRPr="00A11E1A">
        <w:rPr>
          <w:rFonts w:ascii="Times New Roman" w:eastAsia="Times New Roman" w:hAnsi="Times New Roman" w:cs="Times New Roman"/>
          <w:b/>
          <w:sz w:val="22"/>
          <w:szCs w:val="22"/>
        </w:rPr>
        <w:t xml:space="preserve">Gráfico </w:t>
      </w:r>
      <w:r w:rsidRPr="00A11E1A">
        <w:rPr>
          <w:rFonts w:ascii="Times New Roman" w:eastAsia="Times New Roman" w:hAnsi="Times New Roman" w:cs="Times New Roman"/>
          <w:b/>
          <w:sz w:val="22"/>
          <w:szCs w:val="22"/>
        </w:rPr>
        <w:fldChar w:fldCharType="begin"/>
      </w:r>
      <w:r w:rsidRPr="00A11E1A">
        <w:rPr>
          <w:rFonts w:ascii="Times New Roman" w:eastAsia="Times New Roman" w:hAnsi="Times New Roman" w:cs="Times New Roman"/>
          <w:b/>
          <w:sz w:val="22"/>
          <w:szCs w:val="22"/>
        </w:rPr>
        <w:instrText xml:space="preserve"> SEQ Gráfico \* ARABIC </w:instrText>
      </w:r>
      <w:r w:rsidRPr="00A11E1A">
        <w:rPr>
          <w:rFonts w:ascii="Times New Roman" w:eastAsia="Times New Roman" w:hAnsi="Times New Roman" w:cs="Times New Roman"/>
          <w:b/>
          <w:sz w:val="22"/>
          <w:szCs w:val="22"/>
        </w:rPr>
        <w:fldChar w:fldCharType="separate"/>
      </w:r>
      <w:r w:rsidR="006F4BE5">
        <w:rPr>
          <w:rFonts w:ascii="Times New Roman" w:eastAsia="Times New Roman" w:hAnsi="Times New Roman" w:cs="Times New Roman"/>
          <w:b/>
          <w:noProof/>
          <w:sz w:val="22"/>
          <w:szCs w:val="22"/>
        </w:rPr>
        <w:t>11</w:t>
      </w:r>
      <w:r w:rsidRPr="00A11E1A">
        <w:rPr>
          <w:rFonts w:ascii="Times New Roman" w:eastAsia="Times New Roman" w:hAnsi="Times New Roman" w:cs="Times New Roman"/>
          <w:b/>
          <w:sz w:val="22"/>
          <w:szCs w:val="22"/>
        </w:rPr>
        <w:fldChar w:fldCharType="end"/>
      </w:r>
      <w:r>
        <w:rPr>
          <w:rFonts w:ascii="Times New Roman" w:eastAsia="Times New Roman" w:hAnsi="Times New Roman" w:cs="Times New Roman"/>
          <w:b/>
          <w:sz w:val="22"/>
          <w:szCs w:val="22"/>
        </w:rPr>
        <w:t xml:space="preserve">. </w:t>
      </w:r>
      <w:r w:rsidR="004A66F0" w:rsidRPr="004A66F0">
        <w:rPr>
          <w:rFonts w:ascii="Times New Roman" w:eastAsia="Times New Roman" w:hAnsi="Times New Roman" w:cs="Times New Roman"/>
          <w:b/>
          <w:sz w:val="22"/>
          <w:szCs w:val="22"/>
        </w:rPr>
        <w:t>Ejecución por rubro de Cuenta Económica</w:t>
      </w:r>
      <w:bookmarkEnd w:id="36"/>
    </w:p>
    <w:p w14:paraId="545E673B" w14:textId="77777777" w:rsidR="004A66F0" w:rsidRPr="004A66F0" w:rsidRDefault="004A66F0" w:rsidP="008D7BB4">
      <w:pPr>
        <w:spacing w:line="276" w:lineRule="auto"/>
        <w:contextualSpacing/>
        <w:jc w:val="center"/>
        <w:rPr>
          <w:rFonts w:ascii="Times New Roman" w:eastAsia="Times New Roman" w:hAnsi="Times New Roman" w:cs="Times New Roman"/>
          <w:b/>
          <w:sz w:val="22"/>
          <w:szCs w:val="22"/>
        </w:rPr>
      </w:pPr>
      <w:r w:rsidRPr="004A66F0">
        <w:rPr>
          <w:rFonts w:ascii="Times New Roman" w:eastAsia="Times New Roman" w:hAnsi="Times New Roman" w:cs="Times New Roman"/>
          <w:b/>
          <w:sz w:val="22"/>
          <w:szCs w:val="22"/>
        </w:rPr>
        <w:t>2022 – 2021</w:t>
      </w:r>
    </w:p>
    <w:p w14:paraId="44AB226B" w14:textId="59EE29D3" w:rsidR="004A66F0" w:rsidRPr="004A66F0" w:rsidRDefault="004A66F0" w:rsidP="008D7BB4">
      <w:pPr>
        <w:spacing w:line="276" w:lineRule="auto"/>
        <w:contextualSpacing/>
        <w:jc w:val="center"/>
        <w:rPr>
          <w:rFonts w:ascii="Times New Roman" w:eastAsia="Times New Roman" w:hAnsi="Times New Roman" w:cs="Times New Roman"/>
          <w:sz w:val="22"/>
          <w:szCs w:val="36"/>
          <w:lang w:val="es-ES_tradnl" w:eastAsia="es-ES"/>
        </w:rPr>
      </w:pPr>
      <w:r w:rsidRPr="004A66F0">
        <w:rPr>
          <w:rFonts w:ascii="Calibri" w:eastAsia="Times New Roman" w:hAnsi="Calibri" w:cs="Calibri"/>
          <w:noProof/>
          <w:sz w:val="22"/>
          <w:szCs w:val="22"/>
        </w:rPr>
        <w:drawing>
          <wp:anchor distT="0" distB="0" distL="114300" distR="116586" simplePos="0" relativeHeight="251614720" behindDoc="0" locked="0" layoutInCell="1" allowOverlap="1" wp14:anchorId="1A9461C8" wp14:editId="651B17C2">
            <wp:simplePos x="0" y="0"/>
            <wp:positionH relativeFrom="margin">
              <wp:align>right</wp:align>
            </wp:positionH>
            <wp:positionV relativeFrom="paragraph">
              <wp:posOffset>147320</wp:posOffset>
            </wp:positionV>
            <wp:extent cx="5610225" cy="2910840"/>
            <wp:effectExtent l="0" t="0" r="0" b="3810"/>
            <wp:wrapSquare wrapText="bothSides"/>
            <wp:docPr id="37" name="Gráfico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4A66F0">
        <w:rPr>
          <w:rFonts w:ascii="Times New Roman" w:eastAsia="Times New Roman" w:hAnsi="Times New Roman" w:cs="Times New Roman"/>
          <w:sz w:val="20"/>
          <w:szCs w:val="22"/>
          <w:lang w:val="es-ES_tradnl" w:eastAsia="es-ES"/>
        </w:rPr>
        <w:t>Variación absoluta interanual en millones de quetzales</w:t>
      </w:r>
    </w:p>
    <w:p w14:paraId="5CD558DE" w14:textId="7A06D722" w:rsidR="004A66F0" w:rsidRDefault="004A66F0" w:rsidP="008D7BB4">
      <w:pPr>
        <w:spacing w:line="276" w:lineRule="auto"/>
        <w:contextualSpacing/>
        <w:rPr>
          <w:rFonts w:ascii="Times New Roman" w:eastAsia="Times New Roman" w:hAnsi="Times New Roman" w:cs="Times New Roman"/>
          <w:sz w:val="18"/>
          <w:szCs w:val="22"/>
          <w:lang w:val="es-ES_tradnl" w:eastAsia="es-ES"/>
        </w:rPr>
      </w:pPr>
      <w:r w:rsidRPr="004A66F0">
        <w:rPr>
          <w:rFonts w:ascii="Times New Roman" w:eastAsia="Times New Roman" w:hAnsi="Times New Roman" w:cs="Times New Roman"/>
          <w:sz w:val="18"/>
          <w:szCs w:val="22"/>
          <w:lang w:val="es-ES_tradnl" w:eastAsia="es-ES"/>
        </w:rPr>
        <w:t>Fuente: Dirección de Análisis y Política Fiscal</w:t>
      </w:r>
    </w:p>
    <w:p w14:paraId="737827B6" w14:textId="77777777" w:rsidR="001638B7" w:rsidRPr="00DA6C55" w:rsidRDefault="001638B7" w:rsidP="008D7BB4">
      <w:pPr>
        <w:spacing w:line="276" w:lineRule="auto"/>
        <w:contextualSpacing/>
        <w:rPr>
          <w:rFonts w:ascii="Times New Roman" w:eastAsia="Times New Roman" w:hAnsi="Times New Roman" w:cs="Times New Roman"/>
          <w:sz w:val="18"/>
          <w:szCs w:val="22"/>
          <w:lang w:val="es-ES_tradnl" w:eastAsia="es-ES"/>
        </w:rPr>
      </w:pPr>
    </w:p>
    <w:p w14:paraId="7FBF29AA" w14:textId="639874C4" w:rsidR="004A66F0" w:rsidRPr="00A36506" w:rsidRDefault="004A66F0" w:rsidP="008D7BB4">
      <w:pPr>
        <w:pStyle w:val="Prrafodelista"/>
        <w:keepNext/>
        <w:keepLines/>
        <w:numPr>
          <w:ilvl w:val="1"/>
          <w:numId w:val="20"/>
        </w:numPr>
        <w:tabs>
          <w:tab w:val="left" w:pos="1134"/>
        </w:tabs>
        <w:spacing w:line="276" w:lineRule="auto"/>
        <w:jc w:val="both"/>
        <w:outlineLvl w:val="1"/>
        <w:rPr>
          <w:rFonts w:ascii="Times New Roman" w:eastAsiaTheme="majorEastAsia" w:hAnsi="Times New Roman" w:cs="Times New Roman"/>
          <w:b/>
          <w:bCs/>
        </w:rPr>
      </w:pPr>
      <w:bookmarkStart w:id="37" w:name="_Toc125723284"/>
      <w:r w:rsidRPr="00A36506">
        <w:rPr>
          <w:rFonts w:ascii="Times New Roman" w:eastAsiaTheme="majorEastAsia" w:hAnsi="Times New Roman" w:cs="Times New Roman"/>
          <w:b/>
          <w:bCs/>
        </w:rPr>
        <w:t>Gastos no esenciales se mantienen en un nivel prudente</w:t>
      </w:r>
      <w:r w:rsidR="001638B7">
        <w:rPr>
          <w:rFonts w:ascii="Times New Roman" w:eastAsiaTheme="majorEastAsia" w:hAnsi="Times New Roman" w:cs="Times New Roman"/>
          <w:b/>
          <w:bCs/>
        </w:rPr>
        <w:t>.</w:t>
      </w:r>
      <w:bookmarkEnd w:id="37"/>
      <w:r w:rsidRPr="00A36506">
        <w:rPr>
          <w:rFonts w:ascii="Times New Roman" w:eastAsiaTheme="majorEastAsia" w:hAnsi="Times New Roman" w:cs="Times New Roman"/>
          <w:b/>
          <w:bCs/>
        </w:rPr>
        <w:t xml:space="preserve">  </w:t>
      </w:r>
    </w:p>
    <w:p w14:paraId="63AE69F9" w14:textId="77777777" w:rsidR="004A66F0" w:rsidRPr="004A66F0" w:rsidRDefault="004A66F0" w:rsidP="008D7BB4">
      <w:pPr>
        <w:spacing w:line="276" w:lineRule="auto"/>
        <w:contextualSpacing/>
        <w:rPr>
          <w:rFonts w:ascii="Calibri" w:eastAsia="Times New Roman" w:hAnsi="Calibri" w:cs="Times New Roman"/>
          <w:sz w:val="22"/>
          <w:szCs w:val="22"/>
          <w:lang w:val="es-ES_tradnl" w:eastAsia="es-ES"/>
        </w:rPr>
      </w:pPr>
    </w:p>
    <w:p w14:paraId="3524622E" w14:textId="3CB0D2F1" w:rsidR="004A66F0" w:rsidRPr="004A66F0" w:rsidRDefault="004A66F0" w:rsidP="008D7BB4">
      <w:pPr>
        <w:spacing w:line="276" w:lineRule="auto"/>
        <w:contextualSpacing/>
        <w:jc w:val="both"/>
        <w:rPr>
          <w:rFonts w:ascii="Times New Roman" w:eastAsia="Times New Roman" w:hAnsi="Times New Roman" w:cs="Times New Roman"/>
          <w:sz w:val="22"/>
          <w:szCs w:val="22"/>
          <w:lang w:val="es-ES_tradnl" w:eastAsia="es-ES"/>
        </w:rPr>
      </w:pPr>
      <w:r w:rsidRPr="004A66F0">
        <w:rPr>
          <w:rFonts w:ascii="Times New Roman" w:eastAsia="Times New Roman" w:hAnsi="Times New Roman" w:cs="Times New Roman"/>
          <w:sz w:val="22"/>
          <w:szCs w:val="22"/>
          <w:lang w:val="es-ES_tradnl" w:eastAsia="es-ES"/>
        </w:rPr>
        <w:t>En el Decreto número 16-2021 Ley del Presupuesto General de Ingresos y Egresos del Estado para el Ejercicio Fiscal 2022</w:t>
      </w:r>
      <w:r w:rsidR="001638B7">
        <w:rPr>
          <w:rFonts w:ascii="Times New Roman" w:eastAsia="Times New Roman" w:hAnsi="Times New Roman" w:cs="Times New Roman"/>
          <w:sz w:val="22"/>
          <w:szCs w:val="22"/>
          <w:lang w:val="es-ES_tradnl" w:eastAsia="es-ES"/>
        </w:rPr>
        <w:t>,</w:t>
      </w:r>
      <w:r w:rsidRPr="004A66F0">
        <w:rPr>
          <w:rFonts w:ascii="Times New Roman" w:eastAsia="Times New Roman" w:hAnsi="Times New Roman" w:cs="Times New Roman"/>
          <w:sz w:val="22"/>
          <w:szCs w:val="22"/>
          <w:lang w:val="es-ES_tradnl" w:eastAsia="es-ES"/>
        </w:rPr>
        <w:t xml:space="preserve"> el artículo 25 “prohibición de gastos superfluos” prohíbe el uso de las asignaciones de gasto público para: </w:t>
      </w:r>
    </w:p>
    <w:p w14:paraId="4FD747B1" w14:textId="77777777" w:rsidR="004A66F0" w:rsidRPr="004A66F0" w:rsidRDefault="004A66F0" w:rsidP="008D7BB4">
      <w:pPr>
        <w:spacing w:line="276" w:lineRule="auto"/>
        <w:contextualSpacing/>
        <w:jc w:val="both"/>
        <w:rPr>
          <w:rFonts w:ascii="Times New Roman" w:eastAsia="Times New Roman" w:hAnsi="Times New Roman" w:cs="Times New Roman"/>
          <w:sz w:val="22"/>
          <w:szCs w:val="22"/>
          <w:lang w:val="es-ES_tradnl" w:eastAsia="es-ES"/>
        </w:rPr>
      </w:pPr>
    </w:p>
    <w:p w14:paraId="10E627FF" w14:textId="77777777" w:rsidR="004A66F0" w:rsidRPr="004A66F0" w:rsidRDefault="004A66F0" w:rsidP="008D7BB4">
      <w:pPr>
        <w:numPr>
          <w:ilvl w:val="0"/>
          <w:numId w:val="22"/>
        </w:numPr>
        <w:spacing w:line="276" w:lineRule="auto"/>
        <w:contextualSpacing/>
        <w:jc w:val="both"/>
        <w:rPr>
          <w:rFonts w:ascii="Times New Roman" w:eastAsia="Times New Roman" w:hAnsi="Times New Roman" w:cs="Times New Roman"/>
          <w:sz w:val="22"/>
          <w:szCs w:val="22"/>
          <w:lang w:val="es-ES_tradnl" w:eastAsia="es-ES"/>
        </w:rPr>
      </w:pPr>
      <w:r w:rsidRPr="004A66F0">
        <w:rPr>
          <w:rFonts w:ascii="Times New Roman" w:eastAsia="Times New Roman" w:hAnsi="Times New Roman" w:cs="Times New Roman"/>
          <w:sz w:val="22"/>
          <w:szCs w:val="22"/>
          <w:lang w:val="es-ES_tradnl" w:eastAsia="es-ES"/>
        </w:rPr>
        <w:t>Alimentos y bebidas para los despachos de ministros, viceministros, secretarios y subsecretarios del Organismo Ejecutivo</w:t>
      </w:r>
    </w:p>
    <w:p w14:paraId="68991B2E" w14:textId="77777777" w:rsidR="004A66F0" w:rsidRPr="004A66F0" w:rsidRDefault="004A66F0" w:rsidP="008D7BB4">
      <w:pPr>
        <w:numPr>
          <w:ilvl w:val="0"/>
          <w:numId w:val="22"/>
        </w:numPr>
        <w:spacing w:line="276" w:lineRule="auto"/>
        <w:contextualSpacing/>
        <w:jc w:val="both"/>
        <w:rPr>
          <w:rFonts w:ascii="Times New Roman" w:eastAsia="Times New Roman" w:hAnsi="Times New Roman" w:cs="Times New Roman"/>
          <w:sz w:val="22"/>
          <w:szCs w:val="22"/>
          <w:lang w:val="es-ES_tradnl" w:eastAsia="es-ES"/>
        </w:rPr>
      </w:pPr>
      <w:r w:rsidRPr="004A66F0">
        <w:rPr>
          <w:rFonts w:ascii="Times New Roman" w:eastAsia="Times New Roman" w:hAnsi="Times New Roman" w:cs="Times New Roman"/>
          <w:sz w:val="22"/>
          <w:szCs w:val="22"/>
          <w:lang w:val="es-ES_tradnl" w:eastAsia="es-ES"/>
        </w:rPr>
        <w:t>Combustible para los vehículos al servicio de ministros, viceministros, secretarios y subsecretarios del Organismo Ejecutivo</w:t>
      </w:r>
    </w:p>
    <w:p w14:paraId="54B4A0BB" w14:textId="77777777" w:rsidR="004A66F0" w:rsidRPr="004A66F0" w:rsidRDefault="004A66F0" w:rsidP="008D7BB4">
      <w:pPr>
        <w:numPr>
          <w:ilvl w:val="0"/>
          <w:numId w:val="22"/>
        </w:numPr>
        <w:spacing w:line="276" w:lineRule="auto"/>
        <w:contextualSpacing/>
        <w:jc w:val="both"/>
        <w:rPr>
          <w:rFonts w:ascii="Times New Roman" w:eastAsia="Times New Roman" w:hAnsi="Times New Roman" w:cs="Times New Roman"/>
          <w:sz w:val="22"/>
          <w:szCs w:val="22"/>
          <w:lang w:val="es-ES_tradnl" w:eastAsia="es-ES"/>
        </w:rPr>
      </w:pPr>
      <w:r w:rsidRPr="004A66F0">
        <w:rPr>
          <w:rFonts w:ascii="Times New Roman" w:eastAsia="Times New Roman" w:hAnsi="Times New Roman" w:cs="Times New Roman"/>
          <w:sz w:val="22"/>
          <w:szCs w:val="22"/>
          <w:lang w:val="es-ES_tradnl" w:eastAsia="es-ES"/>
        </w:rPr>
        <w:t>Telefonía móvil en exceso a Q600 para ministros, viceministros, secretarios y subsecretarios y directores generales del Organismo Ejecutivo.</w:t>
      </w:r>
    </w:p>
    <w:p w14:paraId="30870ACA" w14:textId="77777777" w:rsidR="004A66F0" w:rsidRPr="004A66F0" w:rsidRDefault="004A66F0" w:rsidP="008D7BB4">
      <w:pPr>
        <w:numPr>
          <w:ilvl w:val="0"/>
          <w:numId w:val="22"/>
        </w:numPr>
        <w:spacing w:line="276" w:lineRule="auto"/>
        <w:contextualSpacing/>
        <w:jc w:val="both"/>
        <w:rPr>
          <w:rFonts w:ascii="Times New Roman" w:eastAsia="Times New Roman" w:hAnsi="Times New Roman" w:cs="Times New Roman"/>
          <w:sz w:val="22"/>
          <w:szCs w:val="22"/>
          <w:lang w:val="es-ES_tradnl" w:eastAsia="es-ES"/>
        </w:rPr>
      </w:pPr>
      <w:r w:rsidRPr="004A66F0">
        <w:rPr>
          <w:rFonts w:ascii="Times New Roman" w:eastAsia="Times New Roman" w:hAnsi="Times New Roman" w:cs="Times New Roman"/>
          <w:sz w:val="22"/>
          <w:szCs w:val="22"/>
          <w:lang w:val="es-ES_tradnl" w:eastAsia="es-ES"/>
        </w:rPr>
        <w:lastRenderedPageBreak/>
        <w:t xml:space="preserve">Gastos relacionados con viajes al exterior, incluyendo viáticos, gastos de representación en el exterior para ministros, viceministros, secretarios y subsecretarios del Organismo Ejecutivo. Se exceptúa de esta prohibición a ministros, viceministros, secretarios y subsecretarios, en los siguientes casos: 1) cuando representen al Estado de Guatemala ante Organismos Internacionales o Regionales; 2) en los casos que participen en eventos de estricto interés del Estado a nivel bilateral o multilateral, en cuyo caso deberán informar previamente ante el Ministerio de Relaciones Exteriores; y 3) Ministro y Viceministros de Economía cuando realicen actividades directamente inherentes a su despacho. </w:t>
      </w:r>
    </w:p>
    <w:p w14:paraId="47B5AD97" w14:textId="77777777" w:rsidR="004A66F0" w:rsidRPr="004A66F0" w:rsidRDefault="004A66F0" w:rsidP="008D7BB4">
      <w:pPr>
        <w:spacing w:line="276" w:lineRule="auto"/>
        <w:contextualSpacing/>
        <w:jc w:val="both"/>
        <w:rPr>
          <w:rFonts w:ascii="Times New Roman" w:eastAsia="Times New Roman" w:hAnsi="Times New Roman" w:cs="Times New Roman"/>
          <w:sz w:val="22"/>
          <w:szCs w:val="22"/>
          <w:lang w:val="es-ES_tradnl" w:eastAsia="es-ES"/>
        </w:rPr>
      </w:pPr>
    </w:p>
    <w:p w14:paraId="1FD15B44" w14:textId="66994DD3" w:rsidR="004A66F0" w:rsidRPr="004A66F0" w:rsidRDefault="004A66F0" w:rsidP="008D7BB4">
      <w:pPr>
        <w:spacing w:line="276" w:lineRule="auto"/>
        <w:contextualSpacing/>
        <w:jc w:val="both"/>
        <w:rPr>
          <w:rFonts w:ascii="Times New Roman" w:eastAsia="Times New Roman" w:hAnsi="Times New Roman" w:cs="Times New Roman"/>
          <w:sz w:val="22"/>
          <w:szCs w:val="22"/>
          <w:lang w:val="es-ES_tradnl" w:eastAsia="es-ES"/>
        </w:rPr>
      </w:pPr>
      <w:r w:rsidRPr="004A66F0">
        <w:rPr>
          <w:rFonts w:ascii="Times New Roman" w:eastAsia="Times New Roman" w:hAnsi="Times New Roman" w:cs="Times New Roman"/>
          <w:sz w:val="22"/>
          <w:szCs w:val="22"/>
          <w:lang w:val="es-ES_tradnl" w:eastAsia="es-ES"/>
        </w:rPr>
        <w:t>Adicionalmente, en mayo</w:t>
      </w:r>
      <w:r w:rsidR="001638B7">
        <w:rPr>
          <w:rFonts w:ascii="Times New Roman" w:eastAsia="Times New Roman" w:hAnsi="Times New Roman" w:cs="Times New Roman"/>
          <w:sz w:val="22"/>
          <w:szCs w:val="22"/>
          <w:lang w:val="es-ES_tradnl" w:eastAsia="es-ES"/>
        </w:rPr>
        <w:t>,</w:t>
      </w:r>
      <w:r w:rsidRPr="004A66F0">
        <w:rPr>
          <w:rFonts w:ascii="Times New Roman" w:eastAsia="Times New Roman" w:hAnsi="Times New Roman" w:cs="Times New Roman"/>
          <w:sz w:val="22"/>
          <w:szCs w:val="22"/>
          <w:lang w:val="es-ES_tradnl" w:eastAsia="es-ES"/>
        </w:rPr>
        <w:t xml:space="preserve"> por medio del Oficio Circular número 01-2022/MINFIN</w:t>
      </w:r>
      <w:r w:rsidR="001638B7">
        <w:rPr>
          <w:rFonts w:ascii="Times New Roman" w:eastAsia="Times New Roman" w:hAnsi="Times New Roman" w:cs="Times New Roman"/>
          <w:sz w:val="22"/>
          <w:szCs w:val="22"/>
          <w:lang w:val="es-ES_tradnl" w:eastAsia="es-ES"/>
        </w:rPr>
        <w:t>,</w:t>
      </w:r>
      <w:r w:rsidRPr="004A66F0">
        <w:rPr>
          <w:rFonts w:ascii="Times New Roman" w:eastAsia="Times New Roman" w:hAnsi="Times New Roman" w:cs="Times New Roman"/>
          <w:sz w:val="22"/>
          <w:szCs w:val="22"/>
          <w:lang w:val="es-ES_tradnl" w:eastAsia="es-ES"/>
        </w:rPr>
        <w:t xml:space="preserve"> se informó sobre las disposiciones presidenciales para la eficiencia, control y priorización del gasto público para el ejercicio fiscal 2022</w:t>
      </w:r>
      <w:r w:rsidR="00D21C37">
        <w:rPr>
          <w:rFonts w:ascii="Times New Roman" w:eastAsia="Times New Roman" w:hAnsi="Times New Roman" w:cs="Times New Roman"/>
          <w:sz w:val="22"/>
          <w:szCs w:val="22"/>
          <w:lang w:val="es-ES_tradnl" w:eastAsia="es-ES"/>
        </w:rPr>
        <w:t>.  E</w:t>
      </w:r>
      <w:r w:rsidRPr="004A66F0">
        <w:rPr>
          <w:rFonts w:ascii="Times New Roman" w:eastAsia="Times New Roman" w:hAnsi="Times New Roman" w:cs="Times New Roman"/>
          <w:sz w:val="22"/>
          <w:szCs w:val="22"/>
          <w:lang w:val="es-ES_tradnl" w:eastAsia="es-ES"/>
        </w:rPr>
        <w:t xml:space="preserve">n ese sentido se consideró que derivado de los factores geopolíticos que conllevan efectos en el comportamiento de la economía a nivel internacional, de los mercados financieros y de materias primas, se puede producir una posible ralentización en la recuperación del crecimiento económico. </w:t>
      </w:r>
    </w:p>
    <w:p w14:paraId="3DA6F846" w14:textId="77777777" w:rsidR="004A66F0" w:rsidRPr="004A66F0" w:rsidRDefault="004A66F0" w:rsidP="008D7BB4">
      <w:pPr>
        <w:spacing w:line="276" w:lineRule="auto"/>
        <w:contextualSpacing/>
        <w:jc w:val="both"/>
        <w:rPr>
          <w:rFonts w:ascii="Times New Roman" w:eastAsia="Times New Roman" w:hAnsi="Times New Roman" w:cs="Times New Roman"/>
          <w:sz w:val="22"/>
          <w:szCs w:val="22"/>
          <w:lang w:val="es-ES_tradnl" w:eastAsia="es-ES"/>
        </w:rPr>
      </w:pPr>
    </w:p>
    <w:p w14:paraId="498F7497" w14:textId="77777777" w:rsidR="004A66F0" w:rsidRPr="004A66F0" w:rsidRDefault="004A66F0" w:rsidP="008D7BB4">
      <w:pPr>
        <w:spacing w:line="276" w:lineRule="auto"/>
        <w:contextualSpacing/>
        <w:jc w:val="both"/>
        <w:rPr>
          <w:rFonts w:ascii="Times New Roman" w:eastAsia="Times New Roman" w:hAnsi="Times New Roman" w:cs="Times New Roman"/>
          <w:sz w:val="22"/>
          <w:szCs w:val="22"/>
          <w:lang w:val="es-ES_tradnl" w:eastAsia="es-ES"/>
        </w:rPr>
      </w:pPr>
      <w:r w:rsidRPr="004A66F0">
        <w:rPr>
          <w:rFonts w:ascii="Times New Roman" w:eastAsia="Times New Roman" w:hAnsi="Times New Roman" w:cs="Times New Roman"/>
          <w:sz w:val="22"/>
          <w:szCs w:val="22"/>
          <w:lang w:val="es-ES_tradnl" w:eastAsia="es-ES"/>
        </w:rPr>
        <w:t xml:space="preserve">Derivado de esto, la incertidumbre de la actividad económica mundial podía tener un impacto negativo en el crecimiento económico de Guatemala, lo cual incidiría directamente en la recaudación tributaria y, por lo tanto, en la disponibilidad de recursos que percibiría el Estado. </w:t>
      </w:r>
    </w:p>
    <w:p w14:paraId="1F78928F" w14:textId="77777777" w:rsidR="004A66F0" w:rsidRPr="004A66F0" w:rsidRDefault="004A66F0" w:rsidP="008D7BB4">
      <w:pPr>
        <w:spacing w:line="276" w:lineRule="auto"/>
        <w:contextualSpacing/>
        <w:jc w:val="both"/>
        <w:rPr>
          <w:rFonts w:ascii="Times New Roman" w:eastAsia="Times New Roman" w:hAnsi="Times New Roman" w:cs="Times New Roman"/>
          <w:sz w:val="22"/>
          <w:szCs w:val="22"/>
          <w:lang w:val="es-ES_tradnl" w:eastAsia="es-ES"/>
        </w:rPr>
      </w:pPr>
    </w:p>
    <w:p w14:paraId="6F9B3949" w14:textId="77777777" w:rsidR="004A66F0" w:rsidRPr="004A66F0" w:rsidRDefault="004A66F0" w:rsidP="008D7BB4">
      <w:pPr>
        <w:spacing w:line="276" w:lineRule="auto"/>
        <w:contextualSpacing/>
        <w:jc w:val="both"/>
        <w:rPr>
          <w:rFonts w:ascii="Times New Roman" w:eastAsia="Times New Roman" w:hAnsi="Times New Roman" w:cs="Times New Roman"/>
          <w:sz w:val="22"/>
          <w:szCs w:val="22"/>
          <w:lang w:val="es-ES_tradnl" w:eastAsia="es-ES"/>
        </w:rPr>
      </w:pPr>
      <w:r w:rsidRPr="004A66F0">
        <w:rPr>
          <w:rFonts w:ascii="Times New Roman" w:eastAsia="Times New Roman" w:hAnsi="Times New Roman" w:cs="Times New Roman"/>
          <w:sz w:val="22"/>
          <w:szCs w:val="22"/>
          <w:lang w:val="es-ES_tradnl" w:eastAsia="es-ES"/>
        </w:rPr>
        <w:t xml:space="preserve">Bajo ese contexto, se consideró necesario adoptar un manejo prudente de las finanzas públicas, siendo de observancia general algunas medidas, entre las que destacan: </w:t>
      </w:r>
    </w:p>
    <w:p w14:paraId="30F18E58" w14:textId="77777777" w:rsidR="004A66F0" w:rsidRPr="004A66F0" w:rsidRDefault="004A66F0" w:rsidP="008D7BB4">
      <w:pPr>
        <w:spacing w:line="276" w:lineRule="auto"/>
        <w:contextualSpacing/>
        <w:jc w:val="both"/>
        <w:rPr>
          <w:rFonts w:ascii="Times New Roman" w:eastAsia="Times New Roman" w:hAnsi="Times New Roman" w:cs="Times New Roman"/>
          <w:sz w:val="16"/>
          <w:szCs w:val="16"/>
          <w:lang w:val="es-ES_tradnl" w:eastAsia="es-ES"/>
        </w:rPr>
      </w:pPr>
    </w:p>
    <w:p w14:paraId="3DEEA44E" w14:textId="77777777" w:rsidR="004A66F0" w:rsidRPr="004A66F0" w:rsidRDefault="004A66F0" w:rsidP="008D7BB4">
      <w:pPr>
        <w:numPr>
          <w:ilvl w:val="0"/>
          <w:numId w:val="23"/>
        </w:numPr>
        <w:spacing w:line="276" w:lineRule="auto"/>
        <w:contextualSpacing/>
        <w:jc w:val="both"/>
        <w:rPr>
          <w:rFonts w:ascii="Times New Roman" w:eastAsia="Times New Roman" w:hAnsi="Times New Roman" w:cs="Times New Roman"/>
          <w:sz w:val="22"/>
          <w:szCs w:val="22"/>
          <w:lang w:val="es-ES_tradnl" w:eastAsia="es-ES"/>
        </w:rPr>
      </w:pPr>
      <w:r w:rsidRPr="004A66F0">
        <w:rPr>
          <w:rFonts w:ascii="Times New Roman" w:eastAsia="Times New Roman" w:hAnsi="Times New Roman" w:cs="Times New Roman"/>
          <w:sz w:val="22"/>
          <w:szCs w:val="22"/>
          <w:lang w:val="es-ES_tradnl" w:eastAsia="es-ES"/>
        </w:rPr>
        <w:t xml:space="preserve">Se restringe la creación de cualquier tipo de bono único o incremento de los bonos específicos existentes, con excepción de aquellos que se deriven de disposición judicial debidamente documentada, los procedentes de pactos colectivos vigentes o que presenten la autorización de la máxima autoridad del Organismo Ejecutivo. </w:t>
      </w:r>
    </w:p>
    <w:p w14:paraId="0722121E" w14:textId="77777777" w:rsidR="004A66F0" w:rsidRPr="004A66F0" w:rsidRDefault="004A66F0" w:rsidP="008D7BB4">
      <w:pPr>
        <w:numPr>
          <w:ilvl w:val="0"/>
          <w:numId w:val="23"/>
        </w:numPr>
        <w:spacing w:line="276" w:lineRule="auto"/>
        <w:contextualSpacing/>
        <w:jc w:val="both"/>
        <w:rPr>
          <w:rFonts w:ascii="Times New Roman" w:eastAsia="Times New Roman" w:hAnsi="Times New Roman" w:cs="Times New Roman"/>
          <w:sz w:val="22"/>
          <w:szCs w:val="22"/>
          <w:lang w:val="es-ES_tradnl" w:eastAsia="es-ES"/>
        </w:rPr>
      </w:pPr>
      <w:r w:rsidRPr="004A66F0">
        <w:rPr>
          <w:rFonts w:ascii="Times New Roman" w:eastAsia="Times New Roman" w:hAnsi="Times New Roman" w:cs="Times New Roman"/>
          <w:sz w:val="22"/>
          <w:szCs w:val="22"/>
          <w:lang w:val="es-ES_tradnl" w:eastAsia="es-ES"/>
        </w:rPr>
        <w:t xml:space="preserve">Las entidades deben abstenerse de incrementar el monto institucional (modificaciones presupuestarias) de las asignaciones presupuestarias destinadas a la contratación de servicios técnicos y profesionales, renglones de gasto 029 “Otras remuneraciones de personal temporal” y subgrupo 18 “Servicios técnicos y profesionales”. </w:t>
      </w:r>
    </w:p>
    <w:p w14:paraId="411DAAD7" w14:textId="77777777" w:rsidR="004A66F0" w:rsidRPr="004A66F0" w:rsidRDefault="004A66F0" w:rsidP="008D7BB4">
      <w:pPr>
        <w:numPr>
          <w:ilvl w:val="0"/>
          <w:numId w:val="23"/>
        </w:numPr>
        <w:spacing w:line="276" w:lineRule="auto"/>
        <w:contextualSpacing/>
        <w:jc w:val="both"/>
        <w:rPr>
          <w:rFonts w:ascii="Times New Roman" w:eastAsia="Times New Roman" w:hAnsi="Times New Roman" w:cs="Times New Roman"/>
          <w:sz w:val="22"/>
          <w:szCs w:val="22"/>
          <w:lang w:val="es-ES_tradnl" w:eastAsia="es-ES"/>
        </w:rPr>
      </w:pPr>
      <w:r w:rsidRPr="004A66F0">
        <w:rPr>
          <w:rFonts w:ascii="Times New Roman" w:eastAsia="Times New Roman" w:hAnsi="Times New Roman" w:cs="Times New Roman"/>
          <w:sz w:val="22"/>
          <w:szCs w:val="22"/>
          <w:lang w:val="es-ES_tradnl" w:eastAsia="es-ES"/>
        </w:rPr>
        <w:t>Se limita la realización de nuevos procesos de adquisición financiados con fuentes de origen tributario de bienes, insumos o servicios con cargo a los siguientes renglones de gasto:</w:t>
      </w:r>
    </w:p>
    <w:p w14:paraId="2A2FDED0" w14:textId="77777777" w:rsidR="004A66F0" w:rsidRPr="004A66F0" w:rsidRDefault="004A66F0" w:rsidP="008D7BB4">
      <w:pPr>
        <w:numPr>
          <w:ilvl w:val="1"/>
          <w:numId w:val="23"/>
        </w:numPr>
        <w:spacing w:line="276" w:lineRule="auto"/>
        <w:contextualSpacing/>
        <w:jc w:val="both"/>
        <w:rPr>
          <w:rFonts w:ascii="Times New Roman" w:eastAsia="Times New Roman" w:hAnsi="Times New Roman" w:cs="Times New Roman"/>
          <w:sz w:val="22"/>
          <w:szCs w:val="22"/>
          <w:lang w:val="es-ES_tradnl" w:eastAsia="es-ES"/>
        </w:rPr>
      </w:pPr>
      <w:r w:rsidRPr="004A66F0">
        <w:rPr>
          <w:rFonts w:ascii="Times New Roman" w:eastAsia="Times New Roman" w:hAnsi="Times New Roman" w:cs="Times New Roman"/>
          <w:sz w:val="22"/>
          <w:szCs w:val="22"/>
          <w:lang w:val="es-ES_tradnl" w:eastAsia="es-ES"/>
        </w:rPr>
        <w:t>Equipo de transporte</w:t>
      </w:r>
    </w:p>
    <w:p w14:paraId="098389D6" w14:textId="77777777" w:rsidR="004A66F0" w:rsidRPr="004A66F0" w:rsidRDefault="004A66F0" w:rsidP="008D7BB4">
      <w:pPr>
        <w:numPr>
          <w:ilvl w:val="1"/>
          <w:numId w:val="23"/>
        </w:numPr>
        <w:spacing w:line="276" w:lineRule="auto"/>
        <w:contextualSpacing/>
        <w:jc w:val="both"/>
        <w:rPr>
          <w:rFonts w:ascii="Times New Roman" w:eastAsia="Times New Roman" w:hAnsi="Times New Roman" w:cs="Times New Roman"/>
          <w:sz w:val="22"/>
          <w:szCs w:val="22"/>
          <w:lang w:val="es-ES_tradnl" w:eastAsia="es-ES"/>
        </w:rPr>
      </w:pPr>
      <w:r w:rsidRPr="004A66F0">
        <w:rPr>
          <w:rFonts w:ascii="Times New Roman" w:eastAsia="Times New Roman" w:hAnsi="Times New Roman" w:cs="Times New Roman"/>
          <w:sz w:val="22"/>
          <w:szCs w:val="22"/>
          <w:lang w:val="es-ES_tradnl" w:eastAsia="es-ES"/>
        </w:rPr>
        <w:t>Arrendamiento de edificios y locales (adicionales a los existentes)</w:t>
      </w:r>
    </w:p>
    <w:p w14:paraId="164B9A08" w14:textId="77777777" w:rsidR="004A66F0" w:rsidRPr="004A66F0" w:rsidRDefault="004A66F0" w:rsidP="008D7BB4">
      <w:pPr>
        <w:numPr>
          <w:ilvl w:val="1"/>
          <w:numId w:val="23"/>
        </w:numPr>
        <w:spacing w:line="276" w:lineRule="auto"/>
        <w:contextualSpacing/>
        <w:jc w:val="both"/>
        <w:rPr>
          <w:rFonts w:ascii="Times New Roman" w:eastAsia="Times New Roman" w:hAnsi="Times New Roman" w:cs="Times New Roman"/>
          <w:sz w:val="22"/>
          <w:szCs w:val="22"/>
          <w:lang w:val="es-ES_tradnl" w:eastAsia="es-ES"/>
        </w:rPr>
      </w:pPr>
      <w:r w:rsidRPr="004A66F0">
        <w:rPr>
          <w:rFonts w:ascii="Times New Roman" w:eastAsia="Times New Roman" w:hAnsi="Times New Roman" w:cs="Times New Roman"/>
          <w:sz w:val="22"/>
          <w:szCs w:val="22"/>
          <w:lang w:val="es-ES_tradnl" w:eastAsia="es-ES"/>
        </w:rPr>
        <w:t>Remozamiento de oficinas</w:t>
      </w:r>
    </w:p>
    <w:p w14:paraId="6D60DCBA" w14:textId="77777777" w:rsidR="004A66F0" w:rsidRPr="004A66F0" w:rsidRDefault="004A66F0" w:rsidP="008D7BB4">
      <w:pPr>
        <w:numPr>
          <w:ilvl w:val="1"/>
          <w:numId w:val="23"/>
        </w:numPr>
        <w:spacing w:line="276" w:lineRule="auto"/>
        <w:contextualSpacing/>
        <w:jc w:val="both"/>
        <w:rPr>
          <w:rFonts w:ascii="Times New Roman" w:eastAsia="Times New Roman" w:hAnsi="Times New Roman" w:cs="Times New Roman"/>
          <w:sz w:val="22"/>
          <w:szCs w:val="22"/>
          <w:lang w:val="es-ES_tradnl" w:eastAsia="es-ES"/>
        </w:rPr>
      </w:pPr>
      <w:r w:rsidRPr="004A66F0">
        <w:rPr>
          <w:rFonts w:ascii="Times New Roman" w:eastAsia="Times New Roman" w:hAnsi="Times New Roman" w:cs="Times New Roman"/>
          <w:sz w:val="22"/>
          <w:szCs w:val="22"/>
          <w:lang w:val="es-ES_tradnl" w:eastAsia="es-ES"/>
        </w:rPr>
        <w:t>Mobiliario y equipo de oficinas (sillas, escritorios, aire acondicionado, televisores, entre otros)</w:t>
      </w:r>
    </w:p>
    <w:p w14:paraId="3800B1C6" w14:textId="77777777" w:rsidR="004A66F0" w:rsidRPr="004A66F0" w:rsidRDefault="004A66F0" w:rsidP="008D7BB4">
      <w:pPr>
        <w:numPr>
          <w:ilvl w:val="1"/>
          <w:numId w:val="23"/>
        </w:numPr>
        <w:spacing w:line="276" w:lineRule="auto"/>
        <w:contextualSpacing/>
        <w:jc w:val="both"/>
        <w:rPr>
          <w:rFonts w:ascii="Times New Roman" w:eastAsia="Times New Roman" w:hAnsi="Times New Roman" w:cs="Times New Roman"/>
          <w:sz w:val="22"/>
          <w:szCs w:val="22"/>
          <w:lang w:val="es-ES_tradnl" w:eastAsia="es-ES"/>
        </w:rPr>
      </w:pPr>
      <w:r w:rsidRPr="004A66F0">
        <w:rPr>
          <w:rFonts w:ascii="Times New Roman" w:eastAsia="Times New Roman" w:hAnsi="Times New Roman" w:cs="Times New Roman"/>
          <w:sz w:val="22"/>
          <w:szCs w:val="22"/>
          <w:lang w:val="es-ES_tradnl" w:eastAsia="es-ES"/>
        </w:rPr>
        <w:t xml:space="preserve">Equipo de cómputo </w:t>
      </w:r>
    </w:p>
    <w:p w14:paraId="0DB0C97B" w14:textId="77777777" w:rsidR="004A66F0" w:rsidRPr="004A66F0" w:rsidRDefault="004A66F0" w:rsidP="008D7BB4">
      <w:pPr>
        <w:numPr>
          <w:ilvl w:val="1"/>
          <w:numId w:val="23"/>
        </w:numPr>
        <w:spacing w:line="276" w:lineRule="auto"/>
        <w:contextualSpacing/>
        <w:jc w:val="both"/>
        <w:rPr>
          <w:rFonts w:ascii="Times New Roman" w:eastAsia="Times New Roman" w:hAnsi="Times New Roman" w:cs="Times New Roman"/>
          <w:sz w:val="22"/>
          <w:szCs w:val="22"/>
          <w:lang w:val="es-ES_tradnl" w:eastAsia="es-ES"/>
        </w:rPr>
      </w:pPr>
      <w:r w:rsidRPr="004A66F0">
        <w:rPr>
          <w:rFonts w:ascii="Times New Roman" w:eastAsia="Times New Roman" w:hAnsi="Times New Roman" w:cs="Times New Roman"/>
          <w:sz w:val="22"/>
          <w:szCs w:val="22"/>
          <w:lang w:val="es-ES_tradnl" w:eastAsia="es-ES"/>
        </w:rPr>
        <w:t>Uniformes (con excepción de los Ministerios de Gobernación y Defensa Nacional)</w:t>
      </w:r>
    </w:p>
    <w:p w14:paraId="522E3146" w14:textId="77777777" w:rsidR="004A66F0" w:rsidRPr="004A66F0" w:rsidRDefault="004A66F0" w:rsidP="008D7BB4">
      <w:pPr>
        <w:numPr>
          <w:ilvl w:val="1"/>
          <w:numId w:val="23"/>
        </w:numPr>
        <w:spacing w:line="276" w:lineRule="auto"/>
        <w:contextualSpacing/>
        <w:jc w:val="both"/>
        <w:rPr>
          <w:rFonts w:ascii="Times New Roman" w:eastAsia="Times New Roman" w:hAnsi="Times New Roman" w:cs="Times New Roman"/>
          <w:sz w:val="22"/>
          <w:szCs w:val="22"/>
          <w:lang w:val="es-ES_tradnl" w:eastAsia="es-ES"/>
        </w:rPr>
      </w:pPr>
      <w:r w:rsidRPr="004A66F0">
        <w:rPr>
          <w:rFonts w:ascii="Times New Roman" w:eastAsia="Times New Roman" w:hAnsi="Times New Roman" w:cs="Times New Roman"/>
          <w:sz w:val="22"/>
          <w:szCs w:val="22"/>
          <w:lang w:val="es-ES_tradnl" w:eastAsia="es-ES"/>
        </w:rPr>
        <w:t>Contrataciones destinadas a la capacitación del personal que implique la erogación de recursos públicos, eventos y otros no prioritarios.</w:t>
      </w:r>
    </w:p>
    <w:p w14:paraId="5125301B" w14:textId="77777777" w:rsidR="004A66F0" w:rsidRPr="004A66F0" w:rsidRDefault="004A66F0" w:rsidP="008D7BB4">
      <w:pPr>
        <w:spacing w:line="276" w:lineRule="auto"/>
        <w:ind w:left="709"/>
        <w:contextualSpacing/>
        <w:jc w:val="both"/>
        <w:rPr>
          <w:rFonts w:ascii="Times New Roman" w:eastAsia="Times New Roman" w:hAnsi="Times New Roman" w:cs="Times New Roman"/>
          <w:sz w:val="22"/>
          <w:szCs w:val="22"/>
          <w:lang w:val="es-ES_tradnl" w:eastAsia="es-ES"/>
        </w:rPr>
      </w:pPr>
      <w:r w:rsidRPr="004A66F0">
        <w:rPr>
          <w:rFonts w:ascii="Times New Roman" w:eastAsia="Times New Roman" w:hAnsi="Times New Roman" w:cs="Times New Roman"/>
          <w:sz w:val="22"/>
          <w:szCs w:val="22"/>
          <w:lang w:val="es-ES_tradnl" w:eastAsia="es-ES"/>
        </w:rPr>
        <w:lastRenderedPageBreak/>
        <w:t>Se exceptúa la adquisición de ambulancias, autopatrullas y otros vehículos utilizados por los servicios de salud pública y para garantizar la seguridad de los ciudadanos.</w:t>
      </w:r>
    </w:p>
    <w:p w14:paraId="1AB3684F" w14:textId="77777777" w:rsidR="004A66F0" w:rsidRPr="004A66F0" w:rsidRDefault="004A66F0" w:rsidP="008D7BB4">
      <w:pPr>
        <w:numPr>
          <w:ilvl w:val="0"/>
          <w:numId w:val="23"/>
        </w:numPr>
        <w:spacing w:line="276" w:lineRule="auto"/>
        <w:contextualSpacing/>
        <w:jc w:val="both"/>
        <w:rPr>
          <w:rFonts w:ascii="Times New Roman" w:eastAsia="Times New Roman" w:hAnsi="Times New Roman" w:cs="Times New Roman"/>
          <w:sz w:val="22"/>
          <w:szCs w:val="22"/>
          <w:lang w:val="es-ES_tradnl" w:eastAsia="es-ES"/>
        </w:rPr>
      </w:pPr>
      <w:r w:rsidRPr="004A66F0">
        <w:rPr>
          <w:rFonts w:ascii="Times New Roman" w:eastAsia="Times New Roman" w:hAnsi="Times New Roman" w:cs="Times New Roman"/>
          <w:sz w:val="22"/>
          <w:szCs w:val="22"/>
          <w:lang w:val="es-ES_tradnl" w:eastAsia="es-ES"/>
        </w:rPr>
        <w:t xml:space="preserve">Se restringen los procesos de compra de alimentos, con excepción de aquellos que sean necesarios para dar cumplimiento a las actividades sustantivas de cada institución pública. </w:t>
      </w:r>
    </w:p>
    <w:p w14:paraId="6FB552C6" w14:textId="77777777" w:rsidR="004A66F0" w:rsidRPr="004A66F0" w:rsidRDefault="004A66F0" w:rsidP="008D7BB4">
      <w:pPr>
        <w:numPr>
          <w:ilvl w:val="0"/>
          <w:numId w:val="23"/>
        </w:numPr>
        <w:spacing w:line="276" w:lineRule="auto"/>
        <w:contextualSpacing/>
        <w:jc w:val="both"/>
        <w:rPr>
          <w:rFonts w:ascii="Times New Roman" w:eastAsia="Times New Roman" w:hAnsi="Times New Roman" w:cs="Times New Roman"/>
          <w:sz w:val="22"/>
          <w:szCs w:val="22"/>
          <w:lang w:val="es-ES_tradnl" w:eastAsia="es-ES"/>
        </w:rPr>
      </w:pPr>
      <w:r w:rsidRPr="004A66F0">
        <w:rPr>
          <w:rFonts w:ascii="Times New Roman" w:eastAsia="Times New Roman" w:hAnsi="Times New Roman" w:cs="Times New Roman"/>
          <w:sz w:val="22"/>
          <w:szCs w:val="22"/>
          <w:lang w:val="es-ES_tradnl" w:eastAsia="es-ES"/>
        </w:rPr>
        <w:t xml:space="preserve">Se restringe al mínimo necesario los gastos con cargo a los renglones del subgrupo 13 “viáticos, conexos y reconocimiento de gastos”, con excepción de aquellos que sean necesarios para dar cumplimiento a las actividades sustantivas de cada institución pública. </w:t>
      </w:r>
    </w:p>
    <w:p w14:paraId="1A3558FD" w14:textId="77777777" w:rsidR="004A66F0" w:rsidRPr="004A66F0" w:rsidRDefault="004A66F0" w:rsidP="008D7BB4">
      <w:pPr>
        <w:numPr>
          <w:ilvl w:val="0"/>
          <w:numId w:val="23"/>
        </w:numPr>
        <w:spacing w:line="276" w:lineRule="auto"/>
        <w:contextualSpacing/>
        <w:jc w:val="both"/>
        <w:rPr>
          <w:rFonts w:ascii="Times New Roman" w:eastAsia="Times New Roman" w:hAnsi="Times New Roman" w:cs="Times New Roman"/>
          <w:sz w:val="22"/>
          <w:szCs w:val="22"/>
          <w:lang w:val="es-ES_tradnl" w:eastAsia="es-ES"/>
        </w:rPr>
      </w:pPr>
      <w:r w:rsidRPr="004A66F0">
        <w:rPr>
          <w:rFonts w:ascii="Times New Roman" w:eastAsia="Times New Roman" w:hAnsi="Times New Roman" w:cs="Times New Roman"/>
          <w:sz w:val="22"/>
          <w:szCs w:val="22"/>
          <w:lang w:val="es-ES_tradnl" w:eastAsia="es-ES"/>
        </w:rPr>
        <w:t>La aprobación de las cuotas financieras de origen tributario estará supeditadas a la disponibilidad financiera, en función del comportamiento de la recaudación tributaria.</w:t>
      </w:r>
    </w:p>
    <w:p w14:paraId="0BA39A7C" w14:textId="77777777" w:rsidR="004A66F0" w:rsidRPr="004A66F0" w:rsidRDefault="004A66F0" w:rsidP="008D7BB4">
      <w:pPr>
        <w:spacing w:line="276" w:lineRule="auto"/>
        <w:contextualSpacing/>
        <w:jc w:val="both"/>
        <w:rPr>
          <w:rFonts w:ascii="Times New Roman" w:eastAsia="Times New Roman" w:hAnsi="Times New Roman" w:cs="Times New Roman"/>
          <w:sz w:val="22"/>
          <w:szCs w:val="22"/>
          <w:lang w:val="es-ES_tradnl" w:eastAsia="es-ES"/>
        </w:rPr>
      </w:pPr>
    </w:p>
    <w:p w14:paraId="1E6A3FD8" w14:textId="77777777" w:rsidR="004A66F0" w:rsidRPr="004A66F0" w:rsidRDefault="004A66F0" w:rsidP="008D7BB4">
      <w:pPr>
        <w:spacing w:line="276" w:lineRule="auto"/>
        <w:contextualSpacing/>
        <w:jc w:val="both"/>
        <w:rPr>
          <w:rFonts w:ascii="Times New Roman" w:eastAsia="Times New Roman" w:hAnsi="Times New Roman" w:cs="Times New Roman"/>
          <w:sz w:val="22"/>
          <w:szCs w:val="22"/>
          <w:lang w:val="es-ES_tradnl" w:eastAsia="es-ES"/>
        </w:rPr>
      </w:pPr>
      <w:r w:rsidRPr="004A66F0">
        <w:rPr>
          <w:rFonts w:ascii="Times New Roman" w:eastAsia="Times New Roman" w:hAnsi="Times New Roman" w:cs="Times New Roman"/>
          <w:sz w:val="22"/>
          <w:szCs w:val="22"/>
          <w:lang w:val="es-ES_tradnl" w:eastAsia="es-ES"/>
        </w:rPr>
        <w:t>Estas disposiciones cobraron vigencia desde el 01 de junio al hasta el 31 de diciembre del 2022.</w:t>
      </w:r>
    </w:p>
    <w:p w14:paraId="6D200F2B" w14:textId="77777777" w:rsidR="004A66F0" w:rsidRPr="004A66F0" w:rsidRDefault="004A66F0" w:rsidP="008D7BB4">
      <w:pPr>
        <w:spacing w:line="276" w:lineRule="auto"/>
        <w:contextualSpacing/>
        <w:jc w:val="both"/>
        <w:rPr>
          <w:rFonts w:ascii="Times New Roman" w:eastAsia="Times New Roman" w:hAnsi="Times New Roman" w:cs="Times New Roman"/>
          <w:sz w:val="22"/>
          <w:szCs w:val="22"/>
          <w:lang w:val="es-ES_tradnl" w:eastAsia="es-ES"/>
        </w:rPr>
      </w:pPr>
    </w:p>
    <w:p w14:paraId="01F2CC53" w14:textId="77777777" w:rsidR="004A66F0" w:rsidRPr="004A66F0" w:rsidRDefault="004A66F0" w:rsidP="008D7BB4">
      <w:pPr>
        <w:spacing w:line="276" w:lineRule="auto"/>
        <w:contextualSpacing/>
        <w:jc w:val="both"/>
        <w:rPr>
          <w:rFonts w:ascii="Times New Roman" w:eastAsia="Times New Roman" w:hAnsi="Times New Roman" w:cs="Times New Roman"/>
          <w:sz w:val="22"/>
          <w:szCs w:val="22"/>
          <w:lang w:val="es-ES_tradnl" w:eastAsia="es-ES"/>
        </w:rPr>
      </w:pPr>
      <w:r w:rsidRPr="004A66F0">
        <w:rPr>
          <w:rFonts w:ascii="Times New Roman" w:eastAsia="Times New Roman" w:hAnsi="Times New Roman" w:cs="Times New Roman"/>
          <w:sz w:val="22"/>
          <w:szCs w:val="22"/>
          <w:lang w:val="es-ES_tradnl" w:eastAsia="es-ES"/>
        </w:rPr>
        <w:t>Durante 2022, los gastos catalogados como no esenciales, entre los que destacan los renglones asociados a contratos de personal temporal (029), contrataciones de servicios profesionales excluyendo los relacionados a la salud (sub grupo 18), gasto en combustible, viáticos del interior y exterior, y gastos en divulgación e información, en su conjunto reportaron un nivel de Q3,487.5 millones, con un crecimiento interanual de 22.9%, siendo equivalente a Q650.9 millones, lo cual podría considerarse moderado, tomando en consideración que se dio un crecimiento extraordinario en los ingresos tributarios, es decir, durante el año se tuvo una mayor disponibilidad de recursos. Esto derivó que el Comité de Programación de la Ejecución Presupuestaria y Financiera (COPEP), fuera menos riguroso en la asignación de cuotas financieras, en especial en los rubros de gasto que contaban con presupuesto en las fuentes de origen tributario y que cumplían con las disposiciones legales.</w:t>
      </w:r>
    </w:p>
    <w:p w14:paraId="5A954E9D" w14:textId="77777777" w:rsidR="004A66F0" w:rsidRPr="004A66F0" w:rsidRDefault="004A66F0" w:rsidP="008D7BB4">
      <w:pPr>
        <w:spacing w:line="276" w:lineRule="auto"/>
        <w:contextualSpacing/>
        <w:jc w:val="both"/>
        <w:rPr>
          <w:rFonts w:ascii="Times New Roman" w:eastAsia="Times New Roman" w:hAnsi="Times New Roman" w:cs="Times New Roman"/>
          <w:sz w:val="22"/>
          <w:szCs w:val="22"/>
          <w:lang w:val="es-ES_tradnl" w:eastAsia="es-ES"/>
        </w:rPr>
      </w:pPr>
    </w:p>
    <w:p w14:paraId="2CF5BB4C" w14:textId="77777777" w:rsidR="004A66F0" w:rsidRPr="004A66F0" w:rsidRDefault="004A66F0" w:rsidP="008D7BB4">
      <w:pPr>
        <w:spacing w:line="276" w:lineRule="auto"/>
        <w:contextualSpacing/>
        <w:jc w:val="both"/>
        <w:rPr>
          <w:rFonts w:ascii="Times New Roman" w:eastAsia="Times New Roman" w:hAnsi="Times New Roman" w:cs="Times New Roman"/>
          <w:sz w:val="22"/>
          <w:szCs w:val="22"/>
          <w:lang w:val="es-ES_tradnl" w:eastAsia="es-ES"/>
        </w:rPr>
      </w:pPr>
      <w:r w:rsidRPr="004A66F0">
        <w:rPr>
          <w:rFonts w:ascii="Times New Roman" w:eastAsia="Times New Roman" w:hAnsi="Times New Roman" w:cs="Times New Roman"/>
          <w:sz w:val="22"/>
          <w:szCs w:val="22"/>
          <w:lang w:val="es-ES_tradnl" w:eastAsia="es-ES"/>
        </w:rPr>
        <w:t>El gasto de los renglones no esenciales para 2022 superó el nivel alcanzado en 2019, es decir previo a la pandemia, lo cual sería una muestra de la normalización en las actividades públicas a cargo de la administración central, una vez superada la crisis ocasionada por la pandemia COVID-19.</w:t>
      </w:r>
    </w:p>
    <w:p w14:paraId="6A1F306B" w14:textId="77777777" w:rsidR="004A66F0" w:rsidRPr="004A66F0" w:rsidRDefault="004A66F0" w:rsidP="008D7BB4">
      <w:pPr>
        <w:spacing w:line="276" w:lineRule="auto"/>
        <w:contextualSpacing/>
        <w:jc w:val="both"/>
        <w:rPr>
          <w:rFonts w:ascii="Times New Roman" w:eastAsia="Times New Roman" w:hAnsi="Times New Roman" w:cs="Times New Roman"/>
          <w:sz w:val="22"/>
          <w:szCs w:val="22"/>
          <w:lang w:val="es-ES_tradnl" w:eastAsia="es-ES"/>
        </w:rPr>
      </w:pPr>
    </w:p>
    <w:p w14:paraId="49916298" w14:textId="42A15B70" w:rsidR="004A66F0" w:rsidRDefault="004A66F0" w:rsidP="008D7BB4">
      <w:pPr>
        <w:spacing w:line="276" w:lineRule="auto"/>
        <w:contextualSpacing/>
        <w:jc w:val="both"/>
        <w:rPr>
          <w:rFonts w:ascii="Times New Roman" w:eastAsia="Times New Roman" w:hAnsi="Times New Roman" w:cs="Times New Roman"/>
          <w:sz w:val="22"/>
          <w:szCs w:val="22"/>
          <w:lang w:val="es-ES_tradnl" w:eastAsia="es-ES"/>
        </w:rPr>
      </w:pPr>
      <w:r w:rsidRPr="004A66F0">
        <w:rPr>
          <w:rFonts w:ascii="Times New Roman" w:eastAsia="Times New Roman" w:hAnsi="Times New Roman" w:cs="Times New Roman"/>
          <w:sz w:val="22"/>
          <w:szCs w:val="22"/>
          <w:lang w:val="es-ES_tradnl" w:eastAsia="es-ES"/>
        </w:rPr>
        <w:t xml:space="preserve">El rubro de combustibles reporta el mayor dinamismo entre los gastos no esenciales, siendo el crecimiento interanual de 121.0% (equivalente a Q278.2 millones), cuyo principal aumento se encuentra en el Ministerio de Gobernación (Q180.9 millones) y específicamente en el programa de servicios de seguridad a las personas y su patrimonio. </w:t>
      </w:r>
    </w:p>
    <w:p w14:paraId="433DACBB" w14:textId="301861FE" w:rsidR="002C4E46" w:rsidRDefault="002C4E46" w:rsidP="008D7BB4">
      <w:pPr>
        <w:spacing w:line="276" w:lineRule="auto"/>
        <w:contextualSpacing/>
        <w:jc w:val="both"/>
        <w:rPr>
          <w:rFonts w:ascii="Times New Roman" w:eastAsia="Times New Roman" w:hAnsi="Times New Roman" w:cs="Times New Roman"/>
          <w:sz w:val="22"/>
          <w:szCs w:val="22"/>
          <w:lang w:val="es-ES_tradnl" w:eastAsia="es-ES"/>
        </w:rPr>
      </w:pPr>
    </w:p>
    <w:p w14:paraId="2756AECA" w14:textId="04D215AD" w:rsidR="004A66F0" w:rsidRDefault="002C4E46" w:rsidP="008D7BB4">
      <w:pPr>
        <w:spacing w:line="276" w:lineRule="auto"/>
        <w:contextualSpacing/>
        <w:jc w:val="both"/>
        <w:rPr>
          <w:rFonts w:ascii="Times New Roman" w:eastAsia="Times New Roman" w:hAnsi="Times New Roman" w:cs="Times New Roman"/>
          <w:sz w:val="22"/>
          <w:szCs w:val="22"/>
          <w:lang w:val="es-ES_tradnl" w:eastAsia="es-ES"/>
        </w:rPr>
      </w:pPr>
      <w:r w:rsidRPr="004A66F0">
        <w:rPr>
          <w:rFonts w:ascii="Times New Roman" w:eastAsia="Times New Roman" w:hAnsi="Times New Roman" w:cs="Times New Roman"/>
          <w:sz w:val="22"/>
          <w:szCs w:val="22"/>
          <w:lang w:val="es-ES_tradnl" w:eastAsia="es-ES"/>
        </w:rPr>
        <w:t>Del subgrupo 18 se excluye</w:t>
      </w:r>
      <w:r w:rsidR="00D21C37">
        <w:rPr>
          <w:rFonts w:ascii="Times New Roman" w:eastAsia="Times New Roman" w:hAnsi="Times New Roman" w:cs="Times New Roman"/>
          <w:sz w:val="22"/>
          <w:szCs w:val="22"/>
          <w:lang w:val="es-ES_tradnl" w:eastAsia="es-ES"/>
        </w:rPr>
        <w:t>n</w:t>
      </w:r>
      <w:r w:rsidRPr="004A66F0">
        <w:rPr>
          <w:rFonts w:ascii="Times New Roman" w:eastAsia="Times New Roman" w:hAnsi="Times New Roman" w:cs="Times New Roman"/>
          <w:sz w:val="22"/>
          <w:szCs w:val="22"/>
          <w:lang w:val="es-ES_tradnl" w:eastAsia="es-ES"/>
        </w:rPr>
        <w:t xml:space="preserve"> del análisis los servicios médicos y sanitarios, siendo los de mayor peso los del Ministerio de Salud Pública y Asistencia Social, dado que este renglón ha crecido en los últimos años derivado que este rubro comprende los servicios profesionales y técnicos, exámenes médicos especializados, pruebas de laboratorios y las contrataciones de personal para la atención de los hospitales temporales, por lo tanto, queda fuera de los gastos no esenciales. Del resto de renglones que conforman el subgrupo 18</w:t>
      </w:r>
      <w:r w:rsidR="00D21C37">
        <w:rPr>
          <w:rFonts w:ascii="Times New Roman" w:eastAsia="Times New Roman" w:hAnsi="Times New Roman" w:cs="Times New Roman"/>
          <w:sz w:val="22"/>
          <w:szCs w:val="22"/>
          <w:lang w:val="es-ES_tradnl" w:eastAsia="es-ES"/>
        </w:rPr>
        <w:t>,</w:t>
      </w:r>
      <w:r w:rsidRPr="004A66F0">
        <w:rPr>
          <w:rFonts w:ascii="Times New Roman" w:eastAsia="Times New Roman" w:hAnsi="Times New Roman" w:cs="Times New Roman"/>
          <w:sz w:val="22"/>
          <w:szCs w:val="22"/>
          <w:lang w:val="es-ES_tradnl" w:eastAsia="es-ES"/>
        </w:rPr>
        <w:t xml:space="preserve"> como estudios e investigaciones y proyectos de pre factibilidad y factibilidad, servicios jurídicos, servicios económicos, financieros, contables y de auditoría, servicios de capacitación, entre otros, reportan un crecimiento interanual de 22.2%, equivalente a Q225.2 millones.</w:t>
      </w:r>
    </w:p>
    <w:p w14:paraId="670A048B" w14:textId="77777777" w:rsidR="002C4E46" w:rsidRPr="004A66F0" w:rsidRDefault="002C4E46" w:rsidP="008D7BB4">
      <w:pPr>
        <w:spacing w:line="276" w:lineRule="auto"/>
        <w:contextualSpacing/>
        <w:jc w:val="both"/>
        <w:rPr>
          <w:rFonts w:ascii="Times New Roman" w:eastAsia="Times New Roman" w:hAnsi="Times New Roman" w:cs="Times New Roman"/>
          <w:sz w:val="22"/>
          <w:szCs w:val="22"/>
          <w:lang w:val="es-ES_tradnl" w:eastAsia="es-ES"/>
        </w:rPr>
      </w:pPr>
    </w:p>
    <w:p w14:paraId="437C40EB" w14:textId="621EA076" w:rsidR="004A66F0" w:rsidRPr="004A66F0" w:rsidRDefault="00A11E1A" w:rsidP="008D7BB4">
      <w:pPr>
        <w:spacing w:line="276" w:lineRule="auto"/>
        <w:contextualSpacing/>
        <w:jc w:val="center"/>
        <w:rPr>
          <w:rFonts w:ascii="Times New Roman" w:eastAsia="Times New Roman" w:hAnsi="Times New Roman" w:cs="Times New Roman"/>
          <w:b/>
          <w:sz w:val="22"/>
          <w:szCs w:val="22"/>
        </w:rPr>
      </w:pPr>
      <w:bookmarkStart w:id="38" w:name="_Toc125733208"/>
      <w:r w:rsidRPr="00A11E1A">
        <w:rPr>
          <w:rFonts w:ascii="Times New Roman" w:eastAsia="Times New Roman" w:hAnsi="Times New Roman" w:cs="Times New Roman"/>
          <w:b/>
          <w:sz w:val="22"/>
          <w:szCs w:val="22"/>
        </w:rPr>
        <w:lastRenderedPageBreak/>
        <w:t xml:space="preserve">Gráfico </w:t>
      </w:r>
      <w:r w:rsidRPr="00A11E1A">
        <w:rPr>
          <w:rFonts w:ascii="Times New Roman" w:eastAsia="Times New Roman" w:hAnsi="Times New Roman" w:cs="Times New Roman"/>
          <w:b/>
          <w:sz w:val="22"/>
          <w:szCs w:val="22"/>
        </w:rPr>
        <w:fldChar w:fldCharType="begin"/>
      </w:r>
      <w:r w:rsidRPr="00A11E1A">
        <w:rPr>
          <w:rFonts w:ascii="Times New Roman" w:eastAsia="Times New Roman" w:hAnsi="Times New Roman" w:cs="Times New Roman"/>
          <w:b/>
          <w:sz w:val="22"/>
          <w:szCs w:val="22"/>
        </w:rPr>
        <w:instrText xml:space="preserve"> SEQ Gráfico \* ARABIC </w:instrText>
      </w:r>
      <w:r w:rsidRPr="00A11E1A">
        <w:rPr>
          <w:rFonts w:ascii="Times New Roman" w:eastAsia="Times New Roman" w:hAnsi="Times New Roman" w:cs="Times New Roman"/>
          <w:b/>
          <w:sz w:val="22"/>
          <w:szCs w:val="22"/>
        </w:rPr>
        <w:fldChar w:fldCharType="separate"/>
      </w:r>
      <w:r w:rsidR="006F4BE5">
        <w:rPr>
          <w:rFonts w:ascii="Times New Roman" w:eastAsia="Times New Roman" w:hAnsi="Times New Roman" w:cs="Times New Roman"/>
          <w:b/>
          <w:noProof/>
          <w:sz w:val="22"/>
          <w:szCs w:val="22"/>
        </w:rPr>
        <w:t>12</w:t>
      </w:r>
      <w:r w:rsidRPr="00A11E1A">
        <w:rPr>
          <w:rFonts w:ascii="Times New Roman" w:eastAsia="Times New Roman" w:hAnsi="Times New Roman" w:cs="Times New Roman"/>
          <w:b/>
          <w:sz w:val="22"/>
          <w:szCs w:val="22"/>
        </w:rPr>
        <w:fldChar w:fldCharType="end"/>
      </w:r>
      <w:r>
        <w:rPr>
          <w:rFonts w:ascii="Times New Roman" w:eastAsia="Times New Roman" w:hAnsi="Times New Roman" w:cs="Times New Roman"/>
          <w:b/>
          <w:sz w:val="22"/>
          <w:szCs w:val="22"/>
        </w:rPr>
        <w:t xml:space="preserve">. </w:t>
      </w:r>
      <w:r w:rsidR="004A66F0" w:rsidRPr="004A66F0">
        <w:rPr>
          <w:rFonts w:ascii="Times New Roman" w:eastAsia="Times New Roman" w:hAnsi="Times New Roman" w:cs="Times New Roman"/>
          <w:b/>
          <w:sz w:val="22"/>
          <w:szCs w:val="22"/>
        </w:rPr>
        <w:t>Aumento interanual en el gasto de combustibles por entidad</w:t>
      </w:r>
      <w:bookmarkEnd w:id="38"/>
    </w:p>
    <w:p w14:paraId="10D3406E" w14:textId="1D8FB96C" w:rsidR="004A66F0" w:rsidRPr="004A66F0" w:rsidRDefault="004A66F0" w:rsidP="008D7BB4">
      <w:pPr>
        <w:spacing w:line="276" w:lineRule="auto"/>
        <w:contextualSpacing/>
        <w:jc w:val="center"/>
        <w:rPr>
          <w:rFonts w:ascii="Times New Roman" w:eastAsia="Times New Roman" w:hAnsi="Times New Roman" w:cs="Times New Roman"/>
          <w:sz w:val="20"/>
          <w:szCs w:val="22"/>
          <w:lang w:val="es-ES_tradnl" w:eastAsia="es-ES"/>
        </w:rPr>
      </w:pPr>
      <w:r w:rsidRPr="004A66F0">
        <w:rPr>
          <w:rFonts w:ascii="Calibri" w:eastAsia="Times New Roman" w:hAnsi="Calibri" w:cs="Calibri"/>
          <w:noProof/>
          <w:sz w:val="22"/>
          <w:szCs w:val="22"/>
        </w:rPr>
        <w:drawing>
          <wp:anchor distT="0" distB="0" distL="114300" distR="114300" simplePos="0" relativeHeight="251616768" behindDoc="0" locked="0" layoutInCell="1" allowOverlap="1" wp14:anchorId="4977FB6A" wp14:editId="58FB16B6">
            <wp:simplePos x="0" y="0"/>
            <wp:positionH relativeFrom="column">
              <wp:posOffset>175895</wp:posOffset>
            </wp:positionH>
            <wp:positionV relativeFrom="paragraph">
              <wp:posOffset>195580</wp:posOffset>
            </wp:positionV>
            <wp:extent cx="5508625" cy="2726690"/>
            <wp:effectExtent l="0" t="0" r="0" b="0"/>
            <wp:wrapSquare wrapText="bothSides"/>
            <wp:docPr id="36" name="Gráfico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4A66F0">
        <w:rPr>
          <w:rFonts w:ascii="Times New Roman" w:eastAsia="Times New Roman" w:hAnsi="Times New Roman" w:cs="Times New Roman"/>
          <w:sz w:val="20"/>
          <w:szCs w:val="22"/>
          <w:lang w:val="es-ES_tradnl" w:eastAsia="es-ES"/>
        </w:rPr>
        <w:t>Variación absoluta interanual en millones de quetzales y en porcentajes</w:t>
      </w:r>
    </w:p>
    <w:p w14:paraId="135B7343" w14:textId="77777777" w:rsidR="004A66F0" w:rsidRPr="004A66F0" w:rsidRDefault="004A66F0" w:rsidP="008D7BB4">
      <w:pPr>
        <w:spacing w:line="276" w:lineRule="auto"/>
        <w:contextualSpacing/>
        <w:rPr>
          <w:rFonts w:ascii="Times New Roman" w:eastAsia="Times New Roman" w:hAnsi="Times New Roman" w:cs="Times New Roman"/>
          <w:sz w:val="18"/>
          <w:szCs w:val="22"/>
          <w:lang w:val="es-ES_tradnl" w:eastAsia="es-ES"/>
        </w:rPr>
      </w:pPr>
      <w:r w:rsidRPr="004A66F0">
        <w:rPr>
          <w:rFonts w:ascii="Times New Roman" w:eastAsia="Times New Roman" w:hAnsi="Times New Roman" w:cs="Times New Roman"/>
          <w:sz w:val="18"/>
          <w:szCs w:val="22"/>
          <w:lang w:val="es-ES_tradnl" w:eastAsia="es-ES"/>
        </w:rPr>
        <w:t xml:space="preserve">           Fuente: Dirección de Análisis y Política Fiscal</w:t>
      </w:r>
    </w:p>
    <w:p w14:paraId="2FDB40F5" w14:textId="77777777" w:rsidR="004A66F0" w:rsidRPr="004A66F0" w:rsidRDefault="004A66F0" w:rsidP="008D7BB4">
      <w:pPr>
        <w:spacing w:line="276" w:lineRule="auto"/>
        <w:contextualSpacing/>
        <w:jc w:val="both"/>
        <w:rPr>
          <w:rFonts w:ascii="Times New Roman" w:eastAsia="Times New Roman" w:hAnsi="Times New Roman" w:cs="Times New Roman"/>
          <w:sz w:val="22"/>
          <w:szCs w:val="22"/>
          <w:lang w:val="es-ES_tradnl" w:eastAsia="es-ES"/>
        </w:rPr>
      </w:pPr>
    </w:p>
    <w:p w14:paraId="0957B3ED" w14:textId="77777777" w:rsidR="004A66F0" w:rsidRPr="004A66F0" w:rsidRDefault="004A66F0" w:rsidP="008D7BB4">
      <w:pPr>
        <w:spacing w:line="276" w:lineRule="auto"/>
        <w:contextualSpacing/>
        <w:jc w:val="both"/>
        <w:rPr>
          <w:rFonts w:ascii="Times New Roman" w:eastAsia="Times New Roman" w:hAnsi="Times New Roman" w:cs="Times New Roman"/>
          <w:sz w:val="22"/>
          <w:szCs w:val="22"/>
          <w:lang w:val="es-ES_tradnl" w:eastAsia="es-ES"/>
        </w:rPr>
      </w:pPr>
      <w:r w:rsidRPr="004A66F0">
        <w:rPr>
          <w:rFonts w:ascii="Times New Roman" w:eastAsia="Times New Roman" w:hAnsi="Times New Roman" w:cs="Times New Roman"/>
          <w:sz w:val="22"/>
          <w:szCs w:val="22"/>
          <w:lang w:val="es-ES_tradnl" w:eastAsia="es-ES"/>
        </w:rPr>
        <w:t>Por su parte, el gasto en el renglón 029 tuvo una ejecución de Q1,588.4 millones con un crecimiento interanual de 7.8%, equivalente a Q114.8 millones. Las entidades que reportaron los aumentos más importantes en dicha erogación son Cultura y Deportes (16.4%, equivalente a Q13.7 millones), Salud Pública y Asistencia Social (7.0%, equivalente a Q13.5 millones) y Gobernación (10.6%, equivalente a Q13.1 millones). Por su parte, las entidades que reportaron disminuciones fueron únicamente Agricultura, Ganadería y Alimentación (-1.5%, equivalente a Q4.8 millones) y Defensa Nacional (-37.8%, equivalente a Q0.33 millones).</w:t>
      </w:r>
    </w:p>
    <w:p w14:paraId="049E3210" w14:textId="77777777" w:rsidR="004A66F0" w:rsidRPr="004A66F0" w:rsidRDefault="004A66F0" w:rsidP="008D7BB4">
      <w:pPr>
        <w:spacing w:line="276" w:lineRule="auto"/>
        <w:contextualSpacing/>
        <w:jc w:val="both"/>
        <w:rPr>
          <w:rFonts w:ascii="Times New Roman" w:eastAsia="Times New Roman" w:hAnsi="Times New Roman" w:cs="Times New Roman"/>
          <w:sz w:val="22"/>
          <w:szCs w:val="22"/>
          <w:lang w:val="es-ES_tradnl" w:eastAsia="es-ES"/>
        </w:rPr>
      </w:pPr>
    </w:p>
    <w:p w14:paraId="43F354AC" w14:textId="224B9589" w:rsidR="004A66F0" w:rsidRPr="004A66F0" w:rsidRDefault="004A66F0" w:rsidP="008D7BB4">
      <w:pPr>
        <w:spacing w:line="276" w:lineRule="auto"/>
        <w:contextualSpacing/>
        <w:jc w:val="both"/>
        <w:rPr>
          <w:rFonts w:ascii="Times New Roman" w:eastAsia="Times New Roman" w:hAnsi="Times New Roman" w:cs="Times New Roman"/>
          <w:sz w:val="22"/>
          <w:szCs w:val="22"/>
          <w:lang w:val="es-ES_tradnl" w:eastAsia="es-ES"/>
        </w:rPr>
      </w:pPr>
      <w:r w:rsidRPr="004A66F0">
        <w:rPr>
          <w:rFonts w:ascii="Times New Roman" w:eastAsia="Times New Roman" w:hAnsi="Times New Roman" w:cs="Times New Roman"/>
          <w:sz w:val="22"/>
          <w:szCs w:val="22"/>
          <w:lang w:val="es-ES_tradnl" w:eastAsia="es-ES"/>
        </w:rPr>
        <w:t>El rubro de los viáticos en el exterior e interior da cuenta de un crecimiento de 23.8%, equivalente a Q17.5 millones</w:t>
      </w:r>
      <w:r w:rsidR="00D21C37">
        <w:rPr>
          <w:rFonts w:ascii="Times New Roman" w:eastAsia="Times New Roman" w:hAnsi="Times New Roman" w:cs="Times New Roman"/>
          <w:sz w:val="22"/>
          <w:szCs w:val="22"/>
          <w:lang w:val="es-ES_tradnl" w:eastAsia="es-ES"/>
        </w:rPr>
        <w:t>.  L</w:t>
      </w:r>
      <w:r w:rsidRPr="004A66F0">
        <w:rPr>
          <w:rFonts w:ascii="Times New Roman" w:eastAsia="Times New Roman" w:hAnsi="Times New Roman" w:cs="Times New Roman"/>
          <w:sz w:val="22"/>
          <w:szCs w:val="22"/>
          <w:lang w:val="es-ES_tradnl" w:eastAsia="es-ES"/>
        </w:rPr>
        <w:t xml:space="preserve">os avances en los procesos de vacunación contra el COVID-19 y la normalización en la movilidad hacia el interior del país y hacia el extranjero permitieron una mayor movilidad, siendo la entidad con mayor crecimiento en dicho rubro el Ministerio de Relaciones Exteriores, influenciado por las actividades inherentes de esta entidad. </w:t>
      </w:r>
    </w:p>
    <w:p w14:paraId="6904218D" w14:textId="77777777" w:rsidR="004A66F0" w:rsidRPr="004A66F0" w:rsidRDefault="004A66F0" w:rsidP="008D7BB4">
      <w:pPr>
        <w:spacing w:line="276" w:lineRule="auto"/>
        <w:contextualSpacing/>
        <w:jc w:val="both"/>
        <w:rPr>
          <w:rFonts w:ascii="Times New Roman" w:eastAsia="Times New Roman" w:hAnsi="Times New Roman" w:cs="Times New Roman"/>
          <w:sz w:val="22"/>
          <w:szCs w:val="22"/>
          <w:lang w:val="es-ES_tradnl" w:eastAsia="es-ES"/>
        </w:rPr>
      </w:pPr>
    </w:p>
    <w:p w14:paraId="5E87FA9C" w14:textId="77777777" w:rsidR="004A66F0" w:rsidRPr="004A66F0" w:rsidRDefault="004A66F0" w:rsidP="008D7BB4">
      <w:pPr>
        <w:spacing w:line="276" w:lineRule="auto"/>
        <w:contextualSpacing/>
        <w:jc w:val="both"/>
        <w:rPr>
          <w:rFonts w:ascii="Times New Roman" w:eastAsia="Times New Roman" w:hAnsi="Times New Roman" w:cs="Times New Roman"/>
          <w:sz w:val="22"/>
          <w:szCs w:val="22"/>
          <w:lang w:val="es-ES_tradnl" w:eastAsia="es-ES"/>
        </w:rPr>
      </w:pPr>
      <w:r w:rsidRPr="004A66F0">
        <w:rPr>
          <w:rFonts w:ascii="Times New Roman" w:eastAsia="Times New Roman" w:hAnsi="Times New Roman" w:cs="Times New Roman"/>
          <w:sz w:val="22"/>
          <w:szCs w:val="22"/>
          <w:lang w:val="es-ES_tradnl" w:eastAsia="es-ES"/>
        </w:rPr>
        <w:t xml:space="preserve">En el caso de divulgación e información, el monto ejecutado es de Q58.7 millones, la tasa de crecimiento fue de 34.9% (equivalente a Q15.2 millones). </w:t>
      </w:r>
    </w:p>
    <w:p w14:paraId="21A60B17" w14:textId="77777777" w:rsidR="004A66F0" w:rsidRPr="004A66F0" w:rsidRDefault="004A66F0" w:rsidP="008D7BB4">
      <w:pPr>
        <w:spacing w:line="276" w:lineRule="auto"/>
        <w:contextualSpacing/>
        <w:jc w:val="both"/>
        <w:rPr>
          <w:rFonts w:ascii="Times New Roman" w:eastAsia="Times New Roman" w:hAnsi="Times New Roman" w:cs="Times New Roman"/>
          <w:sz w:val="22"/>
          <w:szCs w:val="22"/>
          <w:lang w:val="es-ES_tradnl" w:eastAsia="es-ES"/>
        </w:rPr>
      </w:pPr>
    </w:p>
    <w:p w14:paraId="0DF43ACF" w14:textId="734D2148" w:rsidR="004A66F0" w:rsidRDefault="004A66F0" w:rsidP="008D7BB4">
      <w:pPr>
        <w:spacing w:line="276" w:lineRule="auto"/>
        <w:contextualSpacing/>
        <w:jc w:val="both"/>
        <w:rPr>
          <w:rFonts w:ascii="Times New Roman" w:eastAsia="Times New Roman" w:hAnsi="Times New Roman" w:cs="Times New Roman"/>
          <w:sz w:val="22"/>
          <w:szCs w:val="22"/>
          <w:lang w:val="es-ES_tradnl" w:eastAsia="es-ES"/>
        </w:rPr>
      </w:pPr>
      <w:r w:rsidRPr="004A66F0">
        <w:rPr>
          <w:rFonts w:ascii="Times New Roman" w:eastAsia="Times New Roman" w:hAnsi="Times New Roman" w:cs="Times New Roman"/>
          <w:sz w:val="22"/>
          <w:szCs w:val="22"/>
          <w:lang w:val="es-ES_tradnl" w:eastAsia="es-ES"/>
        </w:rPr>
        <w:t>Al analizar el gasto por entidades resaltan las Secretar</w:t>
      </w:r>
      <w:r w:rsidR="00D21C37">
        <w:rPr>
          <w:rFonts w:ascii="Times New Roman" w:eastAsia="Times New Roman" w:hAnsi="Times New Roman" w:cs="Times New Roman"/>
          <w:sz w:val="22"/>
          <w:szCs w:val="22"/>
          <w:lang w:val="es-ES_tradnl" w:eastAsia="es-ES"/>
        </w:rPr>
        <w:t>í</w:t>
      </w:r>
      <w:r w:rsidRPr="004A66F0">
        <w:rPr>
          <w:rFonts w:ascii="Times New Roman" w:eastAsia="Times New Roman" w:hAnsi="Times New Roman" w:cs="Times New Roman"/>
          <w:sz w:val="22"/>
          <w:szCs w:val="22"/>
          <w:lang w:val="es-ES_tradnl" w:eastAsia="es-ES"/>
        </w:rPr>
        <w:t xml:space="preserve">as del Ejecutivo, específicamente la </w:t>
      </w:r>
      <w:proofErr w:type="gramStart"/>
      <w:r w:rsidRPr="004A66F0">
        <w:rPr>
          <w:rFonts w:ascii="Times New Roman" w:eastAsia="Times New Roman" w:hAnsi="Times New Roman" w:cs="Times New Roman"/>
          <w:sz w:val="22"/>
          <w:szCs w:val="22"/>
          <w:lang w:val="es-ES_tradnl" w:eastAsia="es-ES"/>
        </w:rPr>
        <w:t>Secretaria</w:t>
      </w:r>
      <w:proofErr w:type="gramEnd"/>
      <w:r w:rsidRPr="004A66F0">
        <w:rPr>
          <w:rFonts w:ascii="Times New Roman" w:eastAsia="Times New Roman" w:hAnsi="Times New Roman" w:cs="Times New Roman"/>
          <w:sz w:val="22"/>
          <w:szCs w:val="22"/>
          <w:lang w:val="es-ES_tradnl" w:eastAsia="es-ES"/>
        </w:rPr>
        <w:t xml:space="preserve"> de Comunicación Social de la Presidencia y el Ministerio de Salud Pública y Asistencia Social, derivado que en 2022 se mantuvieron las necesidades del gobierno de difundir por medio de campañas información relacionada a los servicios de prevención y tratamientos del COVID-19, información de prevención de ITS, VIH/SIDA, así como información gubernamental. </w:t>
      </w:r>
    </w:p>
    <w:p w14:paraId="7102B812" w14:textId="77777777" w:rsidR="008C3120" w:rsidRPr="004A66F0" w:rsidRDefault="008C3120" w:rsidP="008D7BB4">
      <w:pPr>
        <w:spacing w:line="276" w:lineRule="auto"/>
        <w:contextualSpacing/>
        <w:jc w:val="both"/>
        <w:rPr>
          <w:rFonts w:ascii="Times New Roman" w:eastAsia="Times New Roman" w:hAnsi="Times New Roman" w:cs="Times New Roman"/>
          <w:sz w:val="22"/>
          <w:szCs w:val="22"/>
          <w:lang w:val="es-ES_tradnl" w:eastAsia="es-ES"/>
        </w:rPr>
      </w:pPr>
    </w:p>
    <w:p w14:paraId="6D80DE74" w14:textId="449766B5" w:rsidR="004A66F0" w:rsidRPr="004A66F0" w:rsidRDefault="00A11E1A" w:rsidP="008D7BB4">
      <w:pPr>
        <w:spacing w:line="276" w:lineRule="auto"/>
        <w:contextualSpacing/>
        <w:jc w:val="center"/>
        <w:rPr>
          <w:rFonts w:ascii="Times New Roman" w:eastAsia="Times New Roman" w:hAnsi="Times New Roman" w:cs="Times New Roman"/>
          <w:sz w:val="20"/>
          <w:szCs w:val="22"/>
        </w:rPr>
      </w:pPr>
      <w:bookmarkStart w:id="39" w:name="_Toc125733209"/>
      <w:r w:rsidRPr="00A11E1A">
        <w:rPr>
          <w:rFonts w:ascii="Times New Roman" w:eastAsia="Times New Roman" w:hAnsi="Times New Roman" w:cs="Times New Roman"/>
          <w:b/>
          <w:sz w:val="22"/>
          <w:szCs w:val="22"/>
        </w:rPr>
        <w:lastRenderedPageBreak/>
        <w:t xml:space="preserve">Gráfico </w:t>
      </w:r>
      <w:r w:rsidRPr="00A11E1A">
        <w:rPr>
          <w:rFonts w:ascii="Times New Roman" w:eastAsia="Times New Roman" w:hAnsi="Times New Roman" w:cs="Times New Roman"/>
          <w:b/>
          <w:sz w:val="22"/>
          <w:szCs w:val="22"/>
        </w:rPr>
        <w:fldChar w:fldCharType="begin"/>
      </w:r>
      <w:r w:rsidRPr="00A11E1A">
        <w:rPr>
          <w:rFonts w:ascii="Times New Roman" w:eastAsia="Times New Roman" w:hAnsi="Times New Roman" w:cs="Times New Roman"/>
          <w:b/>
          <w:sz w:val="22"/>
          <w:szCs w:val="22"/>
        </w:rPr>
        <w:instrText xml:space="preserve"> SEQ Gráfico \* ARABIC </w:instrText>
      </w:r>
      <w:r w:rsidRPr="00A11E1A">
        <w:rPr>
          <w:rFonts w:ascii="Times New Roman" w:eastAsia="Times New Roman" w:hAnsi="Times New Roman" w:cs="Times New Roman"/>
          <w:b/>
          <w:sz w:val="22"/>
          <w:szCs w:val="22"/>
        </w:rPr>
        <w:fldChar w:fldCharType="separate"/>
      </w:r>
      <w:r w:rsidR="006F4BE5">
        <w:rPr>
          <w:rFonts w:ascii="Times New Roman" w:eastAsia="Times New Roman" w:hAnsi="Times New Roman" w:cs="Times New Roman"/>
          <w:b/>
          <w:noProof/>
          <w:sz w:val="22"/>
          <w:szCs w:val="22"/>
        </w:rPr>
        <w:t>13</w:t>
      </w:r>
      <w:r w:rsidRPr="00A11E1A">
        <w:rPr>
          <w:rFonts w:ascii="Times New Roman" w:eastAsia="Times New Roman" w:hAnsi="Times New Roman" w:cs="Times New Roman"/>
          <w:b/>
          <w:sz w:val="22"/>
          <w:szCs w:val="22"/>
        </w:rPr>
        <w:fldChar w:fldCharType="end"/>
      </w:r>
      <w:r>
        <w:rPr>
          <w:rFonts w:ascii="Times New Roman" w:eastAsia="Times New Roman" w:hAnsi="Times New Roman" w:cs="Times New Roman"/>
          <w:b/>
          <w:sz w:val="22"/>
          <w:szCs w:val="22"/>
        </w:rPr>
        <w:t xml:space="preserve">. </w:t>
      </w:r>
      <w:r w:rsidR="00FD0AB7" w:rsidRPr="004A66F0">
        <w:rPr>
          <w:rFonts w:ascii="Calibri" w:eastAsia="Times New Roman" w:hAnsi="Calibri" w:cs="Calibri"/>
          <w:noProof/>
          <w:sz w:val="22"/>
          <w:szCs w:val="22"/>
        </w:rPr>
        <mc:AlternateContent>
          <mc:Choice Requires="wps">
            <w:drawing>
              <wp:anchor distT="45720" distB="45720" distL="114300" distR="114300" simplePos="0" relativeHeight="251617792" behindDoc="0" locked="0" layoutInCell="1" allowOverlap="1" wp14:anchorId="41939FE4" wp14:editId="311F1462">
                <wp:simplePos x="0" y="0"/>
                <wp:positionH relativeFrom="column">
                  <wp:posOffset>4201313</wp:posOffset>
                </wp:positionH>
                <wp:positionV relativeFrom="paragraph">
                  <wp:posOffset>8255</wp:posOffset>
                </wp:positionV>
                <wp:extent cx="1192530" cy="461010"/>
                <wp:effectExtent l="0" t="0" r="0" b="0"/>
                <wp:wrapNone/>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461010"/>
                        </a:xfrm>
                        <a:prstGeom prst="rect">
                          <a:avLst/>
                        </a:prstGeom>
                        <a:noFill/>
                        <a:ln w="9525">
                          <a:noFill/>
                          <a:miter lim="800000"/>
                          <a:headEnd/>
                          <a:tailEnd/>
                        </a:ln>
                      </wps:spPr>
                      <wps:txbx>
                        <w:txbxContent>
                          <w:p w14:paraId="473E2878" w14:textId="77777777" w:rsidR="004A66F0" w:rsidRPr="00413476" w:rsidRDefault="004A66F0" w:rsidP="004A66F0">
                            <w:pPr>
                              <w:jc w:val="center"/>
                              <w:rPr>
                                <w:rFonts w:ascii="Times New Roman" w:hAnsi="Times New Roman"/>
                                <w:b/>
                                <w:color w:val="C00000"/>
                                <w:sz w:val="20"/>
                                <w:lang w:val="en-US"/>
                              </w:rPr>
                            </w:pPr>
                            <w:r w:rsidRPr="00703BA9">
                              <w:rPr>
                                <w:rFonts w:ascii="Times New Roman" w:hAnsi="Times New Roman"/>
                                <w:b/>
                                <w:color w:val="C00000"/>
                                <w:sz w:val="20"/>
                                <w:lang w:val="es-ES_tradnl" w:eastAsia="es-ES"/>
                              </w:rPr>
                              <w:t>Aumento</w:t>
                            </w:r>
                            <w:r w:rsidRPr="00413476">
                              <w:rPr>
                                <w:rFonts w:ascii="Times New Roman" w:hAnsi="Times New Roman"/>
                                <w:b/>
                                <w:color w:val="C00000"/>
                                <w:sz w:val="20"/>
                              </w:rPr>
                              <w:t xml:space="preserve"> de Q</w:t>
                            </w:r>
                            <w:r>
                              <w:rPr>
                                <w:rFonts w:ascii="Times New Roman" w:hAnsi="Times New Roman"/>
                                <w:b/>
                                <w:color w:val="C00000"/>
                                <w:sz w:val="20"/>
                              </w:rPr>
                              <w:t>650</w:t>
                            </w:r>
                            <w:r w:rsidRPr="00413476">
                              <w:rPr>
                                <w:rFonts w:ascii="Times New Roman" w:hAnsi="Times New Roman"/>
                                <w:b/>
                                <w:color w:val="C00000"/>
                                <w:sz w:val="20"/>
                              </w:rPr>
                              <w:t>.</w:t>
                            </w:r>
                            <w:r>
                              <w:rPr>
                                <w:rFonts w:ascii="Times New Roman" w:hAnsi="Times New Roman"/>
                                <w:b/>
                                <w:color w:val="C00000"/>
                                <w:sz w:val="20"/>
                              </w:rPr>
                              <w:t>9</w:t>
                            </w:r>
                            <w:r w:rsidRPr="00413476">
                              <w:rPr>
                                <w:rFonts w:ascii="Times New Roman" w:hAnsi="Times New Roman"/>
                                <w:b/>
                                <w:color w:val="C00000"/>
                                <w:sz w:val="20"/>
                              </w:rPr>
                              <w:t xml:space="preserve"> millones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41939FE4" id="_x0000_t202" coordsize="21600,21600" o:spt="202" path="m,l,21600r21600,l21600,xe">
                <v:stroke joinstyle="miter"/>
                <v:path gradientshapeok="t" o:connecttype="rect"/>
              </v:shapetype>
              <v:shape id="Cuadro de texto 217" o:spid="_x0000_s1027" type="#_x0000_t202" style="position:absolute;left:0;text-align:left;margin-left:330.8pt;margin-top:.65pt;width:93.9pt;height:36.3pt;z-index:251617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" filled="f" stroked="f">
                <v:textbox>
                  <w:txbxContent>
                    <w:p w14:paraId="473E2878" w14:textId="77777777" w:rsidR="004A66F0" w:rsidRPr="00413476" w:rsidRDefault="004A66F0" w:rsidP="004A66F0">
                      <w:pPr>
                        <w:jc w:val="center"/>
                        <w:rPr>
                          <w:rFonts w:ascii="Times New Roman" w:hAnsi="Times New Roman"/>
                          <w:b/>
                          <w:color w:val="C00000"/>
                          <w:sz w:val="20"/>
                          <w:lang w:val="en-US"/>
                        </w:rPr>
                      </w:pPr>
                      <w:r w:rsidRPr="00703BA9">
                        <w:rPr>
                          <w:rFonts w:ascii="Times New Roman" w:hAnsi="Times New Roman"/>
                          <w:b/>
                          <w:color w:val="C00000"/>
                          <w:sz w:val="20"/>
                          <w:lang w:val="es-ES_tradnl" w:eastAsia="es-ES"/>
                        </w:rPr>
                        <w:t>Aumento</w:t>
                      </w:r>
                      <w:r w:rsidRPr="00413476">
                        <w:rPr>
                          <w:rFonts w:ascii="Times New Roman" w:hAnsi="Times New Roman"/>
                          <w:b/>
                          <w:color w:val="C00000"/>
                          <w:sz w:val="20"/>
                        </w:rPr>
                        <w:t xml:space="preserve"> de Q</w:t>
                      </w:r>
                      <w:r>
                        <w:rPr>
                          <w:rFonts w:ascii="Times New Roman" w:hAnsi="Times New Roman"/>
                          <w:b/>
                          <w:color w:val="C00000"/>
                          <w:sz w:val="20"/>
                        </w:rPr>
                        <w:t>650</w:t>
                      </w:r>
                      <w:r w:rsidRPr="00413476">
                        <w:rPr>
                          <w:rFonts w:ascii="Times New Roman" w:hAnsi="Times New Roman"/>
                          <w:b/>
                          <w:color w:val="C00000"/>
                          <w:sz w:val="20"/>
                        </w:rPr>
                        <w:t>.</w:t>
                      </w:r>
                      <w:r>
                        <w:rPr>
                          <w:rFonts w:ascii="Times New Roman" w:hAnsi="Times New Roman"/>
                          <w:b/>
                          <w:color w:val="C00000"/>
                          <w:sz w:val="20"/>
                        </w:rPr>
                        <w:t>9</w:t>
                      </w:r>
                      <w:r w:rsidRPr="00413476">
                        <w:rPr>
                          <w:rFonts w:ascii="Times New Roman" w:hAnsi="Times New Roman"/>
                          <w:b/>
                          <w:color w:val="C00000"/>
                          <w:sz w:val="20"/>
                        </w:rPr>
                        <w:t xml:space="preserve"> millones</w:t>
                      </w:r>
                    </w:p>
                  </w:txbxContent>
                </v:textbox>
              </v:shape>
            </w:pict>
          </mc:Fallback>
        </mc:AlternateContent>
      </w:r>
      <w:r w:rsidR="004A66F0" w:rsidRPr="004A66F0">
        <w:rPr>
          <w:rFonts w:ascii="Times New Roman" w:eastAsia="Times New Roman" w:hAnsi="Times New Roman" w:cs="Times New Roman"/>
          <w:b/>
          <w:sz w:val="22"/>
          <w:szCs w:val="22"/>
        </w:rPr>
        <w:t>Gastos no esenciales 2019-2022</w:t>
      </w:r>
      <w:bookmarkEnd w:id="39"/>
      <w:r w:rsidR="004A66F0" w:rsidRPr="004A66F0">
        <w:rPr>
          <w:rFonts w:ascii="Times New Roman" w:eastAsia="Times New Roman" w:hAnsi="Times New Roman" w:cs="Times New Roman"/>
          <w:b/>
          <w:sz w:val="22"/>
          <w:szCs w:val="22"/>
        </w:rPr>
        <w:t xml:space="preserve"> </w:t>
      </w:r>
      <w:r w:rsidR="004A66F0" w:rsidRPr="004A66F0">
        <w:rPr>
          <w:rFonts w:ascii="Times New Roman" w:eastAsia="Times New Roman" w:hAnsi="Times New Roman" w:cs="Times New Roman"/>
          <w:sz w:val="20"/>
          <w:szCs w:val="22"/>
        </w:rPr>
        <w:t xml:space="preserve">       </w:t>
      </w:r>
    </w:p>
    <w:p w14:paraId="03E2FE62" w14:textId="0BDCD7AE" w:rsidR="004A66F0" w:rsidRPr="004A66F0" w:rsidRDefault="004A66F0" w:rsidP="008D7BB4">
      <w:pPr>
        <w:spacing w:line="276" w:lineRule="auto"/>
        <w:contextualSpacing/>
        <w:jc w:val="center"/>
        <w:rPr>
          <w:rFonts w:ascii="Times New Roman" w:eastAsia="Times New Roman" w:hAnsi="Times New Roman" w:cs="Times New Roman"/>
          <w:b/>
          <w:sz w:val="22"/>
          <w:szCs w:val="22"/>
        </w:rPr>
      </w:pPr>
      <w:r w:rsidRPr="004A66F0">
        <w:rPr>
          <w:rFonts w:ascii="Calibri" w:eastAsia="Times New Roman" w:hAnsi="Calibri" w:cs="Calibri"/>
          <w:noProof/>
          <w:sz w:val="22"/>
          <w:szCs w:val="22"/>
        </w:rPr>
        <w:drawing>
          <wp:anchor distT="0" distB="0" distL="114300" distR="118872" simplePos="0" relativeHeight="251615744" behindDoc="0" locked="0" layoutInCell="1" allowOverlap="1" wp14:anchorId="1AF4EF78" wp14:editId="4F0E8D62">
            <wp:simplePos x="0" y="0"/>
            <wp:positionH relativeFrom="column">
              <wp:posOffset>149860</wp:posOffset>
            </wp:positionH>
            <wp:positionV relativeFrom="paragraph">
              <wp:posOffset>153035</wp:posOffset>
            </wp:positionV>
            <wp:extent cx="5612130" cy="2708910"/>
            <wp:effectExtent l="0" t="0" r="7620" b="0"/>
            <wp:wrapSquare wrapText="bothSides"/>
            <wp:docPr id="35" name="Gráfico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Pr="004A66F0">
        <w:rPr>
          <w:rFonts w:ascii="Times New Roman" w:eastAsia="Times New Roman" w:hAnsi="Times New Roman" w:cs="Times New Roman"/>
          <w:sz w:val="20"/>
          <w:szCs w:val="22"/>
        </w:rPr>
        <w:t>Millones de quetzales</w:t>
      </w:r>
    </w:p>
    <w:p w14:paraId="36459AFE" w14:textId="77777777" w:rsidR="004A66F0" w:rsidRPr="004A66F0" w:rsidRDefault="004A66F0" w:rsidP="008D7BB4">
      <w:pPr>
        <w:spacing w:line="276" w:lineRule="auto"/>
        <w:contextualSpacing/>
        <w:rPr>
          <w:rFonts w:ascii="Times New Roman" w:eastAsia="Times New Roman" w:hAnsi="Times New Roman" w:cs="Times New Roman"/>
          <w:sz w:val="18"/>
          <w:szCs w:val="22"/>
          <w:lang w:val="es-ES_tradnl" w:eastAsia="es-ES"/>
        </w:rPr>
      </w:pPr>
      <w:r w:rsidRPr="004A66F0">
        <w:rPr>
          <w:rFonts w:ascii="Times New Roman" w:eastAsia="Times New Roman" w:hAnsi="Times New Roman" w:cs="Times New Roman"/>
          <w:sz w:val="18"/>
          <w:szCs w:val="22"/>
          <w:lang w:val="es-ES_tradnl" w:eastAsia="es-ES"/>
        </w:rPr>
        <w:t xml:space="preserve">            Fuente: Dirección de Análisis y Política Fiscal.</w:t>
      </w:r>
    </w:p>
    <w:p w14:paraId="2757CE41" w14:textId="77777777" w:rsidR="004A66F0" w:rsidRPr="004A66F0" w:rsidRDefault="004A66F0" w:rsidP="008D7BB4">
      <w:pPr>
        <w:spacing w:line="276" w:lineRule="auto"/>
        <w:contextualSpacing/>
        <w:jc w:val="both"/>
        <w:rPr>
          <w:rFonts w:ascii="Times New Roman" w:eastAsia="Times New Roman" w:hAnsi="Times New Roman" w:cs="Times New Roman"/>
          <w:sz w:val="22"/>
          <w:szCs w:val="22"/>
          <w:lang w:val="es-ES_tradnl" w:eastAsia="es-ES"/>
        </w:rPr>
      </w:pPr>
    </w:p>
    <w:p w14:paraId="6E904E21" w14:textId="77777777" w:rsidR="004A66F0" w:rsidRPr="00A36506" w:rsidRDefault="004A66F0" w:rsidP="008D7BB4">
      <w:pPr>
        <w:pStyle w:val="Prrafodelista"/>
        <w:keepNext/>
        <w:keepLines/>
        <w:numPr>
          <w:ilvl w:val="1"/>
          <w:numId w:val="20"/>
        </w:numPr>
        <w:tabs>
          <w:tab w:val="left" w:pos="1134"/>
        </w:tabs>
        <w:spacing w:line="276" w:lineRule="auto"/>
        <w:jc w:val="both"/>
        <w:outlineLvl w:val="1"/>
        <w:rPr>
          <w:rFonts w:ascii="Times New Roman" w:eastAsiaTheme="majorEastAsia" w:hAnsi="Times New Roman" w:cs="Times New Roman"/>
          <w:b/>
          <w:bCs/>
        </w:rPr>
      </w:pPr>
      <w:bookmarkStart w:id="40" w:name="_Toc125723285"/>
      <w:r w:rsidRPr="00A36506">
        <w:rPr>
          <w:rFonts w:ascii="Times New Roman" w:eastAsiaTheme="majorEastAsia" w:hAnsi="Times New Roman" w:cs="Times New Roman"/>
          <w:b/>
          <w:bCs/>
        </w:rPr>
        <w:t>Los sectores de justicia tuvieron el mayor repunte en el gasto de los Acuerdo de Paz durante 2022</w:t>
      </w:r>
      <w:bookmarkEnd w:id="40"/>
    </w:p>
    <w:p w14:paraId="311242DF" w14:textId="77777777" w:rsidR="004A66F0" w:rsidRPr="004A66F0" w:rsidRDefault="004A66F0" w:rsidP="008D7BB4">
      <w:pPr>
        <w:spacing w:line="276" w:lineRule="auto"/>
        <w:contextualSpacing/>
        <w:rPr>
          <w:rFonts w:ascii="Calibri" w:eastAsia="Times New Roman" w:hAnsi="Calibri" w:cs="Calibri"/>
          <w:sz w:val="22"/>
          <w:szCs w:val="22"/>
        </w:rPr>
      </w:pPr>
    </w:p>
    <w:p w14:paraId="249C3AA8" w14:textId="5079214A" w:rsidR="004A66F0" w:rsidRPr="004A66F0" w:rsidRDefault="004A66F0" w:rsidP="008D7BB4">
      <w:pPr>
        <w:spacing w:line="276" w:lineRule="auto"/>
        <w:contextualSpacing/>
        <w:jc w:val="both"/>
        <w:rPr>
          <w:rFonts w:ascii="Times New Roman" w:eastAsia="Times New Roman" w:hAnsi="Times New Roman" w:cs="Calibri"/>
          <w:sz w:val="22"/>
          <w:szCs w:val="22"/>
        </w:rPr>
      </w:pPr>
      <w:r w:rsidRPr="004A66F0">
        <w:rPr>
          <w:rFonts w:ascii="Times New Roman" w:eastAsia="Times New Roman" w:hAnsi="Times New Roman" w:cs="Calibri"/>
          <w:sz w:val="22"/>
          <w:szCs w:val="22"/>
        </w:rPr>
        <w:t>El gasto social</w:t>
      </w:r>
      <w:r w:rsidR="00D21C37">
        <w:rPr>
          <w:rFonts w:ascii="Times New Roman" w:eastAsia="Times New Roman" w:hAnsi="Times New Roman" w:cs="Calibri"/>
          <w:sz w:val="22"/>
          <w:szCs w:val="22"/>
        </w:rPr>
        <w:t>,</w:t>
      </w:r>
      <w:r w:rsidRPr="004A66F0">
        <w:rPr>
          <w:rFonts w:ascii="Times New Roman" w:eastAsia="Times New Roman" w:hAnsi="Times New Roman" w:cs="Calibri"/>
          <w:sz w:val="22"/>
          <w:szCs w:val="22"/>
        </w:rPr>
        <w:t xml:space="preserve"> entendido como el gasto sectorial de los Acuerdos de Paz, orientados a los sectores de salud y asistencia social, educación, ciencia y cultura, y vivienda, mostraron en su conjunto, una ejecución de Q41,333.1 millones, con un crecimiento interanual de 13.2%, siendo superior en Q4,830.4 millones a lo observado en 2021. </w:t>
      </w:r>
    </w:p>
    <w:p w14:paraId="18830A1D" w14:textId="77777777" w:rsidR="004A66F0" w:rsidRPr="004A66F0" w:rsidRDefault="004A66F0" w:rsidP="008D7BB4">
      <w:pPr>
        <w:spacing w:line="276" w:lineRule="auto"/>
        <w:contextualSpacing/>
        <w:jc w:val="both"/>
        <w:rPr>
          <w:rFonts w:ascii="Times New Roman" w:eastAsia="Times New Roman" w:hAnsi="Times New Roman" w:cs="Calibri"/>
          <w:sz w:val="22"/>
          <w:szCs w:val="22"/>
        </w:rPr>
      </w:pPr>
    </w:p>
    <w:p w14:paraId="7627AE28" w14:textId="77777777" w:rsidR="004A66F0" w:rsidRPr="004A66F0" w:rsidRDefault="004A66F0" w:rsidP="008D7BB4">
      <w:pPr>
        <w:spacing w:line="276" w:lineRule="auto"/>
        <w:contextualSpacing/>
        <w:jc w:val="both"/>
        <w:rPr>
          <w:rFonts w:ascii="Times New Roman" w:eastAsia="Times New Roman" w:hAnsi="Times New Roman" w:cs="Calibri"/>
          <w:sz w:val="22"/>
          <w:szCs w:val="22"/>
        </w:rPr>
      </w:pPr>
      <w:r w:rsidRPr="004A66F0">
        <w:rPr>
          <w:rFonts w:ascii="Times New Roman" w:eastAsia="Times New Roman" w:hAnsi="Times New Roman" w:cs="Calibri"/>
          <w:sz w:val="22"/>
          <w:szCs w:val="22"/>
        </w:rPr>
        <w:t>En lo que respecta a los otros componentes que hacen parte del gasto de los Acuerdos de Paz, que comprende el gasto en seguridad interna y las transferencias al Organismo Judicial, Corte de Constitucionalidad y Ministerio Público, en su conjunto mostraron una ejecución de Q11,543.6 millones, la cual muestra una variación interanual de 12.9%, equivalente a Q1,317.1 millones.</w:t>
      </w:r>
    </w:p>
    <w:p w14:paraId="6B513A80" w14:textId="77777777" w:rsidR="004A66F0" w:rsidRPr="004A66F0" w:rsidRDefault="004A66F0" w:rsidP="008D7BB4">
      <w:pPr>
        <w:spacing w:line="276" w:lineRule="auto"/>
        <w:contextualSpacing/>
        <w:jc w:val="both"/>
        <w:rPr>
          <w:rFonts w:ascii="Times New Roman" w:eastAsia="Times New Roman" w:hAnsi="Times New Roman" w:cs="Calibri"/>
          <w:sz w:val="22"/>
          <w:szCs w:val="22"/>
        </w:rPr>
      </w:pPr>
    </w:p>
    <w:p w14:paraId="263E3803" w14:textId="77777777" w:rsidR="004A66F0" w:rsidRPr="004A66F0" w:rsidRDefault="004A66F0" w:rsidP="008D7BB4">
      <w:pPr>
        <w:spacing w:line="276" w:lineRule="auto"/>
        <w:contextualSpacing/>
        <w:jc w:val="both"/>
        <w:rPr>
          <w:rFonts w:ascii="Times New Roman" w:eastAsia="Times New Roman" w:hAnsi="Times New Roman" w:cs="Calibri"/>
          <w:sz w:val="22"/>
          <w:szCs w:val="22"/>
        </w:rPr>
      </w:pPr>
      <w:r w:rsidRPr="004A66F0">
        <w:rPr>
          <w:rFonts w:ascii="Times New Roman" w:eastAsia="Times New Roman" w:hAnsi="Times New Roman" w:cs="Calibri"/>
          <w:sz w:val="22"/>
          <w:szCs w:val="22"/>
        </w:rPr>
        <w:t>Al agregar todos los sectores que conforman el gasto social, este se encuentra creciendo en 13.2%, equivalente a Q6,147.6 millones.</w:t>
      </w:r>
    </w:p>
    <w:p w14:paraId="3BF79A24" w14:textId="77777777" w:rsidR="004A66F0" w:rsidRPr="004A66F0" w:rsidRDefault="004A66F0" w:rsidP="008D7BB4">
      <w:pPr>
        <w:spacing w:line="276" w:lineRule="auto"/>
        <w:contextualSpacing/>
        <w:jc w:val="both"/>
        <w:rPr>
          <w:rFonts w:ascii="Times New Roman" w:eastAsia="Times New Roman" w:hAnsi="Times New Roman" w:cs="Calibri"/>
          <w:sz w:val="22"/>
          <w:szCs w:val="22"/>
        </w:rPr>
      </w:pPr>
    </w:p>
    <w:p w14:paraId="24E122C2" w14:textId="77777777" w:rsidR="004A66F0" w:rsidRPr="004A66F0" w:rsidRDefault="004A66F0" w:rsidP="008D7BB4">
      <w:pPr>
        <w:spacing w:line="276" w:lineRule="auto"/>
        <w:contextualSpacing/>
        <w:jc w:val="both"/>
        <w:rPr>
          <w:rFonts w:ascii="Times New Roman" w:eastAsia="Times New Roman" w:hAnsi="Times New Roman" w:cs="Calibri"/>
          <w:sz w:val="22"/>
          <w:szCs w:val="22"/>
        </w:rPr>
      </w:pPr>
      <w:r w:rsidRPr="004A66F0">
        <w:rPr>
          <w:rFonts w:ascii="Times New Roman" w:eastAsia="Times New Roman" w:hAnsi="Times New Roman" w:cs="Calibri"/>
          <w:sz w:val="22"/>
          <w:szCs w:val="22"/>
        </w:rPr>
        <w:t xml:space="preserve">El traslado hacia el Ministerio Público reporta un aumento de Q965.9 millones, siendo el componente del gasto social con mayor crecimiento interanual (52.8%). Seguido del sector Educación, Ciencia y Cultura con un crecimiento interanual de 13.8% (equivalente a Q3,000.1 millones), siendo la Educación Preprimaria y Primaria la que tuvo la mayor asignación de recursos y el mayor nivel de ejecución, 98.6%. Asimismo, los Servicios Auxiliares de la Educación mostró un nivel de ejecución de 97.0%. </w:t>
      </w:r>
    </w:p>
    <w:p w14:paraId="6BFF317C" w14:textId="77777777" w:rsidR="004A66F0" w:rsidRPr="004A66F0" w:rsidRDefault="004A66F0" w:rsidP="008D7BB4">
      <w:pPr>
        <w:spacing w:line="276" w:lineRule="auto"/>
        <w:contextualSpacing/>
        <w:jc w:val="both"/>
        <w:rPr>
          <w:rFonts w:ascii="Times New Roman" w:eastAsia="Times New Roman" w:hAnsi="Times New Roman" w:cs="Calibri"/>
          <w:sz w:val="22"/>
          <w:szCs w:val="22"/>
        </w:rPr>
      </w:pPr>
    </w:p>
    <w:p w14:paraId="381A470D" w14:textId="77777777" w:rsidR="004A66F0" w:rsidRPr="004A66F0" w:rsidRDefault="004A66F0" w:rsidP="008D7BB4">
      <w:pPr>
        <w:spacing w:line="276" w:lineRule="auto"/>
        <w:contextualSpacing/>
        <w:jc w:val="both"/>
        <w:rPr>
          <w:rFonts w:ascii="Times New Roman" w:eastAsia="Times New Roman" w:hAnsi="Times New Roman" w:cs="Calibri"/>
          <w:sz w:val="22"/>
          <w:szCs w:val="22"/>
        </w:rPr>
      </w:pPr>
      <w:r w:rsidRPr="004A66F0">
        <w:rPr>
          <w:rFonts w:ascii="Times New Roman" w:eastAsia="Times New Roman" w:hAnsi="Times New Roman" w:cs="Calibri"/>
          <w:sz w:val="22"/>
          <w:szCs w:val="22"/>
        </w:rPr>
        <w:lastRenderedPageBreak/>
        <w:t xml:space="preserve">Por su parte, Salud y Asistencia Social tuvo un crecimiento de Q13.2%, equivalente a Q1,889.4 millones; mientras el sector de Seguridad Interna reportó un crecimiento de 1.1%, equivalente a Q67.0 millones, siendo los Servicios de Policía y Seguridad Ciudadana la función más importante, reportando una ejecución de 97.6%. </w:t>
      </w:r>
    </w:p>
    <w:p w14:paraId="632491DE" w14:textId="77777777" w:rsidR="004A66F0" w:rsidRPr="004A66F0" w:rsidRDefault="004A66F0" w:rsidP="008D7BB4">
      <w:pPr>
        <w:spacing w:line="276" w:lineRule="auto"/>
        <w:contextualSpacing/>
        <w:jc w:val="both"/>
        <w:rPr>
          <w:rFonts w:ascii="Times New Roman" w:eastAsia="Times New Roman" w:hAnsi="Times New Roman" w:cs="Calibri"/>
          <w:sz w:val="22"/>
          <w:szCs w:val="22"/>
        </w:rPr>
      </w:pPr>
    </w:p>
    <w:p w14:paraId="0CFCCAD1" w14:textId="77777777" w:rsidR="004A66F0" w:rsidRPr="004A66F0" w:rsidRDefault="004A66F0" w:rsidP="008D7BB4">
      <w:pPr>
        <w:spacing w:line="276" w:lineRule="auto"/>
        <w:contextualSpacing/>
        <w:jc w:val="both"/>
        <w:rPr>
          <w:rFonts w:ascii="Times New Roman" w:eastAsia="Times New Roman" w:hAnsi="Times New Roman" w:cs="Calibri"/>
          <w:sz w:val="22"/>
          <w:szCs w:val="22"/>
        </w:rPr>
      </w:pPr>
      <w:r w:rsidRPr="004A66F0">
        <w:rPr>
          <w:rFonts w:ascii="Times New Roman" w:eastAsia="Times New Roman" w:hAnsi="Times New Roman" w:cs="Calibri"/>
          <w:sz w:val="22"/>
          <w:szCs w:val="22"/>
        </w:rPr>
        <w:t xml:space="preserve">Por su parte, el aporte hacia el Organismo Judicial y la Corte de Constitucionalidad, tuvo un crecimiento de 11.6%, equivalente a Q284.3 millones. Respecto al sector vivienda, tuvo una contracción de 15.6%, equivalente a Q59.1 millones menos que en 2021, siendo el único sector del gasto social que no reportó crecimiento en el período. </w:t>
      </w:r>
    </w:p>
    <w:p w14:paraId="0D54E201" w14:textId="77777777" w:rsidR="004A66F0" w:rsidRPr="004A66F0" w:rsidRDefault="004A66F0" w:rsidP="008D7BB4">
      <w:pPr>
        <w:spacing w:line="276" w:lineRule="auto"/>
        <w:contextualSpacing/>
        <w:jc w:val="both"/>
        <w:rPr>
          <w:rFonts w:ascii="Times New Roman" w:eastAsia="Times New Roman" w:hAnsi="Times New Roman" w:cs="Calibri"/>
          <w:sz w:val="22"/>
          <w:szCs w:val="22"/>
        </w:rPr>
      </w:pPr>
    </w:p>
    <w:p w14:paraId="0C6F0B38" w14:textId="12C3AB07" w:rsidR="004A66F0" w:rsidRPr="0014283B" w:rsidRDefault="0014283B" w:rsidP="008D7BB4">
      <w:pPr>
        <w:spacing w:line="276" w:lineRule="auto"/>
        <w:contextualSpacing/>
        <w:jc w:val="center"/>
        <w:rPr>
          <w:rFonts w:ascii="Times New Roman" w:eastAsia="Times New Roman" w:hAnsi="Times New Roman" w:cs="Times New Roman"/>
          <w:b/>
          <w:sz w:val="22"/>
          <w:szCs w:val="22"/>
        </w:rPr>
      </w:pPr>
      <w:bookmarkStart w:id="41" w:name="_Toc125534810"/>
      <w:bookmarkStart w:id="42" w:name="_Hlk124840342"/>
      <w:r w:rsidRPr="0014283B">
        <w:rPr>
          <w:rFonts w:ascii="Times New Roman" w:hAnsi="Times New Roman" w:cs="Times New Roman"/>
          <w:b/>
          <w:bCs/>
          <w:sz w:val="22"/>
          <w:szCs w:val="22"/>
        </w:rPr>
        <w:t xml:space="preserve">Tabla </w:t>
      </w:r>
      <w:r w:rsidRPr="0014283B">
        <w:rPr>
          <w:rFonts w:ascii="Times New Roman" w:hAnsi="Times New Roman" w:cs="Times New Roman"/>
          <w:b/>
          <w:bCs/>
          <w:sz w:val="22"/>
          <w:szCs w:val="22"/>
        </w:rPr>
        <w:fldChar w:fldCharType="begin"/>
      </w:r>
      <w:r w:rsidRPr="0014283B">
        <w:rPr>
          <w:rFonts w:ascii="Times New Roman" w:hAnsi="Times New Roman" w:cs="Times New Roman"/>
          <w:b/>
          <w:bCs/>
          <w:sz w:val="22"/>
          <w:szCs w:val="22"/>
        </w:rPr>
        <w:instrText xml:space="preserve"> SEQ Tabla \* ARABIC </w:instrText>
      </w:r>
      <w:r w:rsidRPr="0014283B">
        <w:rPr>
          <w:rFonts w:ascii="Times New Roman" w:hAnsi="Times New Roman" w:cs="Times New Roman"/>
          <w:b/>
          <w:bCs/>
          <w:sz w:val="22"/>
          <w:szCs w:val="22"/>
        </w:rPr>
        <w:fldChar w:fldCharType="separate"/>
      </w:r>
      <w:r w:rsidR="006F4BE5">
        <w:rPr>
          <w:rFonts w:ascii="Times New Roman" w:hAnsi="Times New Roman" w:cs="Times New Roman"/>
          <w:b/>
          <w:bCs/>
          <w:noProof/>
          <w:sz w:val="22"/>
          <w:szCs w:val="22"/>
        </w:rPr>
        <w:t>1</w:t>
      </w:r>
      <w:r w:rsidRPr="0014283B">
        <w:rPr>
          <w:rFonts w:ascii="Times New Roman" w:hAnsi="Times New Roman" w:cs="Times New Roman"/>
          <w:b/>
          <w:bCs/>
          <w:sz w:val="22"/>
          <w:szCs w:val="22"/>
        </w:rPr>
        <w:fldChar w:fldCharType="end"/>
      </w:r>
      <w:r w:rsidRPr="0014283B">
        <w:rPr>
          <w:rFonts w:ascii="Times New Roman" w:hAnsi="Times New Roman" w:cs="Times New Roman"/>
          <w:b/>
          <w:bCs/>
          <w:sz w:val="22"/>
          <w:szCs w:val="22"/>
        </w:rPr>
        <w:t>.</w:t>
      </w:r>
      <w:r w:rsidRPr="0014283B">
        <w:rPr>
          <w:sz w:val="22"/>
          <w:szCs w:val="22"/>
        </w:rPr>
        <w:t xml:space="preserve"> </w:t>
      </w:r>
      <w:r w:rsidR="004A66F0" w:rsidRPr="0014283B">
        <w:rPr>
          <w:rFonts w:ascii="Times New Roman" w:eastAsia="Times New Roman" w:hAnsi="Times New Roman" w:cs="Times New Roman"/>
          <w:b/>
          <w:sz w:val="22"/>
          <w:szCs w:val="22"/>
        </w:rPr>
        <w:t>Ejecución del Gasto social y de los Acuerdos de Paz</w:t>
      </w:r>
      <w:bookmarkEnd w:id="41"/>
    </w:p>
    <w:p w14:paraId="1B0E286E" w14:textId="77777777" w:rsidR="004A66F0" w:rsidRPr="0014283B" w:rsidRDefault="004A66F0" w:rsidP="008D7BB4">
      <w:pPr>
        <w:spacing w:line="276" w:lineRule="auto"/>
        <w:contextualSpacing/>
        <w:jc w:val="center"/>
        <w:rPr>
          <w:rFonts w:ascii="Times New Roman" w:eastAsia="Times New Roman" w:hAnsi="Times New Roman" w:cs="Times New Roman"/>
          <w:b/>
          <w:sz w:val="22"/>
          <w:szCs w:val="22"/>
        </w:rPr>
      </w:pPr>
      <w:r w:rsidRPr="0014283B">
        <w:rPr>
          <w:rFonts w:ascii="Times New Roman" w:eastAsia="Times New Roman" w:hAnsi="Times New Roman" w:cs="Times New Roman"/>
          <w:b/>
          <w:sz w:val="22"/>
          <w:szCs w:val="22"/>
        </w:rPr>
        <w:t>2022 – 2021</w:t>
      </w:r>
    </w:p>
    <w:p w14:paraId="0931C993" w14:textId="77777777" w:rsidR="004A66F0" w:rsidRPr="0014283B" w:rsidRDefault="004A66F0" w:rsidP="008D7BB4">
      <w:pPr>
        <w:spacing w:line="276" w:lineRule="auto"/>
        <w:contextualSpacing/>
        <w:jc w:val="center"/>
        <w:rPr>
          <w:rFonts w:ascii="Times New Roman" w:eastAsia="Times New Roman" w:hAnsi="Times New Roman" w:cs="Times New Roman"/>
          <w:sz w:val="22"/>
          <w:szCs w:val="22"/>
        </w:rPr>
      </w:pPr>
      <w:r w:rsidRPr="0014283B">
        <w:rPr>
          <w:rFonts w:ascii="Times New Roman" w:eastAsia="Times New Roman" w:hAnsi="Times New Roman" w:cs="Times New Roman"/>
          <w:sz w:val="22"/>
          <w:szCs w:val="22"/>
        </w:rPr>
        <w:t>-Millones de quetzales y porcentajes-</w:t>
      </w:r>
    </w:p>
    <w:p w14:paraId="12D51E8F" w14:textId="7B3BB59D" w:rsidR="0014283B" w:rsidRDefault="0014283B" w:rsidP="008D7BB4">
      <w:pPr>
        <w:pStyle w:val="Descripcin"/>
        <w:keepNext/>
        <w:spacing w:line="276" w:lineRule="auto"/>
        <w:contextualSpacing/>
      </w:pPr>
    </w:p>
    <w:tbl>
      <w:tblPr>
        <w:tblW w:w="7520" w:type="dxa"/>
        <w:jc w:val="center"/>
        <w:tblCellMar>
          <w:left w:w="70" w:type="dxa"/>
          <w:right w:w="70" w:type="dxa"/>
        </w:tblCellMar>
        <w:tblLook w:val="04A0" w:firstRow="1" w:lastRow="0" w:firstColumn="1" w:lastColumn="0" w:noHBand="0" w:noVBand="1"/>
      </w:tblPr>
      <w:tblGrid>
        <w:gridCol w:w="2860"/>
        <w:gridCol w:w="1280"/>
        <w:gridCol w:w="1060"/>
        <w:gridCol w:w="1140"/>
        <w:gridCol w:w="1180"/>
      </w:tblGrid>
      <w:tr w:rsidR="004A66F0" w:rsidRPr="004A66F0" w14:paraId="0CC4B870" w14:textId="77777777" w:rsidTr="00F85317">
        <w:trPr>
          <w:trHeight w:val="300"/>
          <w:jc w:val="center"/>
        </w:trPr>
        <w:tc>
          <w:tcPr>
            <w:tcW w:w="2860" w:type="dxa"/>
            <w:vMerge w:val="restart"/>
            <w:tcBorders>
              <w:top w:val="single" w:sz="4" w:space="0" w:color="auto"/>
              <w:left w:val="single" w:sz="4" w:space="0" w:color="auto"/>
              <w:bottom w:val="single" w:sz="4" w:space="0" w:color="auto"/>
              <w:right w:val="single" w:sz="4" w:space="0" w:color="auto"/>
            </w:tcBorders>
            <w:shd w:val="clear" w:color="000000" w:fill="D9E1F2"/>
            <w:vAlign w:val="center"/>
            <w:hideMark/>
          </w:tcPr>
          <w:bookmarkEnd w:id="42"/>
          <w:p w14:paraId="560EB610" w14:textId="77777777" w:rsidR="004A66F0" w:rsidRPr="004A66F0" w:rsidRDefault="004A66F0"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4A66F0">
              <w:rPr>
                <w:rFonts w:ascii="Times New Roman" w:eastAsia="Times New Roman" w:hAnsi="Times New Roman" w:cs="Times New Roman"/>
                <w:b/>
                <w:bCs/>
                <w:color w:val="000000"/>
                <w:sz w:val="22"/>
                <w:szCs w:val="22"/>
                <w:lang w:eastAsia="es-GT"/>
              </w:rPr>
              <w:t>Sector</w:t>
            </w:r>
          </w:p>
        </w:tc>
        <w:tc>
          <w:tcPr>
            <w:tcW w:w="2340" w:type="dxa"/>
            <w:gridSpan w:val="2"/>
            <w:tcBorders>
              <w:top w:val="single" w:sz="4" w:space="0" w:color="auto"/>
              <w:left w:val="nil"/>
              <w:bottom w:val="single" w:sz="4" w:space="0" w:color="auto"/>
              <w:right w:val="single" w:sz="4" w:space="0" w:color="auto"/>
            </w:tcBorders>
            <w:shd w:val="clear" w:color="000000" w:fill="D9E1F2"/>
            <w:vAlign w:val="center"/>
            <w:hideMark/>
          </w:tcPr>
          <w:p w14:paraId="0D6B5D5B" w14:textId="77777777" w:rsidR="004A66F0" w:rsidRPr="004A66F0" w:rsidRDefault="004A66F0"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4A66F0">
              <w:rPr>
                <w:rFonts w:ascii="Times New Roman" w:eastAsia="Times New Roman" w:hAnsi="Times New Roman" w:cs="Times New Roman"/>
                <w:b/>
                <w:bCs/>
                <w:color w:val="000000"/>
                <w:sz w:val="22"/>
                <w:szCs w:val="22"/>
                <w:lang w:eastAsia="es-GT"/>
              </w:rPr>
              <w:t>Ejecutado</w:t>
            </w:r>
          </w:p>
        </w:tc>
        <w:tc>
          <w:tcPr>
            <w:tcW w:w="2320" w:type="dxa"/>
            <w:gridSpan w:val="2"/>
            <w:tcBorders>
              <w:top w:val="single" w:sz="4" w:space="0" w:color="auto"/>
              <w:left w:val="nil"/>
              <w:bottom w:val="single" w:sz="4" w:space="0" w:color="auto"/>
              <w:right w:val="single" w:sz="4" w:space="0" w:color="auto"/>
            </w:tcBorders>
            <w:shd w:val="clear" w:color="000000" w:fill="D9E1F2"/>
            <w:vAlign w:val="center"/>
            <w:hideMark/>
          </w:tcPr>
          <w:p w14:paraId="6AE921DB" w14:textId="77777777" w:rsidR="004A66F0" w:rsidRPr="004A66F0" w:rsidRDefault="004A66F0"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4A66F0">
              <w:rPr>
                <w:rFonts w:ascii="Times New Roman" w:eastAsia="Times New Roman" w:hAnsi="Times New Roman" w:cs="Times New Roman"/>
                <w:b/>
                <w:bCs/>
                <w:color w:val="000000"/>
                <w:sz w:val="22"/>
                <w:szCs w:val="22"/>
                <w:lang w:eastAsia="es-GT"/>
              </w:rPr>
              <w:t>Diferencias 2022-2021</w:t>
            </w:r>
          </w:p>
        </w:tc>
      </w:tr>
      <w:tr w:rsidR="004A66F0" w:rsidRPr="004A66F0" w14:paraId="249CFDE9" w14:textId="77777777" w:rsidTr="00F85317">
        <w:trPr>
          <w:trHeight w:val="510"/>
          <w:jc w:val="center"/>
        </w:trPr>
        <w:tc>
          <w:tcPr>
            <w:tcW w:w="2860" w:type="dxa"/>
            <w:vMerge/>
            <w:tcBorders>
              <w:top w:val="single" w:sz="4" w:space="0" w:color="auto"/>
              <w:left w:val="single" w:sz="4" w:space="0" w:color="auto"/>
              <w:bottom w:val="single" w:sz="4" w:space="0" w:color="auto"/>
              <w:right w:val="single" w:sz="4" w:space="0" w:color="auto"/>
            </w:tcBorders>
            <w:vAlign w:val="center"/>
            <w:hideMark/>
          </w:tcPr>
          <w:p w14:paraId="71E4471F" w14:textId="77777777" w:rsidR="004A66F0" w:rsidRPr="004A66F0" w:rsidRDefault="004A66F0" w:rsidP="008D7BB4">
            <w:pPr>
              <w:spacing w:line="276" w:lineRule="auto"/>
              <w:contextualSpacing/>
              <w:rPr>
                <w:rFonts w:ascii="Times New Roman" w:eastAsia="Times New Roman" w:hAnsi="Times New Roman" w:cs="Times New Roman"/>
                <w:b/>
                <w:bCs/>
                <w:color w:val="000000"/>
                <w:sz w:val="22"/>
                <w:szCs w:val="22"/>
                <w:lang w:eastAsia="es-GT"/>
              </w:rPr>
            </w:pPr>
          </w:p>
        </w:tc>
        <w:tc>
          <w:tcPr>
            <w:tcW w:w="1280" w:type="dxa"/>
            <w:tcBorders>
              <w:top w:val="nil"/>
              <w:left w:val="nil"/>
              <w:bottom w:val="single" w:sz="4" w:space="0" w:color="auto"/>
              <w:right w:val="nil"/>
            </w:tcBorders>
            <w:shd w:val="clear" w:color="000000" w:fill="D9E1F2"/>
            <w:vAlign w:val="center"/>
            <w:hideMark/>
          </w:tcPr>
          <w:p w14:paraId="5D89776E" w14:textId="77777777" w:rsidR="004A66F0" w:rsidRPr="004A66F0" w:rsidRDefault="004A66F0"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4A66F0">
              <w:rPr>
                <w:rFonts w:ascii="Times New Roman" w:eastAsia="Times New Roman" w:hAnsi="Times New Roman" w:cs="Times New Roman"/>
                <w:b/>
                <w:bCs/>
                <w:color w:val="000000"/>
                <w:sz w:val="22"/>
                <w:szCs w:val="22"/>
                <w:lang w:eastAsia="es-GT"/>
              </w:rPr>
              <w:t>2021</w:t>
            </w:r>
          </w:p>
        </w:tc>
        <w:tc>
          <w:tcPr>
            <w:tcW w:w="1060" w:type="dxa"/>
            <w:tcBorders>
              <w:top w:val="nil"/>
              <w:left w:val="single" w:sz="4" w:space="0" w:color="auto"/>
              <w:bottom w:val="single" w:sz="4" w:space="0" w:color="auto"/>
              <w:right w:val="single" w:sz="4" w:space="0" w:color="auto"/>
            </w:tcBorders>
            <w:shd w:val="clear" w:color="000000" w:fill="D9E1F2"/>
            <w:vAlign w:val="center"/>
            <w:hideMark/>
          </w:tcPr>
          <w:p w14:paraId="7DB7AADF" w14:textId="77777777" w:rsidR="004A66F0" w:rsidRPr="004A66F0" w:rsidRDefault="004A66F0"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4A66F0">
              <w:rPr>
                <w:rFonts w:ascii="Times New Roman" w:eastAsia="Times New Roman" w:hAnsi="Times New Roman" w:cs="Times New Roman"/>
                <w:b/>
                <w:bCs/>
                <w:color w:val="000000"/>
                <w:sz w:val="22"/>
                <w:szCs w:val="22"/>
                <w:lang w:eastAsia="es-GT"/>
              </w:rPr>
              <w:t>2022</w:t>
            </w:r>
          </w:p>
        </w:tc>
        <w:tc>
          <w:tcPr>
            <w:tcW w:w="1140" w:type="dxa"/>
            <w:tcBorders>
              <w:top w:val="nil"/>
              <w:left w:val="nil"/>
              <w:bottom w:val="single" w:sz="4" w:space="0" w:color="auto"/>
              <w:right w:val="nil"/>
            </w:tcBorders>
            <w:shd w:val="clear" w:color="000000" w:fill="D9E1F2"/>
            <w:vAlign w:val="center"/>
            <w:hideMark/>
          </w:tcPr>
          <w:p w14:paraId="0A232D25" w14:textId="77777777" w:rsidR="004A66F0" w:rsidRPr="004A66F0" w:rsidRDefault="004A66F0"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4A66F0">
              <w:rPr>
                <w:rFonts w:ascii="Times New Roman" w:eastAsia="Times New Roman" w:hAnsi="Times New Roman" w:cs="Times New Roman"/>
                <w:b/>
                <w:bCs/>
                <w:color w:val="000000"/>
                <w:sz w:val="22"/>
                <w:szCs w:val="22"/>
                <w:lang w:eastAsia="es-GT"/>
              </w:rPr>
              <w:t>Absoluta</w:t>
            </w:r>
          </w:p>
        </w:tc>
        <w:tc>
          <w:tcPr>
            <w:tcW w:w="1180" w:type="dxa"/>
            <w:tcBorders>
              <w:top w:val="nil"/>
              <w:left w:val="single" w:sz="4" w:space="0" w:color="auto"/>
              <w:bottom w:val="single" w:sz="4" w:space="0" w:color="auto"/>
              <w:right w:val="single" w:sz="4" w:space="0" w:color="auto"/>
            </w:tcBorders>
            <w:shd w:val="clear" w:color="000000" w:fill="D9E1F2"/>
            <w:vAlign w:val="center"/>
            <w:hideMark/>
          </w:tcPr>
          <w:p w14:paraId="028788F0" w14:textId="77777777" w:rsidR="004A66F0" w:rsidRPr="004A66F0" w:rsidRDefault="004A66F0"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4A66F0">
              <w:rPr>
                <w:rFonts w:ascii="Times New Roman" w:eastAsia="Times New Roman" w:hAnsi="Times New Roman" w:cs="Times New Roman"/>
                <w:b/>
                <w:bCs/>
                <w:color w:val="000000"/>
                <w:sz w:val="22"/>
                <w:szCs w:val="22"/>
                <w:lang w:eastAsia="es-GT"/>
              </w:rPr>
              <w:t>Relativa</w:t>
            </w:r>
          </w:p>
        </w:tc>
      </w:tr>
      <w:tr w:rsidR="004A66F0" w:rsidRPr="004A66F0" w14:paraId="2AA12A21" w14:textId="77777777" w:rsidTr="00F85317">
        <w:trPr>
          <w:trHeight w:val="405"/>
          <w:jc w:val="center"/>
        </w:trPr>
        <w:tc>
          <w:tcPr>
            <w:tcW w:w="2860" w:type="dxa"/>
            <w:tcBorders>
              <w:top w:val="nil"/>
              <w:left w:val="single" w:sz="4" w:space="0" w:color="auto"/>
              <w:bottom w:val="nil"/>
              <w:right w:val="single" w:sz="4" w:space="0" w:color="auto"/>
            </w:tcBorders>
            <w:noWrap/>
            <w:vAlign w:val="bottom"/>
            <w:hideMark/>
          </w:tcPr>
          <w:p w14:paraId="35C59942" w14:textId="77777777" w:rsidR="004A66F0" w:rsidRPr="004A66F0" w:rsidRDefault="004A66F0" w:rsidP="008D7BB4">
            <w:pPr>
              <w:spacing w:line="276" w:lineRule="auto"/>
              <w:contextualSpacing/>
              <w:rPr>
                <w:rFonts w:ascii="Times New Roman" w:eastAsia="Times New Roman" w:hAnsi="Times New Roman" w:cs="Times New Roman"/>
                <w:color w:val="000000"/>
                <w:sz w:val="22"/>
                <w:szCs w:val="22"/>
                <w:lang w:eastAsia="es-GT"/>
              </w:rPr>
            </w:pPr>
            <w:r w:rsidRPr="004A66F0">
              <w:rPr>
                <w:rFonts w:ascii="Times New Roman" w:eastAsia="Times New Roman" w:hAnsi="Times New Roman" w:cs="Times New Roman"/>
                <w:color w:val="000000"/>
                <w:sz w:val="22"/>
                <w:szCs w:val="22"/>
                <w:lang w:eastAsia="es-GT"/>
              </w:rPr>
              <w:t>Salud y Asistencia Social</w:t>
            </w:r>
          </w:p>
        </w:tc>
        <w:tc>
          <w:tcPr>
            <w:tcW w:w="1280" w:type="dxa"/>
            <w:tcBorders>
              <w:top w:val="nil"/>
              <w:left w:val="nil"/>
              <w:bottom w:val="nil"/>
              <w:right w:val="nil"/>
            </w:tcBorders>
            <w:noWrap/>
            <w:vAlign w:val="bottom"/>
            <w:hideMark/>
          </w:tcPr>
          <w:p w14:paraId="789539A3" w14:textId="77777777" w:rsidR="004A66F0" w:rsidRPr="004A66F0" w:rsidRDefault="004A66F0" w:rsidP="008D7BB4">
            <w:pPr>
              <w:spacing w:line="276" w:lineRule="auto"/>
              <w:contextualSpacing/>
              <w:jc w:val="center"/>
              <w:rPr>
                <w:rFonts w:ascii="Times New Roman" w:eastAsia="Times New Roman" w:hAnsi="Times New Roman" w:cs="Times New Roman"/>
                <w:color w:val="000000"/>
                <w:sz w:val="22"/>
                <w:szCs w:val="22"/>
                <w:lang w:eastAsia="es-GT"/>
              </w:rPr>
            </w:pPr>
            <w:r w:rsidRPr="004A66F0">
              <w:rPr>
                <w:rFonts w:ascii="Times New Roman" w:eastAsia="Times New Roman" w:hAnsi="Times New Roman" w:cs="Times New Roman"/>
                <w:color w:val="000000"/>
                <w:sz w:val="22"/>
                <w:szCs w:val="22"/>
                <w:lang w:eastAsia="es-GT"/>
              </w:rPr>
              <w:t>14,330.7</w:t>
            </w:r>
          </w:p>
        </w:tc>
        <w:tc>
          <w:tcPr>
            <w:tcW w:w="1060" w:type="dxa"/>
            <w:tcBorders>
              <w:top w:val="nil"/>
              <w:left w:val="single" w:sz="4" w:space="0" w:color="auto"/>
              <w:bottom w:val="nil"/>
              <w:right w:val="single" w:sz="4" w:space="0" w:color="auto"/>
            </w:tcBorders>
            <w:noWrap/>
            <w:vAlign w:val="bottom"/>
            <w:hideMark/>
          </w:tcPr>
          <w:p w14:paraId="0FD1190E" w14:textId="77777777" w:rsidR="004A66F0" w:rsidRPr="004A66F0" w:rsidRDefault="004A66F0" w:rsidP="008D7BB4">
            <w:pPr>
              <w:spacing w:line="276" w:lineRule="auto"/>
              <w:contextualSpacing/>
              <w:jc w:val="center"/>
              <w:rPr>
                <w:rFonts w:ascii="Times New Roman" w:eastAsia="Times New Roman" w:hAnsi="Times New Roman" w:cs="Times New Roman"/>
                <w:color w:val="000000"/>
                <w:sz w:val="22"/>
                <w:szCs w:val="22"/>
                <w:lang w:eastAsia="es-GT"/>
              </w:rPr>
            </w:pPr>
            <w:r w:rsidRPr="004A66F0">
              <w:rPr>
                <w:rFonts w:ascii="Times New Roman" w:eastAsia="Times New Roman" w:hAnsi="Times New Roman" w:cs="Times New Roman"/>
                <w:color w:val="000000"/>
                <w:sz w:val="22"/>
                <w:szCs w:val="22"/>
                <w:lang w:eastAsia="es-GT"/>
              </w:rPr>
              <w:t>16,220.1</w:t>
            </w:r>
          </w:p>
        </w:tc>
        <w:tc>
          <w:tcPr>
            <w:tcW w:w="1140" w:type="dxa"/>
            <w:tcBorders>
              <w:top w:val="nil"/>
              <w:left w:val="nil"/>
              <w:bottom w:val="nil"/>
              <w:right w:val="nil"/>
            </w:tcBorders>
            <w:noWrap/>
            <w:vAlign w:val="bottom"/>
            <w:hideMark/>
          </w:tcPr>
          <w:p w14:paraId="63BAE4DB" w14:textId="77777777" w:rsidR="004A66F0" w:rsidRPr="004A66F0" w:rsidRDefault="004A66F0" w:rsidP="008D7BB4">
            <w:pPr>
              <w:spacing w:line="276" w:lineRule="auto"/>
              <w:contextualSpacing/>
              <w:jc w:val="center"/>
              <w:rPr>
                <w:rFonts w:ascii="Times New Roman" w:eastAsia="Times New Roman" w:hAnsi="Times New Roman" w:cs="Times New Roman"/>
                <w:color w:val="000000"/>
                <w:sz w:val="22"/>
                <w:szCs w:val="22"/>
                <w:lang w:eastAsia="es-GT"/>
              </w:rPr>
            </w:pPr>
            <w:r w:rsidRPr="004A66F0">
              <w:rPr>
                <w:rFonts w:ascii="Times New Roman" w:eastAsia="Times New Roman" w:hAnsi="Times New Roman" w:cs="Times New Roman"/>
                <w:color w:val="000000"/>
                <w:sz w:val="22"/>
                <w:szCs w:val="22"/>
                <w:lang w:eastAsia="es-GT"/>
              </w:rPr>
              <w:t>1,889.4</w:t>
            </w:r>
          </w:p>
        </w:tc>
        <w:tc>
          <w:tcPr>
            <w:tcW w:w="1180" w:type="dxa"/>
            <w:tcBorders>
              <w:top w:val="nil"/>
              <w:left w:val="single" w:sz="4" w:space="0" w:color="auto"/>
              <w:bottom w:val="nil"/>
              <w:right w:val="single" w:sz="4" w:space="0" w:color="auto"/>
            </w:tcBorders>
            <w:noWrap/>
            <w:vAlign w:val="bottom"/>
            <w:hideMark/>
          </w:tcPr>
          <w:p w14:paraId="13EA9D4C" w14:textId="77777777" w:rsidR="004A66F0" w:rsidRPr="004A66F0" w:rsidRDefault="004A66F0" w:rsidP="008D7BB4">
            <w:pPr>
              <w:spacing w:line="276" w:lineRule="auto"/>
              <w:contextualSpacing/>
              <w:jc w:val="center"/>
              <w:rPr>
                <w:rFonts w:ascii="Times New Roman" w:eastAsia="Times New Roman" w:hAnsi="Times New Roman" w:cs="Times New Roman"/>
                <w:color w:val="000000"/>
                <w:sz w:val="22"/>
                <w:szCs w:val="22"/>
                <w:lang w:eastAsia="es-GT"/>
              </w:rPr>
            </w:pPr>
            <w:r w:rsidRPr="004A66F0">
              <w:rPr>
                <w:rFonts w:ascii="Times New Roman" w:eastAsia="Times New Roman" w:hAnsi="Times New Roman" w:cs="Times New Roman"/>
                <w:color w:val="000000"/>
                <w:sz w:val="22"/>
                <w:szCs w:val="22"/>
                <w:lang w:eastAsia="es-GT"/>
              </w:rPr>
              <w:t>13.2%</w:t>
            </w:r>
          </w:p>
        </w:tc>
      </w:tr>
      <w:tr w:rsidR="004A66F0" w:rsidRPr="004A66F0" w14:paraId="5FEB9F17" w14:textId="77777777" w:rsidTr="00F85317">
        <w:trPr>
          <w:trHeight w:val="405"/>
          <w:jc w:val="center"/>
        </w:trPr>
        <w:tc>
          <w:tcPr>
            <w:tcW w:w="2860" w:type="dxa"/>
            <w:tcBorders>
              <w:top w:val="nil"/>
              <w:left w:val="single" w:sz="4" w:space="0" w:color="auto"/>
              <w:bottom w:val="nil"/>
              <w:right w:val="single" w:sz="4" w:space="0" w:color="auto"/>
            </w:tcBorders>
            <w:noWrap/>
            <w:vAlign w:val="bottom"/>
            <w:hideMark/>
          </w:tcPr>
          <w:p w14:paraId="03D9EC57" w14:textId="77777777" w:rsidR="004A66F0" w:rsidRPr="004A66F0" w:rsidRDefault="004A66F0" w:rsidP="008D7BB4">
            <w:pPr>
              <w:spacing w:line="276" w:lineRule="auto"/>
              <w:contextualSpacing/>
              <w:rPr>
                <w:rFonts w:ascii="Times New Roman" w:eastAsia="Times New Roman" w:hAnsi="Times New Roman" w:cs="Times New Roman"/>
                <w:color w:val="000000"/>
                <w:sz w:val="22"/>
                <w:szCs w:val="22"/>
                <w:lang w:eastAsia="es-GT"/>
              </w:rPr>
            </w:pPr>
            <w:r w:rsidRPr="004A66F0">
              <w:rPr>
                <w:rFonts w:ascii="Times New Roman" w:eastAsia="Times New Roman" w:hAnsi="Times New Roman" w:cs="Times New Roman"/>
                <w:color w:val="000000"/>
                <w:sz w:val="22"/>
                <w:szCs w:val="22"/>
                <w:lang w:eastAsia="es-GT"/>
              </w:rPr>
              <w:t>Educación, Ciencia y Cultura</w:t>
            </w:r>
          </w:p>
        </w:tc>
        <w:tc>
          <w:tcPr>
            <w:tcW w:w="1280" w:type="dxa"/>
            <w:tcBorders>
              <w:top w:val="nil"/>
              <w:left w:val="nil"/>
              <w:bottom w:val="nil"/>
              <w:right w:val="nil"/>
            </w:tcBorders>
            <w:noWrap/>
            <w:vAlign w:val="bottom"/>
            <w:hideMark/>
          </w:tcPr>
          <w:p w14:paraId="5A4C697F" w14:textId="77777777" w:rsidR="004A66F0" w:rsidRPr="004A66F0" w:rsidRDefault="004A66F0" w:rsidP="008D7BB4">
            <w:pPr>
              <w:spacing w:line="276" w:lineRule="auto"/>
              <w:contextualSpacing/>
              <w:jc w:val="center"/>
              <w:rPr>
                <w:rFonts w:ascii="Times New Roman" w:eastAsia="Times New Roman" w:hAnsi="Times New Roman" w:cs="Times New Roman"/>
                <w:color w:val="000000"/>
                <w:sz w:val="22"/>
                <w:szCs w:val="22"/>
                <w:lang w:eastAsia="es-GT"/>
              </w:rPr>
            </w:pPr>
            <w:r w:rsidRPr="004A66F0">
              <w:rPr>
                <w:rFonts w:ascii="Times New Roman" w:eastAsia="Times New Roman" w:hAnsi="Times New Roman" w:cs="Times New Roman"/>
                <w:color w:val="000000"/>
                <w:sz w:val="22"/>
                <w:szCs w:val="22"/>
                <w:lang w:eastAsia="es-GT"/>
              </w:rPr>
              <w:t>21,794.3</w:t>
            </w:r>
          </w:p>
        </w:tc>
        <w:tc>
          <w:tcPr>
            <w:tcW w:w="1060" w:type="dxa"/>
            <w:tcBorders>
              <w:top w:val="nil"/>
              <w:left w:val="single" w:sz="4" w:space="0" w:color="auto"/>
              <w:bottom w:val="nil"/>
              <w:right w:val="single" w:sz="4" w:space="0" w:color="auto"/>
            </w:tcBorders>
            <w:noWrap/>
            <w:vAlign w:val="bottom"/>
            <w:hideMark/>
          </w:tcPr>
          <w:p w14:paraId="40780733" w14:textId="77777777" w:rsidR="004A66F0" w:rsidRPr="004A66F0" w:rsidRDefault="004A66F0" w:rsidP="008D7BB4">
            <w:pPr>
              <w:spacing w:line="276" w:lineRule="auto"/>
              <w:contextualSpacing/>
              <w:jc w:val="center"/>
              <w:rPr>
                <w:rFonts w:ascii="Times New Roman" w:eastAsia="Times New Roman" w:hAnsi="Times New Roman" w:cs="Times New Roman"/>
                <w:color w:val="000000"/>
                <w:sz w:val="22"/>
                <w:szCs w:val="22"/>
                <w:lang w:eastAsia="es-GT"/>
              </w:rPr>
            </w:pPr>
            <w:r w:rsidRPr="004A66F0">
              <w:rPr>
                <w:rFonts w:ascii="Times New Roman" w:eastAsia="Times New Roman" w:hAnsi="Times New Roman" w:cs="Times New Roman"/>
                <w:color w:val="000000"/>
                <w:sz w:val="22"/>
                <w:szCs w:val="22"/>
                <w:lang w:eastAsia="es-GT"/>
              </w:rPr>
              <w:t>24,794.4</w:t>
            </w:r>
          </w:p>
        </w:tc>
        <w:tc>
          <w:tcPr>
            <w:tcW w:w="1140" w:type="dxa"/>
            <w:tcBorders>
              <w:top w:val="nil"/>
              <w:left w:val="nil"/>
              <w:bottom w:val="nil"/>
              <w:right w:val="nil"/>
            </w:tcBorders>
            <w:noWrap/>
            <w:vAlign w:val="bottom"/>
            <w:hideMark/>
          </w:tcPr>
          <w:p w14:paraId="57B9161A" w14:textId="77777777" w:rsidR="004A66F0" w:rsidRPr="004A66F0" w:rsidRDefault="004A66F0" w:rsidP="008D7BB4">
            <w:pPr>
              <w:spacing w:line="276" w:lineRule="auto"/>
              <w:contextualSpacing/>
              <w:jc w:val="center"/>
              <w:rPr>
                <w:rFonts w:ascii="Times New Roman" w:eastAsia="Times New Roman" w:hAnsi="Times New Roman" w:cs="Times New Roman"/>
                <w:color w:val="000000"/>
                <w:sz w:val="22"/>
                <w:szCs w:val="22"/>
                <w:lang w:eastAsia="es-GT"/>
              </w:rPr>
            </w:pPr>
            <w:r w:rsidRPr="004A66F0">
              <w:rPr>
                <w:rFonts w:ascii="Times New Roman" w:eastAsia="Times New Roman" w:hAnsi="Times New Roman" w:cs="Times New Roman"/>
                <w:color w:val="000000"/>
                <w:sz w:val="22"/>
                <w:szCs w:val="22"/>
                <w:lang w:eastAsia="es-GT"/>
              </w:rPr>
              <w:t>3,000.1</w:t>
            </w:r>
          </w:p>
        </w:tc>
        <w:tc>
          <w:tcPr>
            <w:tcW w:w="1180" w:type="dxa"/>
            <w:tcBorders>
              <w:top w:val="nil"/>
              <w:left w:val="single" w:sz="4" w:space="0" w:color="auto"/>
              <w:bottom w:val="nil"/>
              <w:right w:val="single" w:sz="4" w:space="0" w:color="auto"/>
            </w:tcBorders>
            <w:noWrap/>
            <w:vAlign w:val="bottom"/>
            <w:hideMark/>
          </w:tcPr>
          <w:p w14:paraId="7291D6D5" w14:textId="77777777" w:rsidR="004A66F0" w:rsidRPr="004A66F0" w:rsidRDefault="004A66F0" w:rsidP="008D7BB4">
            <w:pPr>
              <w:spacing w:line="276" w:lineRule="auto"/>
              <w:contextualSpacing/>
              <w:jc w:val="center"/>
              <w:rPr>
                <w:rFonts w:ascii="Times New Roman" w:eastAsia="Times New Roman" w:hAnsi="Times New Roman" w:cs="Times New Roman"/>
                <w:color w:val="000000"/>
                <w:sz w:val="22"/>
                <w:szCs w:val="22"/>
                <w:lang w:eastAsia="es-GT"/>
              </w:rPr>
            </w:pPr>
            <w:r w:rsidRPr="004A66F0">
              <w:rPr>
                <w:rFonts w:ascii="Times New Roman" w:eastAsia="Times New Roman" w:hAnsi="Times New Roman" w:cs="Times New Roman"/>
                <w:color w:val="000000"/>
                <w:sz w:val="22"/>
                <w:szCs w:val="22"/>
                <w:lang w:eastAsia="es-GT"/>
              </w:rPr>
              <w:t>13.8%</w:t>
            </w:r>
          </w:p>
        </w:tc>
      </w:tr>
      <w:tr w:rsidR="004A66F0" w:rsidRPr="004A66F0" w14:paraId="59AE757C" w14:textId="77777777" w:rsidTr="00F85317">
        <w:trPr>
          <w:trHeight w:val="405"/>
          <w:jc w:val="center"/>
        </w:trPr>
        <w:tc>
          <w:tcPr>
            <w:tcW w:w="2860" w:type="dxa"/>
            <w:tcBorders>
              <w:top w:val="nil"/>
              <w:left w:val="single" w:sz="4" w:space="0" w:color="auto"/>
              <w:bottom w:val="nil"/>
              <w:right w:val="single" w:sz="4" w:space="0" w:color="auto"/>
            </w:tcBorders>
            <w:noWrap/>
            <w:vAlign w:val="bottom"/>
            <w:hideMark/>
          </w:tcPr>
          <w:p w14:paraId="6D431CFB" w14:textId="77777777" w:rsidR="004A66F0" w:rsidRPr="004A66F0" w:rsidRDefault="004A66F0" w:rsidP="008D7BB4">
            <w:pPr>
              <w:spacing w:line="276" w:lineRule="auto"/>
              <w:contextualSpacing/>
              <w:rPr>
                <w:rFonts w:ascii="Times New Roman" w:eastAsia="Times New Roman" w:hAnsi="Times New Roman" w:cs="Times New Roman"/>
                <w:color w:val="000000"/>
                <w:sz w:val="22"/>
                <w:szCs w:val="22"/>
                <w:lang w:eastAsia="es-GT"/>
              </w:rPr>
            </w:pPr>
            <w:r w:rsidRPr="004A66F0">
              <w:rPr>
                <w:rFonts w:ascii="Times New Roman" w:eastAsia="Times New Roman" w:hAnsi="Times New Roman" w:cs="Times New Roman"/>
                <w:color w:val="000000"/>
                <w:sz w:val="22"/>
                <w:szCs w:val="22"/>
                <w:lang w:eastAsia="es-GT"/>
              </w:rPr>
              <w:t>Vivienda</w:t>
            </w:r>
          </w:p>
        </w:tc>
        <w:tc>
          <w:tcPr>
            <w:tcW w:w="1280" w:type="dxa"/>
            <w:tcBorders>
              <w:top w:val="nil"/>
              <w:left w:val="nil"/>
              <w:bottom w:val="nil"/>
              <w:right w:val="nil"/>
            </w:tcBorders>
            <w:noWrap/>
            <w:vAlign w:val="bottom"/>
            <w:hideMark/>
          </w:tcPr>
          <w:p w14:paraId="42BBAB0A" w14:textId="77777777" w:rsidR="004A66F0" w:rsidRPr="004A66F0" w:rsidRDefault="004A66F0" w:rsidP="008D7BB4">
            <w:pPr>
              <w:spacing w:line="276" w:lineRule="auto"/>
              <w:contextualSpacing/>
              <w:jc w:val="center"/>
              <w:rPr>
                <w:rFonts w:ascii="Times New Roman" w:eastAsia="Times New Roman" w:hAnsi="Times New Roman" w:cs="Times New Roman"/>
                <w:color w:val="000000"/>
                <w:sz w:val="22"/>
                <w:szCs w:val="22"/>
                <w:lang w:eastAsia="es-GT"/>
              </w:rPr>
            </w:pPr>
            <w:r w:rsidRPr="004A66F0">
              <w:rPr>
                <w:rFonts w:ascii="Times New Roman" w:eastAsia="Times New Roman" w:hAnsi="Times New Roman" w:cs="Times New Roman"/>
                <w:color w:val="000000"/>
                <w:sz w:val="22"/>
                <w:szCs w:val="22"/>
                <w:lang w:eastAsia="es-GT"/>
              </w:rPr>
              <w:t>377.6</w:t>
            </w:r>
          </w:p>
        </w:tc>
        <w:tc>
          <w:tcPr>
            <w:tcW w:w="1060" w:type="dxa"/>
            <w:tcBorders>
              <w:top w:val="nil"/>
              <w:left w:val="single" w:sz="4" w:space="0" w:color="auto"/>
              <w:bottom w:val="nil"/>
              <w:right w:val="single" w:sz="4" w:space="0" w:color="auto"/>
            </w:tcBorders>
            <w:noWrap/>
            <w:vAlign w:val="bottom"/>
            <w:hideMark/>
          </w:tcPr>
          <w:p w14:paraId="349D812A" w14:textId="77777777" w:rsidR="004A66F0" w:rsidRPr="004A66F0" w:rsidRDefault="004A66F0" w:rsidP="008D7BB4">
            <w:pPr>
              <w:spacing w:line="276" w:lineRule="auto"/>
              <w:contextualSpacing/>
              <w:jc w:val="center"/>
              <w:rPr>
                <w:rFonts w:ascii="Times New Roman" w:eastAsia="Times New Roman" w:hAnsi="Times New Roman" w:cs="Times New Roman"/>
                <w:color w:val="000000"/>
                <w:sz w:val="22"/>
                <w:szCs w:val="22"/>
                <w:lang w:eastAsia="es-GT"/>
              </w:rPr>
            </w:pPr>
            <w:r w:rsidRPr="004A66F0">
              <w:rPr>
                <w:rFonts w:ascii="Times New Roman" w:eastAsia="Times New Roman" w:hAnsi="Times New Roman" w:cs="Times New Roman"/>
                <w:color w:val="000000"/>
                <w:sz w:val="22"/>
                <w:szCs w:val="22"/>
                <w:lang w:eastAsia="es-GT"/>
              </w:rPr>
              <w:t>318.6</w:t>
            </w:r>
          </w:p>
        </w:tc>
        <w:tc>
          <w:tcPr>
            <w:tcW w:w="1140" w:type="dxa"/>
            <w:tcBorders>
              <w:top w:val="nil"/>
              <w:left w:val="nil"/>
              <w:bottom w:val="nil"/>
              <w:right w:val="nil"/>
            </w:tcBorders>
            <w:noWrap/>
            <w:vAlign w:val="bottom"/>
            <w:hideMark/>
          </w:tcPr>
          <w:p w14:paraId="1970FCA1" w14:textId="77777777" w:rsidR="004A66F0" w:rsidRPr="004A66F0" w:rsidRDefault="004A66F0" w:rsidP="008D7BB4">
            <w:pPr>
              <w:spacing w:line="276" w:lineRule="auto"/>
              <w:contextualSpacing/>
              <w:jc w:val="center"/>
              <w:rPr>
                <w:rFonts w:ascii="Times New Roman" w:eastAsia="Times New Roman" w:hAnsi="Times New Roman" w:cs="Times New Roman"/>
                <w:color w:val="000000"/>
                <w:sz w:val="22"/>
                <w:szCs w:val="22"/>
                <w:lang w:eastAsia="es-GT"/>
              </w:rPr>
            </w:pPr>
            <w:r w:rsidRPr="004A66F0">
              <w:rPr>
                <w:rFonts w:ascii="Times New Roman" w:eastAsia="Times New Roman" w:hAnsi="Times New Roman" w:cs="Times New Roman"/>
                <w:color w:val="000000"/>
                <w:sz w:val="22"/>
                <w:szCs w:val="22"/>
                <w:lang w:eastAsia="es-GT"/>
              </w:rPr>
              <w:t>-59.1</w:t>
            </w:r>
          </w:p>
        </w:tc>
        <w:tc>
          <w:tcPr>
            <w:tcW w:w="1180" w:type="dxa"/>
            <w:tcBorders>
              <w:top w:val="nil"/>
              <w:left w:val="single" w:sz="4" w:space="0" w:color="auto"/>
              <w:bottom w:val="nil"/>
              <w:right w:val="single" w:sz="4" w:space="0" w:color="auto"/>
            </w:tcBorders>
            <w:noWrap/>
            <w:vAlign w:val="bottom"/>
            <w:hideMark/>
          </w:tcPr>
          <w:p w14:paraId="1E987432" w14:textId="77777777" w:rsidR="004A66F0" w:rsidRPr="004A66F0" w:rsidRDefault="004A66F0" w:rsidP="008D7BB4">
            <w:pPr>
              <w:spacing w:line="276" w:lineRule="auto"/>
              <w:contextualSpacing/>
              <w:jc w:val="center"/>
              <w:rPr>
                <w:rFonts w:ascii="Times New Roman" w:eastAsia="Times New Roman" w:hAnsi="Times New Roman" w:cs="Times New Roman"/>
                <w:color w:val="000000"/>
                <w:sz w:val="22"/>
                <w:szCs w:val="22"/>
                <w:lang w:eastAsia="es-GT"/>
              </w:rPr>
            </w:pPr>
            <w:r w:rsidRPr="004A66F0">
              <w:rPr>
                <w:rFonts w:ascii="Times New Roman" w:eastAsia="Times New Roman" w:hAnsi="Times New Roman" w:cs="Times New Roman"/>
                <w:color w:val="000000"/>
                <w:sz w:val="22"/>
                <w:szCs w:val="22"/>
                <w:lang w:eastAsia="es-GT"/>
              </w:rPr>
              <w:t>-15.6%</w:t>
            </w:r>
          </w:p>
        </w:tc>
      </w:tr>
      <w:tr w:rsidR="004A66F0" w:rsidRPr="004A66F0" w14:paraId="1715A6E9" w14:textId="77777777" w:rsidTr="00F85317">
        <w:trPr>
          <w:trHeight w:val="405"/>
          <w:jc w:val="center"/>
        </w:trPr>
        <w:tc>
          <w:tcPr>
            <w:tcW w:w="2860"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14DDEF4A" w14:textId="77777777" w:rsidR="004A66F0" w:rsidRPr="004A66F0" w:rsidRDefault="004A66F0" w:rsidP="008D7BB4">
            <w:pPr>
              <w:spacing w:line="276" w:lineRule="auto"/>
              <w:contextualSpacing/>
              <w:jc w:val="center"/>
              <w:rPr>
                <w:rFonts w:ascii="Times New Roman" w:eastAsia="Times New Roman" w:hAnsi="Times New Roman" w:cs="Times New Roman"/>
                <w:color w:val="000000"/>
                <w:sz w:val="22"/>
                <w:szCs w:val="22"/>
                <w:lang w:eastAsia="es-GT"/>
              </w:rPr>
            </w:pPr>
            <w:r w:rsidRPr="004A66F0">
              <w:rPr>
                <w:rFonts w:ascii="Times New Roman" w:eastAsia="Times New Roman" w:hAnsi="Times New Roman" w:cs="Times New Roman"/>
                <w:color w:val="000000"/>
                <w:sz w:val="22"/>
                <w:szCs w:val="22"/>
                <w:lang w:eastAsia="es-GT"/>
              </w:rPr>
              <w:t>Sub total Gasto Social</w:t>
            </w:r>
          </w:p>
        </w:tc>
        <w:tc>
          <w:tcPr>
            <w:tcW w:w="1280" w:type="dxa"/>
            <w:tcBorders>
              <w:top w:val="single" w:sz="4" w:space="0" w:color="auto"/>
              <w:left w:val="nil"/>
              <w:bottom w:val="single" w:sz="4" w:space="0" w:color="auto"/>
              <w:right w:val="nil"/>
            </w:tcBorders>
            <w:shd w:val="clear" w:color="000000" w:fill="D9E1F2"/>
            <w:noWrap/>
            <w:vAlign w:val="center"/>
            <w:hideMark/>
          </w:tcPr>
          <w:p w14:paraId="2131AA2C" w14:textId="77777777" w:rsidR="004A66F0" w:rsidRPr="004A66F0" w:rsidRDefault="004A66F0" w:rsidP="008D7BB4">
            <w:pPr>
              <w:spacing w:line="276" w:lineRule="auto"/>
              <w:contextualSpacing/>
              <w:jc w:val="center"/>
              <w:rPr>
                <w:rFonts w:ascii="Times New Roman" w:eastAsia="Times New Roman" w:hAnsi="Times New Roman" w:cs="Times New Roman"/>
                <w:color w:val="000000"/>
                <w:sz w:val="22"/>
                <w:szCs w:val="22"/>
                <w:lang w:eastAsia="es-GT"/>
              </w:rPr>
            </w:pPr>
            <w:r w:rsidRPr="004A66F0">
              <w:rPr>
                <w:rFonts w:ascii="Times New Roman" w:eastAsia="Times New Roman" w:hAnsi="Times New Roman" w:cs="Times New Roman"/>
                <w:color w:val="000000"/>
                <w:sz w:val="22"/>
                <w:szCs w:val="22"/>
                <w:lang w:eastAsia="es-GT"/>
              </w:rPr>
              <w:t>36,502.6</w:t>
            </w:r>
          </w:p>
        </w:tc>
        <w:tc>
          <w:tcPr>
            <w:tcW w:w="1060"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095A2DFC" w14:textId="77777777" w:rsidR="004A66F0" w:rsidRPr="004A66F0" w:rsidRDefault="004A66F0" w:rsidP="008D7BB4">
            <w:pPr>
              <w:spacing w:line="276" w:lineRule="auto"/>
              <w:contextualSpacing/>
              <w:jc w:val="center"/>
              <w:rPr>
                <w:rFonts w:ascii="Times New Roman" w:eastAsia="Times New Roman" w:hAnsi="Times New Roman" w:cs="Times New Roman"/>
                <w:color w:val="000000"/>
                <w:sz w:val="22"/>
                <w:szCs w:val="22"/>
                <w:lang w:eastAsia="es-GT"/>
              </w:rPr>
            </w:pPr>
            <w:r w:rsidRPr="004A66F0">
              <w:rPr>
                <w:rFonts w:ascii="Times New Roman" w:eastAsia="Times New Roman" w:hAnsi="Times New Roman" w:cs="Times New Roman"/>
                <w:color w:val="000000"/>
                <w:sz w:val="22"/>
                <w:szCs w:val="22"/>
                <w:lang w:eastAsia="es-GT"/>
              </w:rPr>
              <w:t>41,333.1</w:t>
            </w:r>
          </w:p>
        </w:tc>
        <w:tc>
          <w:tcPr>
            <w:tcW w:w="1140" w:type="dxa"/>
            <w:tcBorders>
              <w:top w:val="single" w:sz="4" w:space="0" w:color="auto"/>
              <w:left w:val="nil"/>
              <w:bottom w:val="single" w:sz="4" w:space="0" w:color="auto"/>
              <w:right w:val="nil"/>
            </w:tcBorders>
            <w:shd w:val="clear" w:color="000000" w:fill="D9E1F2"/>
            <w:noWrap/>
            <w:vAlign w:val="center"/>
            <w:hideMark/>
          </w:tcPr>
          <w:p w14:paraId="63A2C169" w14:textId="77777777" w:rsidR="004A66F0" w:rsidRPr="004A66F0" w:rsidRDefault="004A66F0" w:rsidP="008D7BB4">
            <w:pPr>
              <w:spacing w:line="276" w:lineRule="auto"/>
              <w:contextualSpacing/>
              <w:jc w:val="center"/>
              <w:rPr>
                <w:rFonts w:ascii="Times New Roman" w:eastAsia="Times New Roman" w:hAnsi="Times New Roman" w:cs="Times New Roman"/>
                <w:color w:val="000000"/>
                <w:sz w:val="22"/>
                <w:szCs w:val="22"/>
                <w:lang w:eastAsia="es-GT"/>
              </w:rPr>
            </w:pPr>
            <w:r w:rsidRPr="004A66F0">
              <w:rPr>
                <w:rFonts w:ascii="Times New Roman" w:eastAsia="Times New Roman" w:hAnsi="Times New Roman" w:cs="Times New Roman"/>
                <w:color w:val="000000"/>
                <w:sz w:val="22"/>
                <w:szCs w:val="22"/>
                <w:lang w:eastAsia="es-GT"/>
              </w:rPr>
              <w:t>4,830.4</w:t>
            </w:r>
          </w:p>
        </w:tc>
        <w:tc>
          <w:tcPr>
            <w:tcW w:w="1180"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75E2C111" w14:textId="77777777" w:rsidR="004A66F0" w:rsidRPr="004A66F0" w:rsidRDefault="004A66F0" w:rsidP="008D7BB4">
            <w:pPr>
              <w:spacing w:line="276" w:lineRule="auto"/>
              <w:contextualSpacing/>
              <w:jc w:val="center"/>
              <w:rPr>
                <w:rFonts w:ascii="Times New Roman" w:eastAsia="Times New Roman" w:hAnsi="Times New Roman" w:cs="Times New Roman"/>
                <w:color w:val="000000"/>
                <w:sz w:val="22"/>
                <w:szCs w:val="22"/>
                <w:lang w:eastAsia="es-GT"/>
              </w:rPr>
            </w:pPr>
            <w:r w:rsidRPr="004A66F0">
              <w:rPr>
                <w:rFonts w:ascii="Times New Roman" w:eastAsia="Times New Roman" w:hAnsi="Times New Roman" w:cs="Times New Roman"/>
                <w:color w:val="000000"/>
                <w:sz w:val="22"/>
                <w:szCs w:val="22"/>
                <w:lang w:eastAsia="es-GT"/>
              </w:rPr>
              <w:t>13.2%</w:t>
            </w:r>
          </w:p>
        </w:tc>
      </w:tr>
      <w:tr w:rsidR="004A66F0" w:rsidRPr="004A66F0" w14:paraId="06CBEFA7" w14:textId="77777777" w:rsidTr="00F85317">
        <w:trPr>
          <w:trHeight w:val="405"/>
          <w:jc w:val="center"/>
        </w:trPr>
        <w:tc>
          <w:tcPr>
            <w:tcW w:w="2860" w:type="dxa"/>
            <w:tcBorders>
              <w:top w:val="nil"/>
              <w:left w:val="single" w:sz="4" w:space="0" w:color="auto"/>
              <w:bottom w:val="nil"/>
              <w:right w:val="single" w:sz="4" w:space="0" w:color="auto"/>
            </w:tcBorders>
            <w:noWrap/>
            <w:vAlign w:val="bottom"/>
            <w:hideMark/>
          </w:tcPr>
          <w:p w14:paraId="34B0E454" w14:textId="77777777" w:rsidR="004A66F0" w:rsidRPr="004A66F0" w:rsidRDefault="004A66F0" w:rsidP="008D7BB4">
            <w:pPr>
              <w:spacing w:line="276" w:lineRule="auto"/>
              <w:contextualSpacing/>
              <w:rPr>
                <w:rFonts w:ascii="Times New Roman" w:eastAsia="Times New Roman" w:hAnsi="Times New Roman" w:cs="Times New Roman"/>
                <w:color w:val="000000"/>
                <w:sz w:val="22"/>
                <w:szCs w:val="22"/>
                <w:lang w:eastAsia="es-GT"/>
              </w:rPr>
            </w:pPr>
            <w:r w:rsidRPr="004A66F0">
              <w:rPr>
                <w:rFonts w:ascii="Times New Roman" w:eastAsia="Times New Roman" w:hAnsi="Times New Roman" w:cs="Times New Roman"/>
                <w:color w:val="000000"/>
                <w:sz w:val="22"/>
                <w:szCs w:val="22"/>
                <w:lang w:eastAsia="es-GT"/>
              </w:rPr>
              <w:t>Seguridad Interna</w:t>
            </w:r>
          </w:p>
        </w:tc>
        <w:tc>
          <w:tcPr>
            <w:tcW w:w="1280" w:type="dxa"/>
            <w:tcBorders>
              <w:top w:val="nil"/>
              <w:left w:val="nil"/>
              <w:bottom w:val="nil"/>
              <w:right w:val="nil"/>
            </w:tcBorders>
            <w:noWrap/>
            <w:vAlign w:val="bottom"/>
            <w:hideMark/>
          </w:tcPr>
          <w:p w14:paraId="01344063" w14:textId="77777777" w:rsidR="004A66F0" w:rsidRPr="004A66F0" w:rsidRDefault="004A66F0" w:rsidP="008D7BB4">
            <w:pPr>
              <w:spacing w:line="276" w:lineRule="auto"/>
              <w:contextualSpacing/>
              <w:jc w:val="center"/>
              <w:rPr>
                <w:rFonts w:ascii="Times New Roman" w:eastAsia="Times New Roman" w:hAnsi="Times New Roman" w:cs="Times New Roman"/>
                <w:color w:val="000000"/>
                <w:sz w:val="22"/>
                <w:szCs w:val="22"/>
                <w:lang w:eastAsia="es-GT"/>
              </w:rPr>
            </w:pPr>
            <w:r w:rsidRPr="004A66F0">
              <w:rPr>
                <w:rFonts w:ascii="Times New Roman" w:eastAsia="Times New Roman" w:hAnsi="Times New Roman" w:cs="Times New Roman"/>
                <w:color w:val="000000"/>
                <w:sz w:val="22"/>
                <w:szCs w:val="22"/>
                <w:lang w:eastAsia="es-GT"/>
              </w:rPr>
              <w:t>5,946.7</w:t>
            </w:r>
          </w:p>
        </w:tc>
        <w:tc>
          <w:tcPr>
            <w:tcW w:w="1060" w:type="dxa"/>
            <w:tcBorders>
              <w:top w:val="nil"/>
              <w:left w:val="single" w:sz="4" w:space="0" w:color="auto"/>
              <w:bottom w:val="nil"/>
              <w:right w:val="single" w:sz="4" w:space="0" w:color="auto"/>
            </w:tcBorders>
            <w:noWrap/>
            <w:vAlign w:val="bottom"/>
            <w:hideMark/>
          </w:tcPr>
          <w:p w14:paraId="4C96CF96" w14:textId="77777777" w:rsidR="004A66F0" w:rsidRPr="004A66F0" w:rsidRDefault="004A66F0" w:rsidP="008D7BB4">
            <w:pPr>
              <w:spacing w:line="276" w:lineRule="auto"/>
              <w:contextualSpacing/>
              <w:jc w:val="center"/>
              <w:rPr>
                <w:rFonts w:ascii="Times New Roman" w:eastAsia="Times New Roman" w:hAnsi="Times New Roman" w:cs="Times New Roman"/>
                <w:color w:val="000000"/>
                <w:sz w:val="22"/>
                <w:szCs w:val="22"/>
                <w:lang w:eastAsia="es-GT"/>
              </w:rPr>
            </w:pPr>
            <w:r w:rsidRPr="004A66F0">
              <w:rPr>
                <w:rFonts w:ascii="Times New Roman" w:eastAsia="Times New Roman" w:hAnsi="Times New Roman" w:cs="Times New Roman"/>
                <w:color w:val="000000"/>
                <w:sz w:val="22"/>
                <w:szCs w:val="22"/>
                <w:lang w:eastAsia="es-GT"/>
              </w:rPr>
              <w:t>6,013.7</w:t>
            </w:r>
          </w:p>
        </w:tc>
        <w:tc>
          <w:tcPr>
            <w:tcW w:w="1140" w:type="dxa"/>
            <w:tcBorders>
              <w:top w:val="nil"/>
              <w:left w:val="nil"/>
              <w:bottom w:val="nil"/>
              <w:right w:val="nil"/>
            </w:tcBorders>
            <w:noWrap/>
            <w:vAlign w:val="bottom"/>
            <w:hideMark/>
          </w:tcPr>
          <w:p w14:paraId="50A67B1E" w14:textId="77777777" w:rsidR="004A66F0" w:rsidRPr="004A66F0" w:rsidRDefault="004A66F0" w:rsidP="008D7BB4">
            <w:pPr>
              <w:spacing w:line="276" w:lineRule="auto"/>
              <w:contextualSpacing/>
              <w:jc w:val="center"/>
              <w:rPr>
                <w:rFonts w:ascii="Times New Roman" w:eastAsia="Times New Roman" w:hAnsi="Times New Roman" w:cs="Times New Roman"/>
                <w:color w:val="000000"/>
                <w:sz w:val="22"/>
                <w:szCs w:val="22"/>
                <w:lang w:eastAsia="es-GT"/>
              </w:rPr>
            </w:pPr>
            <w:r w:rsidRPr="004A66F0">
              <w:rPr>
                <w:rFonts w:ascii="Times New Roman" w:eastAsia="Times New Roman" w:hAnsi="Times New Roman" w:cs="Times New Roman"/>
                <w:color w:val="000000"/>
                <w:sz w:val="22"/>
                <w:szCs w:val="22"/>
                <w:lang w:eastAsia="es-GT"/>
              </w:rPr>
              <w:t>67.0</w:t>
            </w:r>
          </w:p>
        </w:tc>
        <w:tc>
          <w:tcPr>
            <w:tcW w:w="1180" w:type="dxa"/>
            <w:tcBorders>
              <w:top w:val="nil"/>
              <w:left w:val="single" w:sz="4" w:space="0" w:color="auto"/>
              <w:bottom w:val="nil"/>
              <w:right w:val="single" w:sz="4" w:space="0" w:color="auto"/>
            </w:tcBorders>
            <w:noWrap/>
            <w:vAlign w:val="bottom"/>
            <w:hideMark/>
          </w:tcPr>
          <w:p w14:paraId="1DCE1A19" w14:textId="77777777" w:rsidR="004A66F0" w:rsidRPr="004A66F0" w:rsidRDefault="004A66F0" w:rsidP="008D7BB4">
            <w:pPr>
              <w:spacing w:line="276" w:lineRule="auto"/>
              <w:contextualSpacing/>
              <w:jc w:val="center"/>
              <w:rPr>
                <w:rFonts w:ascii="Times New Roman" w:eastAsia="Times New Roman" w:hAnsi="Times New Roman" w:cs="Times New Roman"/>
                <w:color w:val="000000"/>
                <w:sz w:val="22"/>
                <w:szCs w:val="22"/>
                <w:lang w:eastAsia="es-GT"/>
              </w:rPr>
            </w:pPr>
            <w:r w:rsidRPr="004A66F0">
              <w:rPr>
                <w:rFonts w:ascii="Times New Roman" w:eastAsia="Times New Roman" w:hAnsi="Times New Roman" w:cs="Times New Roman"/>
                <w:color w:val="000000"/>
                <w:sz w:val="22"/>
                <w:szCs w:val="22"/>
                <w:lang w:eastAsia="es-GT"/>
              </w:rPr>
              <w:t>1.1%</w:t>
            </w:r>
          </w:p>
        </w:tc>
      </w:tr>
      <w:tr w:rsidR="004A66F0" w:rsidRPr="004A66F0" w14:paraId="59BAA112" w14:textId="77777777" w:rsidTr="00F85317">
        <w:trPr>
          <w:trHeight w:val="405"/>
          <w:jc w:val="center"/>
        </w:trPr>
        <w:tc>
          <w:tcPr>
            <w:tcW w:w="2860" w:type="dxa"/>
            <w:tcBorders>
              <w:top w:val="nil"/>
              <w:left w:val="single" w:sz="4" w:space="0" w:color="auto"/>
              <w:bottom w:val="nil"/>
              <w:right w:val="single" w:sz="4" w:space="0" w:color="auto"/>
            </w:tcBorders>
            <w:noWrap/>
            <w:vAlign w:val="bottom"/>
            <w:hideMark/>
          </w:tcPr>
          <w:p w14:paraId="58B5807B" w14:textId="77777777" w:rsidR="004A66F0" w:rsidRPr="004A66F0" w:rsidRDefault="004A66F0" w:rsidP="008D7BB4">
            <w:pPr>
              <w:spacing w:line="276" w:lineRule="auto"/>
              <w:contextualSpacing/>
              <w:rPr>
                <w:rFonts w:ascii="Times New Roman" w:eastAsia="Times New Roman" w:hAnsi="Times New Roman" w:cs="Times New Roman"/>
                <w:color w:val="000000"/>
                <w:sz w:val="22"/>
                <w:szCs w:val="22"/>
                <w:lang w:eastAsia="es-GT"/>
              </w:rPr>
            </w:pPr>
            <w:r w:rsidRPr="004A66F0">
              <w:rPr>
                <w:rFonts w:ascii="Times New Roman" w:eastAsia="Times New Roman" w:hAnsi="Times New Roman" w:cs="Times New Roman"/>
                <w:color w:val="000000"/>
                <w:sz w:val="22"/>
                <w:szCs w:val="22"/>
                <w:lang w:eastAsia="es-GT"/>
              </w:rPr>
              <w:t>Organismo Judicial y CC</w:t>
            </w:r>
          </w:p>
        </w:tc>
        <w:tc>
          <w:tcPr>
            <w:tcW w:w="1280" w:type="dxa"/>
            <w:tcBorders>
              <w:top w:val="nil"/>
              <w:left w:val="nil"/>
              <w:bottom w:val="nil"/>
              <w:right w:val="nil"/>
            </w:tcBorders>
            <w:noWrap/>
            <w:vAlign w:val="bottom"/>
            <w:hideMark/>
          </w:tcPr>
          <w:p w14:paraId="460ECBF8" w14:textId="77777777" w:rsidR="004A66F0" w:rsidRPr="004A66F0" w:rsidRDefault="004A66F0" w:rsidP="008D7BB4">
            <w:pPr>
              <w:spacing w:line="276" w:lineRule="auto"/>
              <w:contextualSpacing/>
              <w:jc w:val="center"/>
              <w:rPr>
                <w:rFonts w:ascii="Times New Roman" w:eastAsia="Times New Roman" w:hAnsi="Times New Roman" w:cs="Times New Roman"/>
                <w:color w:val="000000"/>
                <w:sz w:val="22"/>
                <w:szCs w:val="22"/>
                <w:lang w:eastAsia="es-GT"/>
              </w:rPr>
            </w:pPr>
            <w:r w:rsidRPr="004A66F0">
              <w:rPr>
                <w:rFonts w:ascii="Times New Roman" w:eastAsia="Times New Roman" w:hAnsi="Times New Roman" w:cs="Times New Roman"/>
                <w:color w:val="000000"/>
                <w:sz w:val="22"/>
                <w:szCs w:val="22"/>
                <w:lang w:eastAsia="es-GT"/>
              </w:rPr>
              <w:t>2,451.8</w:t>
            </w:r>
          </w:p>
        </w:tc>
        <w:tc>
          <w:tcPr>
            <w:tcW w:w="1060" w:type="dxa"/>
            <w:tcBorders>
              <w:top w:val="nil"/>
              <w:left w:val="single" w:sz="4" w:space="0" w:color="auto"/>
              <w:bottom w:val="nil"/>
              <w:right w:val="single" w:sz="4" w:space="0" w:color="auto"/>
            </w:tcBorders>
            <w:noWrap/>
            <w:vAlign w:val="bottom"/>
            <w:hideMark/>
          </w:tcPr>
          <w:p w14:paraId="40B3C867" w14:textId="77777777" w:rsidR="004A66F0" w:rsidRPr="004A66F0" w:rsidRDefault="004A66F0" w:rsidP="008D7BB4">
            <w:pPr>
              <w:spacing w:line="276" w:lineRule="auto"/>
              <w:contextualSpacing/>
              <w:jc w:val="center"/>
              <w:rPr>
                <w:rFonts w:ascii="Times New Roman" w:eastAsia="Times New Roman" w:hAnsi="Times New Roman" w:cs="Times New Roman"/>
                <w:color w:val="000000"/>
                <w:sz w:val="22"/>
                <w:szCs w:val="22"/>
                <w:lang w:eastAsia="es-GT"/>
              </w:rPr>
            </w:pPr>
            <w:r w:rsidRPr="004A66F0">
              <w:rPr>
                <w:rFonts w:ascii="Times New Roman" w:eastAsia="Times New Roman" w:hAnsi="Times New Roman" w:cs="Times New Roman"/>
                <w:color w:val="000000"/>
                <w:sz w:val="22"/>
                <w:szCs w:val="22"/>
                <w:lang w:eastAsia="es-GT"/>
              </w:rPr>
              <w:t>2,736.1</w:t>
            </w:r>
          </w:p>
        </w:tc>
        <w:tc>
          <w:tcPr>
            <w:tcW w:w="1140" w:type="dxa"/>
            <w:tcBorders>
              <w:top w:val="nil"/>
              <w:left w:val="nil"/>
              <w:bottom w:val="nil"/>
              <w:right w:val="nil"/>
            </w:tcBorders>
            <w:noWrap/>
            <w:vAlign w:val="bottom"/>
            <w:hideMark/>
          </w:tcPr>
          <w:p w14:paraId="4C1BF30E" w14:textId="77777777" w:rsidR="004A66F0" w:rsidRPr="004A66F0" w:rsidRDefault="004A66F0" w:rsidP="008D7BB4">
            <w:pPr>
              <w:spacing w:line="276" w:lineRule="auto"/>
              <w:contextualSpacing/>
              <w:jc w:val="center"/>
              <w:rPr>
                <w:rFonts w:ascii="Times New Roman" w:eastAsia="Times New Roman" w:hAnsi="Times New Roman" w:cs="Times New Roman"/>
                <w:color w:val="000000"/>
                <w:sz w:val="22"/>
                <w:szCs w:val="22"/>
                <w:lang w:eastAsia="es-GT"/>
              </w:rPr>
            </w:pPr>
            <w:r w:rsidRPr="004A66F0">
              <w:rPr>
                <w:rFonts w:ascii="Times New Roman" w:eastAsia="Times New Roman" w:hAnsi="Times New Roman" w:cs="Times New Roman"/>
                <w:color w:val="000000"/>
                <w:sz w:val="22"/>
                <w:szCs w:val="22"/>
                <w:lang w:eastAsia="es-GT"/>
              </w:rPr>
              <w:t>284.3</w:t>
            </w:r>
          </w:p>
        </w:tc>
        <w:tc>
          <w:tcPr>
            <w:tcW w:w="1180" w:type="dxa"/>
            <w:tcBorders>
              <w:top w:val="nil"/>
              <w:left w:val="single" w:sz="4" w:space="0" w:color="auto"/>
              <w:bottom w:val="nil"/>
              <w:right w:val="single" w:sz="4" w:space="0" w:color="auto"/>
            </w:tcBorders>
            <w:noWrap/>
            <w:vAlign w:val="bottom"/>
            <w:hideMark/>
          </w:tcPr>
          <w:p w14:paraId="67483F8B" w14:textId="77777777" w:rsidR="004A66F0" w:rsidRPr="004A66F0" w:rsidRDefault="004A66F0" w:rsidP="008D7BB4">
            <w:pPr>
              <w:spacing w:line="276" w:lineRule="auto"/>
              <w:contextualSpacing/>
              <w:jc w:val="center"/>
              <w:rPr>
                <w:rFonts w:ascii="Times New Roman" w:eastAsia="Times New Roman" w:hAnsi="Times New Roman" w:cs="Times New Roman"/>
                <w:color w:val="000000"/>
                <w:sz w:val="22"/>
                <w:szCs w:val="22"/>
                <w:lang w:eastAsia="es-GT"/>
              </w:rPr>
            </w:pPr>
            <w:r w:rsidRPr="004A66F0">
              <w:rPr>
                <w:rFonts w:ascii="Times New Roman" w:eastAsia="Times New Roman" w:hAnsi="Times New Roman" w:cs="Times New Roman"/>
                <w:color w:val="000000"/>
                <w:sz w:val="22"/>
                <w:szCs w:val="22"/>
                <w:lang w:eastAsia="es-GT"/>
              </w:rPr>
              <w:t>11.6%</w:t>
            </w:r>
          </w:p>
        </w:tc>
      </w:tr>
      <w:tr w:rsidR="004A66F0" w:rsidRPr="004A66F0" w14:paraId="05D4BA15" w14:textId="77777777" w:rsidTr="00F85317">
        <w:trPr>
          <w:trHeight w:val="405"/>
          <w:jc w:val="center"/>
        </w:trPr>
        <w:tc>
          <w:tcPr>
            <w:tcW w:w="2860" w:type="dxa"/>
            <w:tcBorders>
              <w:top w:val="nil"/>
              <w:left w:val="single" w:sz="4" w:space="0" w:color="auto"/>
              <w:bottom w:val="nil"/>
              <w:right w:val="single" w:sz="4" w:space="0" w:color="auto"/>
            </w:tcBorders>
            <w:noWrap/>
            <w:vAlign w:val="bottom"/>
            <w:hideMark/>
          </w:tcPr>
          <w:p w14:paraId="67C206C1" w14:textId="77777777" w:rsidR="004A66F0" w:rsidRPr="004A66F0" w:rsidRDefault="004A66F0" w:rsidP="008D7BB4">
            <w:pPr>
              <w:spacing w:line="276" w:lineRule="auto"/>
              <w:contextualSpacing/>
              <w:rPr>
                <w:rFonts w:ascii="Times New Roman" w:eastAsia="Times New Roman" w:hAnsi="Times New Roman" w:cs="Times New Roman"/>
                <w:color w:val="000000"/>
                <w:sz w:val="22"/>
                <w:szCs w:val="22"/>
                <w:lang w:eastAsia="es-GT"/>
              </w:rPr>
            </w:pPr>
            <w:r w:rsidRPr="004A66F0">
              <w:rPr>
                <w:rFonts w:ascii="Times New Roman" w:eastAsia="Times New Roman" w:hAnsi="Times New Roman" w:cs="Times New Roman"/>
                <w:color w:val="000000"/>
                <w:sz w:val="22"/>
                <w:szCs w:val="22"/>
                <w:lang w:eastAsia="es-GT"/>
              </w:rPr>
              <w:t>Ministerio Público</w:t>
            </w:r>
          </w:p>
        </w:tc>
        <w:tc>
          <w:tcPr>
            <w:tcW w:w="1280" w:type="dxa"/>
            <w:tcBorders>
              <w:top w:val="nil"/>
              <w:left w:val="nil"/>
              <w:bottom w:val="nil"/>
              <w:right w:val="nil"/>
            </w:tcBorders>
            <w:noWrap/>
            <w:vAlign w:val="bottom"/>
            <w:hideMark/>
          </w:tcPr>
          <w:p w14:paraId="198A0470" w14:textId="77777777" w:rsidR="004A66F0" w:rsidRPr="004A66F0" w:rsidRDefault="004A66F0" w:rsidP="008D7BB4">
            <w:pPr>
              <w:spacing w:line="276" w:lineRule="auto"/>
              <w:contextualSpacing/>
              <w:jc w:val="center"/>
              <w:rPr>
                <w:rFonts w:ascii="Times New Roman" w:eastAsia="Times New Roman" w:hAnsi="Times New Roman" w:cs="Times New Roman"/>
                <w:color w:val="000000"/>
                <w:sz w:val="22"/>
                <w:szCs w:val="22"/>
                <w:lang w:eastAsia="es-GT"/>
              </w:rPr>
            </w:pPr>
            <w:r w:rsidRPr="004A66F0">
              <w:rPr>
                <w:rFonts w:ascii="Times New Roman" w:eastAsia="Times New Roman" w:hAnsi="Times New Roman" w:cs="Times New Roman"/>
                <w:color w:val="000000"/>
                <w:sz w:val="22"/>
                <w:szCs w:val="22"/>
                <w:lang w:eastAsia="es-GT"/>
              </w:rPr>
              <w:t>1,828.0</w:t>
            </w:r>
          </w:p>
        </w:tc>
        <w:tc>
          <w:tcPr>
            <w:tcW w:w="1060" w:type="dxa"/>
            <w:tcBorders>
              <w:top w:val="nil"/>
              <w:left w:val="single" w:sz="4" w:space="0" w:color="auto"/>
              <w:bottom w:val="nil"/>
              <w:right w:val="single" w:sz="4" w:space="0" w:color="auto"/>
            </w:tcBorders>
            <w:noWrap/>
            <w:vAlign w:val="bottom"/>
            <w:hideMark/>
          </w:tcPr>
          <w:p w14:paraId="5ED90CDC" w14:textId="77777777" w:rsidR="004A66F0" w:rsidRPr="004A66F0" w:rsidRDefault="004A66F0" w:rsidP="008D7BB4">
            <w:pPr>
              <w:spacing w:line="276" w:lineRule="auto"/>
              <w:contextualSpacing/>
              <w:jc w:val="center"/>
              <w:rPr>
                <w:rFonts w:ascii="Times New Roman" w:eastAsia="Times New Roman" w:hAnsi="Times New Roman" w:cs="Times New Roman"/>
                <w:color w:val="000000"/>
                <w:sz w:val="22"/>
                <w:szCs w:val="22"/>
                <w:lang w:eastAsia="es-GT"/>
              </w:rPr>
            </w:pPr>
            <w:r w:rsidRPr="004A66F0">
              <w:rPr>
                <w:rFonts w:ascii="Times New Roman" w:eastAsia="Times New Roman" w:hAnsi="Times New Roman" w:cs="Times New Roman"/>
                <w:color w:val="000000"/>
                <w:sz w:val="22"/>
                <w:szCs w:val="22"/>
                <w:lang w:eastAsia="es-GT"/>
              </w:rPr>
              <w:t>2,793.9</w:t>
            </w:r>
          </w:p>
        </w:tc>
        <w:tc>
          <w:tcPr>
            <w:tcW w:w="1140" w:type="dxa"/>
            <w:tcBorders>
              <w:top w:val="nil"/>
              <w:left w:val="nil"/>
              <w:bottom w:val="nil"/>
              <w:right w:val="nil"/>
            </w:tcBorders>
            <w:noWrap/>
            <w:vAlign w:val="bottom"/>
            <w:hideMark/>
          </w:tcPr>
          <w:p w14:paraId="47CF3B66" w14:textId="77777777" w:rsidR="004A66F0" w:rsidRPr="004A66F0" w:rsidRDefault="004A66F0" w:rsidP="008D7BB4">
            <w:pPr>
              <w:spacing w:line="276" w:lineRule="auto"/>
              <w:contextualSpacing/>
              <w:jc w:val="center"/>
              <w:rPr>
                <w:rFonts w:ascii="Times New Roman" w:eastAsia="Times New Roman" w:hAnsi="Times New Roman" w:cs="Times New Roman"/>
                <w:color w:val="000000"/>
                <w:sz w:val="22"/>
                <w:szCs w:val="22"/>
                <w:lang w:eastAsia="es-GT"/>
              </w:rPr>
            </w:pPr>
            <w:r w:rsidRPr="004A66F0">
              <w:rPr>
                <w:rFonts w:ascii="Times New Roman" w:eastAsia="Times New Roman" w:hAnsi="Times New Roman" w:cs="Times New Roman"/>
                <w:color w:val="000000"/>
                <w:sz w:val="22"/>
                <w:szCs w:val="22"/>
                <w:lang w:eastAsia="es-GT"/>
              </w:rPr>
              <w:t>965.9</w:t>
            </w:r>
          </w:p>
        </w:tc>
        <w:tc>
          <w:tcPr>
            <w:tcW w:w="1180" w:type="dxa"/>
            <w:tcBorders>
              <w:top w:val="nil"/>
              <w:left w:val="single" w:sz="4" w:space="0" w:color="auto"/>
              <w:bottom w:val="nil"/>
              <w:right w:val="single" w:sz="4" w:space="0" w:color="auto"/>
            </w:tcBorders>
            <w:noWrap/>
            <w:vAlign w:val="bottom"/>
            <w:hideMark/>
          </w:tcPr>
          <w:p w14:paraId="74268BF9" w14:textId="77777777" w:rsidR="004A66F0" w:rsidRPr="004A66F0" w:rsidRDefault="004A66F0" w:rsidP="008D7BB4">
            <w:pPr>
              <w:spacing w:line="276" w:lineRule="auto"/>
              <w:contextualSpacing/>
              <w:jc w:val="center"/>
              <w:rPr>
                <w:rFonts w:ascii="Times New Roman" w:eastAsia="Times New Roman" w:hAnsi="Times New Roman" w:cs="Times New Roman"/>
                <w:color w:val="000000"/>
                <w:sz w:val="22"/>
                <w:szCs w:val="22"/>
                <w:lang w:eastAsia="es-GT"/>
              </w:rPr>
            </w:pPr>
            <w:r w:rsidRPr="004A66F0">
              <w:rPr>
                <w:rFonts w:ascii="Times New Roman" w:eastAsia="Times New Roman" w:hAnsi="Times New Roman" w:cs="Times New Roman"/>
                <w:color w:val="000000"/>
                <w:sz w:val="22"/>
                <w:szCs w:val="22"/>
                <w:lang w:eastAsia="es-GT"/>
              </w:rPr>
              <w:t>52.8%</w:t>
            </w:r>
          </w:p>
        </w:tc>
      </w:tr>
      <w:tr w:rsidR="004A66F0" w:rsidRPr="004A66F0" w14:paraId="062FCD2E" w14:textId="77777777" w:rsidTr="00F85317">
        <w:trPr>
          <w:trHeight w:val="405"/>
          <w:jc w:val="center"/>
        </w:trPr>
        <w:tc>
          <w:tcPr>
            <w:tcW w:w="2860"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4CF37D63" w14:textId="77777777" w:rsidR="004A66F0" w:rsidRPr="004A66F0" w:rsidRDefault="004A66F0" w:rsidP="008D7BB4">
            <w:pPr>
              <w:spacing w:line="276" w:lineRule="auto"/>
              <w:contextualSpacing/>
              <w:jc w:val="center"/>
              <w:rPr>
                <w:rFonts w:ascii="Times New Roman" w:eastAsia="Times New Roman" w:hAnsi="Times New Roman" w:cs="Times New Roman"/>
                <w:b/>
                <w:bCs/>
                <w:color w:val="000000"/>
                <w:sz w:val="22"/>
                <w:szCs w:val="22"/>
                <w:lang w:eastAsia="es-GT"/>
              </w:rPr>
            </w:pPr>
            <w:proofErr w:type="gramStart"/>
            <w:r w:rsidRPr="004A66F0">
              <w:rPr>
                <w:rFonts w:ascii="Times New Roman" w:eastAsia="Times New Roman" w:hAnsi="Times New Roman" w:cs="Times New Roman"/>
                <w:b/>
                <w:bCs/>
                <w:color w:val="000000"/>
                <w:sz w:val="22"/>
                <w:szCs w:val="22"/>
                <w:lang w:eastAsia="es-GT"/>
              </w:rPr>
              <w:t>Total</w:t>
            </w:r>
            <w:proofErr w:type="gramEnd"/>
            <w:r w:rsidRPr="004A66F0">
              <w:rPr>
                <w:rFonts w:ascii="Times New Roman" w:eastAsia="Times New Roman" w:hAnsi="Times New Roman" w:cs="Times New Roman"/>
                <w:b/>
                <w:bCs/>
                <w:color w:val="000000"/>
                <w:sz w:val="22"/>
                <w:szCs w:val="22"/>
                <w:lang w:eastAsia="es-GT"/>
              </w:rPr>
              <w:t xml:space="preserve"> con Acuerdos de Paz</w:t>
            </w:r>
          </w:p>
        </w:tc>
        <w:tc>
          <w:tcPr>
            <w:tcW w:w="1280" w:type="dxa"/>
            <w:tcBorders>
              <w:top w:val="single" w:sz="4" w:space="0" w:color="auto"/>
              <w:left w:val="nil"/>
              <w:bottom w:val="single" w:sz="4" w:space="0" w:color="auto"/>
              <w:right w:val="nil"/>
            </w:tcBorders>
            <w:shd w:val="clear" w:color="000000" w:fill="D9E1F2"/>
            <w:noWrap/>
            <w:vAlign w:val="center"/>
            <w:hideMark/>
          </w:tcPr>
          <w:p w14:paraId="341E1CED" w14:textId="77777777" w:rsidR="004A66F0" w:rsidRPr="004A66F0" w:rsidRDefault="004A66F0"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4A66F0">
              <w:rPr>
                <w:rFonts w:ascii="Times New Roman" w:eastAsia="Times New Roman" w:hAnsi="Times New Roman" w:cs="Times New Roman"/>
                <w:b/>
                <w:bCs/>
                <w:color w:val="000000"/>
                <w:sz w:val="22"/>
                <w:szCs w:val="22"/>
                <w:lang w:eastAsia="es-GT"/>
              </w:rPr>
              <w:t>46,729.1</w:t>
            </w:r>
          </w:p>
        </w:tc>
        <w:tc>
          <w:tcPr>
            <w:tcW w:w="1060"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02488166" w14:textId="77777777" w:rsidR="004A66F0" w:rsidRPr="004A66F0" w:rsidRDefault="004A66F0" w:rsidP="008D7BB4">
            <w:pPr>
              <w:spacing w:line="276" w:lineRule="auto"/>
              <w:contextualSpacing/>
              <w:jc w:val="center"/>
              <w:rPr>
                <w:rFonts w:ascii="Times New Roman" w:eastAsia="Times New Roman" w:hAnsi="Times New Roman" w:cs="Times New Roman"/>
                <w:b/>
                <w:bCs/>
                <w:sz w:val="22"/>
                <w:szCs w:val="22"/>
                <w:lang w:eastAsia="es-GT"/>
              </w:rPr>
            </w:pPr>
            <w:r w:rsidRPr="004A66F0">
              <w:rPr>
                <w:rFonts w:ascii="Times New Roman" w:eastAsia="Times New Roman" w:hAnsi="Times New Roman" w:cs="Times New Roman"/>
                <w:b/>
                <w:bCs/>
                <w:sz w:val="22"/>
                <w:szCs w:val="22"/>
                <w:lang w:eastAsia="es-GT"/>
              </w:rPr>
              <w:t>52,876.7</w:t>
            </w:r>
          </w:p>
        </w:tc>
        <w:tc>
          <w:tcPr>
            <w:tcW w:w="1140" w:type="dxa"/>
            <w:tcBorders>
              <w:top w:val="single" w:sz="4" w:space="0" w:color="auto"/>
              <w:left w:val="nil"/>
              <w:bottom w:val="single" w:sz="4" w:space="0" w:color="auto"/>
              <w:right w:val="nil"/>
            </w:tcBorders>
            <w:shd w:val="clear" w:color="000000" w:fill="D9E1F2"/>
            <w:noWrap/>
            <w:vAlign w:val="center"/>
            <w:hideMark/>
          </w:tcPr>
          <w:p w14:paraId="3298DC9B" w14:textId="77777777" w:rsidR="004A66F0" w:rsidRPr="004A66F0" w:rsidRDefault="004A66F0"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4A66F0">
              <w:rPr>
                <w:rFonts w:ascii="Times New Roman" w:eastAsia="Times New Roman" w:hAnsi="Times New Roman" w:cs="Times New Roman"/>
                <w:b/>
                <w:bCs/>
                <w:color w:val="000000"/>
                <w:sz w:val="22"/>
                <w:szCs w:val="22"/>
                <w:lang w:eastAsia="es-GT"/>
              </w:rPr>
              <w:t>6,147.6</w:t>
            </w:r>
          </w:p>
        </w:tc>
        <w:tc>
          <w:tcPr>
            <w:tcW w:w="1180"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2D53E2C8" w14:textId="77777777" w:rsidR="004A66F0" w:rsidRPr="004A66F0" w:rsidRDefault="004A66F0" w:rsidP="008D7BB4">
            <w:pPr>
              <w:spacing w:line="276" w:lineRule="auto"/>
              <w:contextualSpacing/>
              <w:jc w:val="center"/>
              <w:rPr>
                <w:rFonts w:ascii="Times New Roman" w:eastAsia="Times New Roman" w:hAnsi="Times New Roman" w:cs="Times New Roman"/>
                <w:b/>
                <w:bCs/>
                <w:sz w:val="22"/>
                <w:szCs w:val="22"/>
                <w:lang w:eastAsia="es-GT"/>
              </w:rPr>
            </w:pPr>
            <w:r w:rsidRPr="004A66F0">
              <w:rPr>
                <w:rFonts w:ascii="Times New Roman" w:eastAsia="Times New Roman" w:hAnsi="Times New Roman" w:cs="Times New Roman"/>
                <w:b/>
                <w:bCs/>
                <w:sz w:val="22"/>
                <w:szCs w:val="22"/>
                <w:lang w:eastAsia="es-GT"/>
              </w:rPr>
              <w:t>13.2%</w:t>
            </w:r>
          </w:p>
        </w:tc>
      </w:tr>
    </w:tbl>
    <w:p w14:paraId="72DF0BDD" w14:textId="77777777" w:rsidR="004A66F0" w:rsidRPr="004A66F0" w:rsidRDefault="004A66F0" w:rsidP="008D7BB4">
      <w:pPr>
        <w:spacing w:line="276" w:lineRule="auto"/>
        <w:contextualSpacing/>
        <w:rPr>
          <w:rFonts w:ascii="Times New Roman" w:eastAsia="Times New Roman" w:hAnsi="Times New Roman" w:cs="Calibri"/>
          <w:sz w:val="18"/>
          <w:szCs w:val="22"/>
        </w:rPr>
      </w:pPr>
      <w:r w:rsidRPr="004A66F0">
        <w:rPr>
          <w:rFonts w:ascii="Times New Roman" w:eastAsia="Times New Roman" w:hAnsi="Times New Roman" w:cs="Calibri"/>
          <w:sz w:val="18"/>
          <w:szCs w:val="22"/>
        </w:rPr>
        <w:t xml:space="preserve">                            Fuente: Dirección de Análisis y Política Fiscal</w:t>
      </w:r>
    </w:p>
    <w:p w14:paraId="71D7194A" w14:textId="77777777" w:rsidR="004A66F0" w:rsidRPr="004A66F0" w:rsidRDefault="004A66F0" w:rsidP="008D7BB4">
      <w:pPr>
        <w:spacing w:line="276" w:lineRule="auto"/>
        <w:contextualSpacing/>
        <w:rPr>
          <w:rFonts w:ascii="Times New Roman" w:eastAsia="Times New Roman" w:hAnsi="Times New Roman" w:cs="Times New Roman"/>
          <w:sz w:val="22"/>
          <w:szCs w:val="22"/>
        </w:rPr>
      </w:pPr>
    </w:p>
    <w:p w14:paraId="63F21D66" w14:textId="33406CC6" w:rsidR="004A66F0" w:rsidRPr="004A66F0" w:rsidRDefault="004A66F0" w:rsidP="008D7BB4">
      <w:pPr>
        <w:spacing w:line="276" w:lineRule="auto"/>
        <w:contextualSpacing/>
        <w:jc w:val="both"/>
        <w:rPr>
          <w:rFonts w:ascii="Times New Roman" w:eastAsia="Times New Roman" w:hAnsi="Times New Roman" w:cs="Times New Roman"/>
          <w:sz w:val="22"/>
          <w:szCs w:val="22"/>
        </w:rPr>
      </w:pPr>
      <w:r w:rsidRPr="004A66F0">
        <w:rPr>
          <w:rFonts w:ascii="Times New Roman" w:eastAsia="Times New Roman" w:hAnsi="Times New Roman" w:cs="Times New Roman"/>
          <w:sz w:val="22"/>
          <w:szCs w:val="22"/>
        </w:rPr>
        <w:t>Dentro de los Acuerdos de Paz</w:t>
      </w:r>
      <w:r w:rsidR="0087450C">
        <w:rPr>
          <w:rFonts w:ascii="Times New Roman" w:eastAsia="Times New Roman" w:hAnsi="Times New Roman" w:cs="Times New Roman"/>
          <w:sz w:val="22"/>
          <w:szCs w:val="22"/>
        </w:rPr>
        <w:t>,</w:t>
      </w:r>
      <w:r w:rsidRPr="004A66F0">
        <w:rPr>
          <w:rFonts w:ascii="Times New Roman" w:eastAsia="Times New Roman" w:hAnsi="Times New Roman" w:cs="Times New Roman"/>
          <w:sz w:val="22"/>
          <w:szCs w:val="22"/>
        </w:rPr>
        <w:t xml:space="preserve"> firmados por el Gobierno de la República de Guatemala y la Unidad Revolucionaria Nacional Guatemalteca (URNG), el gobierno se comprometió a reestructurar el presupuesto en beneficio del gasto social. Dentro del Plan Nacional de Desarrollo </w:t>
      </w:r>
      <w:proofErr w:type="spellStart"/>
      <w:r w:rsidRPr="004A66F0">
        <w:rPr>
          <w:rFonts w:ascii="Times New Roman" w:eastAsia="Times New Roman" w:hAnsi="Times New Roman" w:cs="Times New Roman"/>
          <w:sz w:val="22"/>
          <w:szCs w:val="22"/>
        </w:rPr>
        <w:t>K’aktun</w:t>
      </w:r>
      <w:proofErr w:type="spellEnd"/>
      <w:r w:rsidRPr="004A66F0">
        <w:rPr>
          <w:rFonts w:ascii="Times New Roman" w:eastAsia="Times New Roman" w:hAnsi="Times New Roman" w:cs="Times New Roman"/>
          <w:sz w:val="22"/>
          <w:szCs w:val="22"/>
        </w:rPr>
        <w:t xml:space="preserve"> Nuestra Guatemala 2032, prioridad “Política fiscal como motor de la estabilidad y el crecimiento económico inclusivo” se establece como meta 1 que el gasto social ha superado el nivel de 7% del PIB, obtenido en 2010. </w:t>
      </w:r>
    </w:p>
    <w:p w14:paraId="5A5EB316" w14:textId="77777777" w:rsidR="004A66F0" w:rsidRPr="004A66F0" w:rsidRDefault="004A66F0" w:rsidP="008D7BB4">
      <w:pPr>
        <w:spacing w:line="276" w:lineRule="auto"/>
        <w:contextualSpacing/>
        <w:jc w:val="both"/>
        <w:rPr>
          <w:rFonts w:ascii="Times New Roman" w:eastAsia="Times New Roman" w:hAnsi="Times New Roman" w:cs="Times New Roman"/>
          <w:sz w:val="22"/>
          <w:szCs w:val="22"/>
        </w:rPr>
      </w:pPr>
    </w:p>
    <w:p w14:paraId="7E093572" w14:textId="77777777" w:rsidR="004A66F0" w:rsidRPr="004A66F0" w:rsidRDefault="004A66F0" w:rsidP="008D7BB4">
      <w:pPr>
        <w:spacing w:line="276" w:lineRule="auto"/>
        <w:contextualSpacing/>
        <w:jc w:val="both"/>
        <w:rPr>
          <w:rFonts w:ascii="Times New Roman" w:eastAsia="Times New Roman" w:hAnsi="Times New Roman" w:cs="Times New Roman"/>
          <w:sz w:val="22"/>
          <w:szCs w:val="22"/>
        </w:rPr>
      </w:pPr>
      <w:r w:rsidRPr="004A66F0">
        <w:rPr>
          <w:rFonts w:ascii="Times New Roman" w:eastAsia="Times New Roman" w:hAnsi="Times New Roman" w:cs="Times New Roman"/>
          <w:sz w:val="22"/>
          <w:szCs w:val="22"/>
        </w:rPr>
        <w:t xml:space="preserve">Al tomar el gasto social según la clasificación de los Acuerdos de Paz, es decir incluyendo a los sectores de seguridad y justicia, se puede ver que la meta establecida en el Plan Nacional de Desarrollo fue superada en el 2022, mientras que en 2020 y 2021 estuvo cerca de ser superada. </w:t>
      </w:r>
    </w:p>
    <w:p w14:paraId="46C1A22E" w14:textId="77777777" w:rsidR="004A66F0" w:rsidRPr="004A66F0" w:rsidRDefault="004A66F0" w:rsidP="008D7BB4">
      <w:pPr>
        <w:spacing w:line="276" w:lineRule="auto"/>
        <w:contextualSpacing/>
        <w:jc w:val="both"/>
        <w:rPr>
          <w:rFonts w:ascii="Times New Roman" w:eastAsia="Times New Roman" w:hAnsi="Times New Roman" w:cs="Times New Roman"/>
          <w:sz w:val="22"/>
          <w:szCs w:val="22"/>
        </w:rPr>
      </w:pPr>
    </w:p>
    <w:p w14:paraId="0D7786F2" w14:textId="1A51176F" w:rsidR="004A66F0" w:rsidRPr="004A66F0" w:rsidRDefault="00A11E1A" w:rsidP="008D7BB4">
      <w:pPr>
        <w:spacing w:line="276" w:lineRule="auto"/>
        <w:contextualSpacing/>
        <w:jc w:val="center"/>
        <w:rPr>
          <w:rFonts w:ascii="Times New Roman" w:eastAsia="Times New Roman" w:hAnsi="Times New Roman" w:cs="Times New Roman"/>
          <w:b/>
        </w:rPr>
      </w:pPr>
      <w:bookmarkStart w:id="43" w:name="_Toc125733210"/>
      <w:r w:rsidRPr="00A11E1A">
        <w:rPr>
          <w:rFonts w:ascii="Times New Roman" w:eastAsia="Times New Roman" w:hAnsi="Times New Roman" w:cs="Times New Roman"/>
          <w:b/>
          <w:sz w:val="22"/>
          <w:szCs w:val="22"/>
        </w:rPr>
        <w:lastRenderedPageBreak/>
        <w:t xml:space="preserve">Gráfico </w:t>
      </w:r>
      <w:r w:rsidRPr="00A11E1A">
        <w:rPr>
          <w:rFonts w:ascii="Times New Roman" w:eastAsia="Times New Roman" w:hAnsi="Times New Roman" w:cs="Times New Roman"/>
          <w:b/>
          <w:sz w:val="22"/>
          <w:szCs w:val="22"/>
        </w:rPr>
        <w:fldChar w:fldCharType="begin"/>
      </w:r>
      <w:r w:rsidRPr="00A11E1A">
        <w:rPr>
          <w:rFonts w:ascii="Times New Roman" w:eastAsia="Times New Roman" w:hAnsi="Times New Roman" w:cs="Times New Roman"/>
          <w:b/>
          <w:sz w:val="22"/>
          <w:szCs w:val="22"/>
        </w:rPr>
        <w:instrText xml:space="preserve"> SEQ Gráfico \* ARABIC </w:instrText>
      </w:r>
      <w:r w:rsidRPr="00A11E1A">
        <w:rPr>
          <w:rFonts w:ascii="Times New Roman" w:eastAsia="Times New Roman" w:hAnsi="Times New Roman" w:cs="Times New Roman"/>
          <w:b/>
          <w:sz w:val="22"/>
          <w:szCs w:val="22"/>
        </w:rPr>
        <w:fldChar w:fldCharType="separate"/>
      </w:r>
      <w:r w:rsidR="006F4BE5">
        <w:rPr>
          <w:rFonts w:ascii="Times New Roman" w:eastAsia="Times New Roman" w:hAnsi="Times New Roman" w:cs="Times New Roman"/>
          <w:b/>
          <w:noProof/>
          <w:sz w:val="22"/>
          <w:szCs w:val="22"/>
        </w:rPr>
        <w:t>14</w:t>
      </w:r>
      <w:r w:rsidRPr="00A11E1A">
        <w:rPr>
          <w:rFonts w:ascii="Times New Roman" w:eastAsia="Times New Roman" w:hAnsi="Times New Roman" w:cs="Times New Roman"/>
          <w:b/>
          <w:sz w:val="22"/>
          <w:szCs w:val="22"/>
        </w:rPr>
        <w:fldChar w:fldCharType="end"/>
      </w:r>
      <w:r>
        <w:rPr>
          <w:rFonts w:ascii="Times New Roman" w:eastAsia="Times New Roman" w:hAnsi="Times New Roman" w:cs="Times New Roman"/>
          <w:b/>
          <w:sz w:val="22"/>
          <w:szCs w:val="22"/>
        </w:rPr>
        <w:t xml:space="preserve">. </w:t>
      </w:r>
      <w:r w:rsidR="004A66F0" w:rsidRPr="004A66F0">
        <w:rPr>
          <w:rFonts w:ascii="Times New Roman" w:eastAsia="Times New Roman" w:hAnsi="Times New Roman" w:cs="Times New Roman"/>
          <w:b/>
        </w:rPr>
        <w:t>Ejecución del Gasto social y de los Acuerdos de Paz</w:t>
      </w:r>
      <w:bookmarkEnd w:id="43"/>
    </w:p>
    <w:p w14:paraId="3D80A949" w14:textId="77777777" w:rsidR="004A66F0" w:rsidRPr="004A66F0" w:rsidRDefault="004A66F0" w:rsidP="008D7BB4">
      <w:pPr>
        <w:spacing w:line="276" w:lineRule="auto"/>
        <w:contextualSpacing/>
        <w:jc w:val="center"/>
        <w:rPr>
          <w:rFonts w:ascii="Times New Roman" w:eastAsia="Times New Roman" w:hAnsi="Times New Roman" w:cs="Times New Roman"/>
          <w:b/>
        </w:rPr>
      </w:pPr>
      <w:r w:rsidRPr="004A66F0">
        <w:rPr>
          <w:rFonts w:ascii="Times New Roman" w:eastAsia="Times New Roman" w:hAnsi="Times New Roman" w:cs="Times New Roman"/>
          <w:b/>
        </w:rPr>
        <w:t>2013 – 2022</w:t>
      </w:r>
    </w:p>
    <w:p w14:paraId="0BEB3847" w14:textId="77777777" w:rsidR="004A66F0" w:rsidRPr="004A66F0" w:rsidRDefault="004A66F0" w:rsidP="008D7BB4">
      <w:pPr>
        <w:spacing w:line="276" w:lineRule="auto"/>
        <w:contextualSpacing/>
        <w:jc w:val="center"/>
        <w:rPr>
          <w:rFonts w:ascii="Times New Roman" w:eastAsia="Times New Roman" w:hAnsi="Times New Roman" w:cs="Times New Roman"/>
          <w:sz w:val="20"/>
          <w:szCs w:val="20"/>
        </w:rPr>
      </w:pPr>
      <w:r w:rsidRPr="004A66F0">
        <w:rPr>
          <w:rFonts w:ascii="Times New Roman" w:eastAsia="Times New Roman" w:hAnsi="Times New Roman" w:cs="Times New Roman"/>
          <w:sz w:val="20"/>
          <w:szCs w:val="20"/>
        </w:rPr>
        <w:t>-Millones de quetzales y porcentajes del PIB-</w:t>
      </w:r>
    </w:p>
    <w:p w14:paraId="59DABEB4" w14:textId="1A788E66" w:rsidR="004A66F0" w:rsidRPr="004A66F0" w:rsidRDefault="004A66F0" w:rsidP="008D7BB4">
      <w:pPr>
        <w:spacing w:line="276" w:lineRule="auto"/>
        <w:contextualSpacing/>
        <w:jc w:val="both"/>
        <w:rPr>
          <w:rFonts w:ascii="Times New Roman" w:eastAsia="Times New Roman" w:hAnsi="Times New Roman" w:cs="Times New Roman"/>
          <w:sz w:val="22"/>
          <w:szCs w:val="22"/>
        </w:rPr>
      </w:pPr>
      <w:r w:rsidRPr="004A66F0">
        <w:rPr>
          <w:rFonts w:ascii="Times New Roman" w:eastAsia="Times New Roman" w:hAnsi="Times New Roman" w:cs="Times New Roman"/>
          <w:noProof/>
          <w:sz w:val="22"/>
          <w:szCs w:val="22"/>
        </w:rPr>
        <w:drawing>
          <wp:inline distT="0" distB="0" distL="0" distR="0" wp14:anchorId="37EF9998" wp14:editId="5F71127B">
            <wp:extent cx="5969635" cy="3086100"/>
            <wp:effectExtent l="0" t="0" r="0" b="0"/>
            <wp:docPr id="24" name="Gráfico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7D2E119" w14:textId="77777777" w:rsidR="004A66F0" w:rsidRPr="004A66F0" w:rsidRDefault="004A66F0" w:rsidP="008D7BB4">
      <w:pPr>
        <w:spacing w:line="276" w:lineRule="auto"/>
        <w:contextualSpacing/>
        <w:jc w:val="both"/>
        <w:rPr>
          <w:rFonts w:ascii="Times New Roman" w:eastAsia="Times New Roman" w:hAnsi="Times New Roman" w:cs="Times New Roman"/>
          <w:sz w:val="22"/>
          <w:szCs w:val="22"/>
        </w:rPr>
      </w:pPr>
      <w:r w:rsidRPr="004A66F0">
        <w:rPr>
          <w:rFonts w:ascii="Times New Roman" w:eastAsia="Times New Roman" w:hAnsi="Times New Roman" w:cs="Calibri"/>
          <w:sz w:val="18"/>
          <w:szCs w:val="22"/>
        </w:rPr>
        <w:t>Fuente: Dirección de Análisis y Política Fiscal</w:t>
      </w:r>
    </w:p>
    <w:p w14:paraId="49A819B8" w14:textId="77777777" w:rsidR="004A66F0" w:rsidRPr="004A66F0" w:rsidRDefault="004A66F0" w:rsidP="00323AC8">
      <w:pPr>
        <w:keepNext/>
        <w:keepLines/>
        <w:spacing w:line="276" w:lineRule="auto"/>
        <w:contextualSpacing/>
        <w:outlineLvl w:val="1"/>
        <w:rPr>
          <w:rFonts w:ascii="Times New Roman" w:eastAsia="Times New Roman" w:hAnsi="Times New Roman" w:cs="Times New Roman"/>
          <w:b/>
          <w:bCs/>
          <w:sz w:val="22"/>
          <w:szCs w:val="26"/>
          <w:lang w:val="es-ES_tradnl" w:eastAsia="es-ES"/>
        </w:rPr>
      </w:pPr>
    </w:p>
    <w:p w14:paraId="50EF770B" w14:textId="77777777" w:rsidR="004A66F0" w:rsidRPr="00A36506" w:rsidRDefault="004A66F0" w:rsidP="008D7BB4">
      <w:pPr>
        <w:pStyle w:val="Prrafodelista"/>
        <w:keepNext/>
        <w:keepLines/>
        <w:numPr>
          <w:ilvl w:val="1"/>
          <w:numId w:val="20"/>
        </w:numPr>
        <w:tabs>
          <w:tab w:val="left" w:pos="1134"/>
        </w:tabs>
        <w:spacing w:line="276" w:lineRule="auto"/>
        <w:jc w:val="both"/>
        <w:outlineLvl w:val="1"/>
        <w:rPr>
          <w:rFonts w:ascii="Times New Roman" w:eastAsiaTheme="majorEastAsia" w:hAnsi="Times New Roman" w:cs="Times New Roman"/>
          <w:b/>
          <w:bCs/>
        </w:rPr>
      </w:pPr>
      <w:bookmarkStart w:id="44" w:name="_Toc125723286"/>
      <w:r w:rsidRPr="00A36506">
        <w:rPr>
          <w:rFonts w:ascii="Times New Roman" w:eastAsiaTheme="majorEastAsia" w:hAnsi="Times New Roman" w:cs="Times New Roman"/>
          <w:b/>
          <w:bCs/>
        </w:rPr>
        <w:t>Ejecución institucional</w:t>
      </w:r>
      <w:bookmarkEnd w:id="44"/>
    </w:p>
    <w:p w14:paraId="0DB6BA9D" w14:textId="77777777" w:rsidR="004A66F0" w:rsidRPr="004A66F0" w:rsidRDefault="004A66F0" w:rsidP="008D7BB4">
      <w:pPr>
        <w:spacing w:line="276" w:lineRule="auto"/>
        <w:contextualSpacing/>
        <w:jc w:val="both"/>
        <w:rPr>
          <w:rFonts w:ascii="Times New Roman" w:eastAsia="Times New Roman" w:hAnsi="Times New Roman" w:cs="Times New Roman"/>
          <w:sz w:val="22"/>
          <w:szCs w:val="22"/>
          <w:lang w:val="es-MX"/>
        </w:rPr>
      </w:pPr>
    </w:p>
    <w:p w14:paraId="3621D5CE" w14:textId="77777777" w:rsidR="004A66F0" w:rsidRPr="004A66F0" w:rsidRDefault="004A66F0" w:rsidP="008D7BB4">
      <w:pPr>
        <w:spacing w:line="276" w:lineRule="auto"/>
        <w:contextualSpacing/>
        <w:jc w:val="both"/>
        <w:rPr>
          <w:rFonts w:ascii="Times New Roman" w:eastAsia="Times New Roman" w:hAnsi="Times New Roman" w:cs="Times New Roman"/>
          <w:sz w:val="22"/>
          <w:szCs w:val="22"/>
          <w:lang w:val="es-ES_tradnl" w:eastAsia="es-ES"/>
        </w:rPr>
      </w:pPr>
      <w:r w:rsidRPr="004A66F0">
        <w:rPr>
          <w:rFonts w:ascii="Times New Roman" w:eastAsia="Times New Roman" w:hAnsi="Times New Roman" w:cs="Times New Roman"/>
          <w:sz w:val="22"/>
          <w:szCs w:val="22"/>
          <w:lang w:val="es-ES_tradnl" w:eastAsia="es-ES"/>
        </w:rPr>
        <w:t xml:space="preserve">El grado de ejecución presupuestaria, a nivel institucional, se ubicó en Q108,593.1 millones, equivalente a un grado de ejecución de 96.2%, siendo el nivel de ejecución más alto de los últimos 10 años. Es importante considerar que durante el ejercicio fiscal se dieron ampliaciones presupuestarias aprobadas por el Congreso de la República de Q6,710.4 millones, de las cuales el 45.2% corresponde a los apoyos temporales otorgados a la población guatemalteca, 47.6% corresponde a infraestructura estratégica y el 7.25% restante a otras ampliaciones a favor de Consejos Departamentales de Desarrollo y entidades del Estado. </w:t>
      </w:r>
    </w:p>
    <w:p w14:paraId="4B13FF3A" w14:textId="77777777" w:rsidR="004A66F0" w:rsidRPr="004A66F0" w:rsidRDefault="004A66F0" w:rsidP="008D7BB4">
      <w:pPr>
        <w:spacing w:line="276" w:lineRule="auto"/>
        <w:contextualSpacing/>
        <w:jc w:val="both"/>
        <w:rPr>
          <w:rFonts w:ascii="Times New Roman" w:eastAsia="Times New Roman" w:hAnsi="Times New Roman" w:cs="Times New Roman"/>
          <w:sz w:val="22"/>
          <w:szCs w:val="22"/>
          <w:lang w:val="es-ES_tradnl" w:eastAsia="es-ES"/>
        </w:rPr>
      </w:pPr>
    </w:p>
    <w:p w14:paraId="5933212C" w14:textId="77777777" w:rsidR="004A66F0" w:rsidRPr="004A66F0" w:rsidRDefault="004A66F0" w:rsidP="008D7BB4">
      <w:pPr>
        <w:spacing w:line="276" w:lineRule="auto"/>
        <w:contextualSpacing/>
        <w:jc w:val="both"/>
        <w:rPr>
          <w:rFonts w:ascii="Times New Roman" w:eastAsia="Times New Roman" w:hAnsi="Times New Roman" w:cs="Times New Roman"/>
          <w:sz w:val="22"/>
          <w:szCs w:val="22"/>
          <w:lang w:val="es-ES_tradnl" w:eastAsia="es-ES"/>
        </w:rPr>
      </w:pPr>
      <w:r w:rsidRPr="004A66F0">
        <w:rPr>
          <w:rFonts w:ascii="Times New Roman" w:eastAsia="Times New Roman" w:hAnsi="Times New Roman" w:cs="Times New Roman"/>
          <w:sz w:val="22"/>
          <w:szCs w:val="22"/>
          <w:lang w:val="es-ES_tradnl" w:eastAsia="es-ES"/>
        </w:rPr>
        <w:t xml:space="preserve">Dentro de las entidades es posible observar una alta dispersión en el grado de ejecución presupuestaria, siendo la entidad que muestra el mayor grado de ejecución el Ministerio de Defensa Nacional con 99.9%, mientras que la entidad con el menor nivel de ejecución fue el Ministerio de Cultura y Deportes con 88.2%. El nivel de ejecución que reportan las entidades se encuentra asociado a la capacidad real de ejecución de cada institución, de las fuentes de financiamiento disponibles, de las prioridades nacionales y de variables exógenas como rigideces legales o institucionales. </w:t>
      </w:r>
    </w:p>
    <w:p w14:paraId="198C6B4E" w14:textId="77777777" w:rsidR="004A66F0" w:rsidRPr="004A66F0" w:rsidRDefault="004A66F0" w:rsidP="008D7BB4">
      <w:pPr>
        <w:spacing w:line="276" w:lineRule="auto"/>
        <w:contextualSpacing/>
        <w:jc w:val="both"/>
        <w:rPr>
          <w:rFonts w:ascii="Times New Roman" w:eastAsia="Times New Roman" w:hAnsi="Times New Roman" w:cs="Times New Roman"/>
          <w:sz w:val="22"/>
          <w:szCs w:val="22"/>
          <w:lang w:val="es-ES_tradnl" w:eastAsia="es-ES"/>
        </w:rPr>
      </w:pPr>
      <w:r w:rsidRPr="004A66F0">
        <w:rPr>
          <w:rFonts w:ascii="Times New Roman" w:eastAsia="Times New Roman" w:hAnsi="Times New Roman" w:cs="Times New Roman"/>
          <w:sz w:val="22"/>
          <w:szCs w:val="22"/>
          <w:lang w:val="es-ES_tradnl" w:eastAsia="es-ES"/>
        </w:rPr>
        <w:t xml:space="preserve"> </w:t>
      </w:r>
    </w:p>
    <w:p w14:paraId="3AFD4C67" w14:textId="71DA87D7" w:rsidR="004A66F0" w:rsidRPr="004A66F0" w:rsidRDefault="004A66F0" w:rsidP="008D7BB4">
      <w:pPr>
        <w:spacing w:line="276" w:lineRule="auto"/>
        <w:contextualSpacing/>
        <w:jc w:val="both"/>
        <w:rPr>
          <w:rFonts w:ascii="Times New Roman" w:eastAsia="Times New Roman" w:hAnsi="Times New Roman" w:cs="Times New Roman"/>
          <w:sz w:val="22"/>
          <w:szCs w:val="22"/>
          <w:lang w:val="es-ES_tradnl" w:eastAsia="es-ES"/>
        </w:rPr>
      </w:pPr>
      <w:r w:rsidRPr="004A66F0">
        <w:rPr>
          <w:rFonts w:ascii="Times New Roman" w:eastAsia="Times New Roman" w:hAnsi="Times New Roman" w:cs="Times New Roman"/>
          <w:sz w:val="22"/>
          <w:szCs w:val="22"/>
          <w:lang w:val="es-ES_tradnl" w:eastAsia="es-ES"/>
        </w:rPr>
        <w:t xml:space="preserve">En el caso del Ministerio de Defensa Nacional, su ejecución estuvo impulsada principalmente porque todos los programas que implementa tuvieron ejecuciones superiores al 99%. Asimismo, el Servicio de la Deuda Pública tuvo una alta ejecución, 98.9%, </w:t>
      </w:r>
      <w:r w:rsidRPr="00323AC8">
        <w:rPr>
          <w:rFonts w:ascii="Times New Roman" w:eastAsia="Times New Roman" w:hAnsi="Times New Roman" w:cs="Times New Roman"/>
          <w:sz w:val="22"/>
          <w:szCs w:val="22"/>
          <w:lang w:val="es-ES_tradnl" w:eastAsia="es-ES"/>
        </w:rPr>
        <w:t>siendo</w:t>
      </w:r>
      <w:r w:rsidRPr="004A66F0">
        <w:rPr>
          <w:rFonts w:ascii="Times New Roman" w:eastAsia="Times New Roman" w:hAnsi="Times New Roman" w:cs="Times New Roman"/>
          <w:sz w:val="22"/>
          <w:szCs w:val="22"/>
          <w:lang w:val="es-ES_tradnl" w:eastAsia="es-ES"/>
        </w:rPr>
        <w:t xml:space="preserve"> relevante dado que ahí se registra el pago </w:t>
      </w:r>
      <w:r w:rsidRPr="004A66F0">
        <w:rPr>
          <w:rFonts w:ascii="Times New Roman" w:eastAsia="Times New Roman" w:hAnsi="Times New Roman" w:cs="Times New Roman"/>
          <w:sz w:val="22"/>
          <w:szCs w:val="22"/>
          <w:lang w:val="es-ES_tradnl" w:eastAsia="es-ES"/>
        </w:rPr>
        <w:lastRenderedPageBreak/>
        <w:t>de intereses, comisiones y amortizaciones de deuda pública por compromisos adquiridos con tenedores de títulos de deuda</w:t>
      </w:r>
      <w:r w:rsidR="00E15058">
        <w:rPr>
          <w:rFonts w:ascii="Times New Roman" w:eastAsia="Times New Roman" w:hAnsi="Times New Roman" w:cs="Times New Roman"/>
          <w:sz w:val="22"/>
          <w:szCs w:val="22"/>
          <w:lang w:val="es-ES_tradnl" w:eastAsia="es-ES"/>
        </w:rPr>
        <w:t>.  E</w:t>
      </w:r>
      <w:r w:rsidRPr="004A66F0">
        <w:rPr>
          <w:rFonts w:ascii="Times New Roman" w:eastAsia="Times New Roman" w:hAnsi="Times New Roman" w:cs="Times New Roman"/>
          <w:sz w:val="22"/>
          <w:szCs w:val="22"/>
          <w:lang w:val="es-ES_tradnl" w:eastAsia="es-ES"/>
        </w:rPr>
        <w:t xml:space="preserve">s importante resaltar que durante el ejercicio </w:t>
      </w:r>
      <w:proofErr w:type="gramStart"/>
      <w:r w:rsidRPr="004A66F0">
        <w:rPr>
          <w:rFonts w:ascii="Times New Roman" w:eastAsia="Times New Roman" w:hAnsi="Times New Roman" w:cs="Times New Roman"/>
          <w:sz w:val="22"/>
          <w:szCs w:val="22"/>
          <w:lang w:val="es-ES_tradnl" w:eastAsia="es-ES"/>
        </w:rPr>
        <w:t xml:space="preserve">fiscal </w:t>
      </w:r>
      <w:r w:rsidR="00E15058">
        <w:rPr>
          <w:rFonts w:ascii="Times New Roman" w:eastAsia="Times New Roman" w:hAnsi="Times New Roman" w:cs="Times New Roman"/>
          <w:sz w:val="22"/>
          <w:szCs w:val="22"/>
          <w:lang w:val="es-ES_tradnl" w:eastAsia="es-ES"/>
        </w:rPr>
        <w:t xml:space="preserve"> no</w:t>
      </w:r>
      <w:proofErr w:type="gramEnd"/>
      <w:r w:rsidR="00E15058">
        <w:rPr>
          <w:rFonts w:ascii="Times New Roman" w:eastAsia="Times New Roman" w:hAnsi="Times New Roman" w:cs="Times New Roman"/>
          <w:sz w:val="22"/>
          <w:szCs w:val="22"/>
          <w:lang w:val="es-ES_tradnl" w:eastAsia="es-ES"/>
        </w:rPr>
        <w:t xml:space="preserve"> se colocaron</w:t>
      </w:r>
      <w:r w:rsidRPr="004A66F0">
        <w:rPr>
          <w:rFonts w:ascii="Times New Roman" w:eastAsia="Times New Roman" w:hAnsi="Times New Roman" w:cs="Times New Roman"/>
          <w:sz w:val="22"/>
          <w:szCs w:val="22"/>
          <w:lang w:val="es-ES_tradnl" w:eastAsia="es-ES"/>
        </w:rPr>
        <w:t xml:space="preserve"> Q5,149.4 millones correspondiente a bonos del tesoro, debido a la </w:t>
      </w:r>
      <w:r w:rsidR="00E15058">
        <w:rPr>
          <w:rFonts w:ascii="Times New Roman" w:eastAsia="Times New Roman" w:hAnsi="Times New Roman" w:cs="Times New Roman"/>
          <w:sz w:val="22"/>
          <w:szCs w:val="22"/>
          <w:lang w:val="es-ES_tradnl" w:eastAsia="es-ES"/>
        </w:rPr>
        <w:t xml:space="preserve">suficiente </w:t>
      </w:r>
      <w:r w:rsidRPr="004A66F0">
        <w:rPr>
          <w:rFonts w:ascii="Times New Roman" w:eastAsia="Times New Roman" w:hAnsi="Times New Roman" w:cs="Times New Roman"/>
          <w:sz w:val="22"/>
          <w:szCs w:val="22"/>
          <w:lang w:val="es-ES_tradnl" w:eastAsia="es-ES"/>
        </w:rPr>
        <w:t xml:space="preserve">disponibilidad de recursos en caja y a que las presiones de gasto estaban cubiertas con las fuentes de financiamiento disponibles, esto sería ventajoso de cara al futuro ya que representaría un menor servicio de la deuda para los próximos años. </w:t>
      </w:r>
    </w:p>
    <w:p w14:paraId="2268E6AF" w14:textId="77777777" w:rsidR="004A66F0" w:rsidRPr="004A66F0" w:rsidRDefault="004A66F0" w:rsidP="008D7BB4">
      <w:pPr>
        <w:spacing w:line="276" w:lineRule="auto"/>
        <w:contextualSpacing/>
        <w:jc w:val="both"/>
        <w:rPr>
          <w:rFonts w:ascii="Times New Roman" w:eastAsia="Times New Roman" w:hAnsi="Times New Roman" w:cs="Times New Roman"/>
          <w:sz w:val="22"/>
          <w:szCs w:val="22"/>
          <w:lang w:val="es-ES_tradnl" w:eastAsia="es-ES"/>
        </w:rPr>
      </w:pPr>
    </w:p>
    <w:p w14:paraId="2D668431" w14:textId="77777777" w:rsidR="004A66F0" w:rsidRPr="004A66F0" w:rsidRDefault="004A66F0" w:rsidP="008D7BB4">
      <w:pPr>
        <w:spacing w:line="276" w:lineRule="auto"/>
        <w:contextualSpacing/>
        <w:jc w:val="both"/>
        <w:rPr>
          <w:rFonts w:ascii="Times New Roman" w:eastAsia="Times New Roman" w:hAnsi="Times New Roman" w:cs="Times New Roman"/>
          <w:sz w:val="22"/>
          <w:szCs w:val="22"/>
          <w:lang w:val="es-ES_tradnl" w:eastAsia="es-ES"/>
        </w:rPr>
      </w:pPr>
      <w:r w:rsidRPr="004A66F0">
        <w:rPr>
          <w:rFonts w:ascii="Times New Roman" w:eastAsia="Times New Roman" w:hAnsi="Times New Roman" w:cs="Times New Roman"/>
          <w:sz w:val="22"/>
          <w:szCs w:val="22"/>
          <w:lang w:val="es-ES_tradnl" w:eastAsia="es-ES"/>
        </w:rPr>
        <w:t xml:space="preserve">Otras entidades cuyo nivel de ejecución se encuentra por arriba de la ejecución total son Relaciones Exteriores (99.3%), Energía y Minas (99.3%), Desarrollo Social (98.7%), Finanzas Públicas (98.6%), Educación (98.3%), Presidencia (97.7%), Gobernación (97.1%), PGN (97.0%), Trabajo (96.4%) y Economía (96.3%). </w:t>
      </w:r>
    </w:p>
    <w:p w14:paraId="50EA239E" w14:textId="77777777" w:rsidR="004A66F0" w:rsidRPr="004A66F0" w:rsidRDefault="004A66F0" w:rsidP="008D7BB4">
      <w:pPr>
        <w:spacing w:line="276" w:lineRule="auto"/>
        <w:contextualSpacing/>
        <w:jc w:val="both"/>
        <w:rPr>
          <w:rFonts w:ascii="Times New Roman" w:eastAsia="Times New Roman" w:hAnsi="Times New Roman" w:cs="Times New Roman"/>
          <w:sz w:val="22"/>
          <w:szCs w:val="22"/>
          <w:lang w:val="es-ES_tradnl" w:eastAsia="es-ES"/>
        </w:rPr>
      </w:pPr>
    </w:p>
    <w:p w14:paraId="416539BE" w14:textId="302694D1" w:rsidR="004A66F0" w:rsidRPr="004A66F0" w:rsidRDefault="004A66F0" w:rsidP="008D7BB4">
      <w:pPr>
        <w:spacing w:line="276" w:lineRule="auto"/>
        <w:contextualSpacing/>
        <w:jc w:val="both"/>
        <w:rPr>
          <w:rFonts w:ascii="Times New Roman" w:eastAsia="Times New Roman" w:hAnsi="Times New Roman" w:cs="Times New Roman"/>
          <w:sz w:val="22"/>
          <w:szCs w:val="22"/>
          <w:lang w:val="es-ES_tradnl" w:eastAsia="es-ES"/>
        </w:rPr>
      </w:pPr>
      <w:r w:rsidRPr="004A66F0">
        <w:rPr>
          <w:rFonts w:ascii="Times New Roman" w:eastAsia="Times New Roman" w:hAnsi="Times New Roman" w:cs="Times New Roman"/>
          <w:sz w:val="22"/>
          <w:szCs w:val="22"/>
          <w:lang w:val="es-ES_tradnl" w:eastAsia="es-ES"/>
        </w:rPr>
        <w:t>En el caso del Ministerio de Trabajo, es importante mencionar la aprobación del Decreto número 04-2022, el cual contiene reformas al Decreto número 85-2005</w:t>
      </w:r>
      <w:r w:rsidR="00E15058">
        <w:rPr>
          <w:rFonts w:ascii="Times New Roman" w:eastAsia="Times New Roman" w:hAnsi="Times New Roman" w:cs="Times New Roman"/>
          <w:sz w:val="22"/>
          <w:szCs w:val="22"/>
          <w:lang w:val="es-ES_tradnl" w:eastAsia="es-ES"/>
        </w:rPr>
        <w:t>,</w:t>
      </w:r>
      <w:r w:rsidRPr="004A66F0">
        <w:rPr>
          <w:rFonts w:ascii="Times New Roman" w:eastAsia="Times New Roman" w:hAnsi="Times New Roman" w:cs="Times New Roman"/>
          <w:sz w:val="22"/>
          <w:szCs w:val="22"/>
          <w:lang w:val="es-ES_tradnl" w:eastAsia="es-ES"/>
        </w:rPr>
        <w:t xml:space="preserve"> Ley del Programa de Aporte Económico del Adulto Mayor, siendo un aporte económico mensual por parte del Estado, para aquellas personas que según el estudio socioeconómico sean elegibles. El aporte económico para cada uno de los beneficiarios que haya llenado los requisitos que establece esta Ley y su reglamento será de Q500.0</w:t>
      </w:r>
      <w:r w:rsidR="00E15058">
        <w:rPr>
          <w:rFonts w:ascii="Times New Roman" w:eastAsia="Times New Roman" w:hAnsi="Times New Roman" w:cs="Times New Roman"/>
          <w:sz w:val="22"/>
          <w:szCs w:val="22"/>
          <w:lang w:val="es-ES_tradnl" w:eastAsia="es-ES"/>
        </w:rPr>
        <w:t>0</w:t>
      </w:r>
      <w:r w:rsidRPr="004A66F0">
        <w:rPr>
          <w:rFonts w:ascii="Times New Roman" w:eastAsia="Times New Roman" w:hAnsi="Times New Roman" w:cs="Times New Roman"/>
          <w:sz w:val="22"/>
          <w:szCs w:val="22"/>
          <w:lang w:val="es-ES_tradnl" w:eastAsia="es-ES"/>
        </w:rPr>
        <w:t xml:space="preserve"> mensuales. El monto deberá ser revisado mediante estudios actuariales periódicamente tomando en consideración para el efecto, el número de beneficiarios y la situación financiera del programa. </w:t>
      </w:r>
    </w:p>
    <w:p w14:paraId="63650397" w14:textId="77777777" w:rsidR="004A66F0" w:rsidRPr="004A66F0" w:rsidRDefault="004A66F0" w:rsidP="008D7BB4">
      <w:pPr>
        <w:spacing w:line="276" w:lineRule="auto"/>
        <w:contextualSpacing/>
        <w:jc w:val="both"/>
        <w:rPr>
          <w:rFonts w:ascii="Times New Roman" w:eastAsia="Times New Roman" w:hAnsi="Times New Roman" w:cs="Times New Roman"/>
          <w:sz w:val="22"/>
          <w:szCs w:val="22"/>
          <w:lang w:val="es-ES_tradnl" w:eastAsia="es-ES"/>
        </w:rPr>
      </w:pPr>
    </w:p>
    <w:p w14:paraId="3547A254" w14:textId="77777777" w:rsidR="004A66F0" w:rsidRPr="004A66F0" w:rsidRDefault="004A66F0" w:rsidP="008D7BB4">
      <w:pPr>
        <w:spacing w:line="276" w:lineRule="auto"/>
        <w:contextualSpacing/>
        <w:jc w:val="both"/>
        <w:rPr>
          <w:rFonts w:ascii="Times New Roman" w:eastAsia="Times New Roman" w:hAnsi="Times New Roman" w:cs="Times New Roman"/>
          <w:sz w:val="22"/>
          <w:szCs w:val="22"/>
          <w:lang w:val="es-ES_tradnl" w:eastAsia="es-ES"/>
        </w:rPr>
      </w:pPr>
      <w:r w:rsidRPr="004A66F0">
        <w:rPr>
          <w:rFonts w:ascii="Times New Roman" w:eastAsia="Times New Roman" w:hAnsi="Times New Roman" w:cs="Times New Roman"/>
          <w:sz w:val="22"/>
          <w:szCs w:val="22"/>
          <w:lang w:val="es-ES_tradnl" w:eastAsia="es-ES"/>
        </w:rPr>
        <w:t>Con el objeto que el programa de Aporte Económico del Adulto Mayor cuente con los recursos económicos necesarios para su funcionamiento y cobertura, contara con las siguientes fuentes de financiamiento:</w:t>
      </w:r>
    </w:p>
    <w:p w14:paraId="182B4EA1" w14:textId="77777777" w:rsidR="004A66F0" w:rsidRPr="004A66F0" w:rsidRDefault="004A66F0" w:rsidP="008D7BB4">
      <w:pPr>
        <w:spacing w:line="276" w:lineRule="auto"/>
        <w:contextualSpacing/>
        <w:jc w:val="both"/>
        <w:rPr>
          <w:rFonts w:ascii="Times New Roman" w:eastAsia="Times New Roman" w:hAnsi="Times New Roman" w:cs="Times New Roman"/>
          <w:sz w:val="22"/>
          <w:szCs w:val="22"/>
          <w:lang w:val="es-ES_tradnl" w:eastAsia="es-ES"/>
        </w:rPr>
      </w:pPr>
    </w:p>
    <w:p w14:paraId="50742F5C" w14:textId="77777777" w:rsidR="004A66F0" w:rsidRPr="004A66F0" w:rsidRDefault="004A66F0" w:rsidP="008D7BB4">
      <w:pPr>
        <w:numPr>
          <w:ilvl w:val="0"/>
          <w:numId w:val="28"/>
        </w:numPr>
        <w:spacing w:line="276" w:lineRule="auto"/>
        <w:contextualSpacing/>
        <w:jc w:val="both"/>
        <w:rPr>
          <w:rFonts w:ascii="Times New Roman" w:eastAsia="Times New Roman" w:hAnsi="Times New Roman" w:cs="Times New Roman"/>
          <w:sz w:val="22"/>
          <w:szCs w:val="22"/>
          <w:lang w:val="es-ES_tradnl" w:eastAsia="es-ES"/>
        </w:rPr>
      </w:pPr>
      <w:r w:rsidRPr="004A66F0">
        <w:rPr>
          <w:rFonts w:ascii="Times New Roman" w:eastAsia="Times New Roman" w:hAnsi="Times New Roman" w:cs="Times New Roman"/>
          <w:sz w:val="22"/>
          <w:szCs w:val="22"/>
          <w:lang w:val="es-ES_tradnl" w:eastAsia="es-ES"/>
        </w:rPr>
        <w:t xml:space="preserve">Una asignación anual mínima de Q820.0 millones que deberá aportar el Estado a partir del ejercicio fiscal 2022 y que deberá incluirse dentro de los presupuestos de ingresos y egresos de cada ejercicio fiscal, cuya fuente de financiamiento provendrá de los bonos del tesoro internos y externos e ingresos tributarios y saldos de caja y bancos que identifique el Ministerio de Finanzas Públicas para el efecto, de cuyo aporte se podrá destinar hasta el 3% para gastos de funcionamiento del programa. </w:t>
      </w:r>
    </w:p>
    <w:p w14:paraId="1449B118" w14:textId="77777777" w:rsidR="004A66F0" w:rsidRPr="004A66F0" w:rsidRDefault="004A66F0" w:rsidP="008D7BB4">
      <w:pPr>
        <w:numPr>
          <w:ilvl w:val="0"/>
          <w:numId w:val="28"/>
        </w:numPr>
        <w:spacing w:line="276" w:lineRule="auto"/>
        <w:contextualSpacing/>
        <w:jc w:val="both"/>
        <w:rPr>
          <w:rFonts w:ascii="Times New Roman" w:eastAsia="Times New Roman" w:hAnsi="Times New Roman" w:cs="Times New Roman"/>
          <w:sz w:val="22"/>
          <w:szCs w:val="22"/>
          <w:lang w:val="es-ES_tradnl" w:eastAsia="es-ES"/>
        </w:rPr>
      </w:pPr>
      <w:r w:rsidRPr="004A66F0">
        <w:rPr>
          <w:rFonts w:ascii="Times New Roman" w:eastAsia="Times New Roman" w:hAnsi="Times New Roman" w:cs="Times New Roman"/>
          <w:sz w:val="22"/>
          <w:szCs w:val="22"/>
          <w:lang w:val="es-ES_tradnl" w:eastAsia="es-ES"/>
        </w:rPr>
        <w:t xml:space="preserve">Donaciones y otros aportes que se reciban para el programa, de entidades nacionales y extranjeras. </w:t>
      </w:r>
    </w:p>
    <w:p w14:paraId="6A1BA2EF" w14:textId="77777777" w:rsidR="004A66F0" w:rsidRPr="004A66F0" w:rsidRDefault="004A66F0" w:rsidP="008D7BB4">
      <w:pPr>
        <w:spacing w:line="276" w:lineRule="auto"/>
        <w:contextualSpacing/>
        <w:jc w:val="both"/>
        <w:rPr>
          <w:rFonts w:ascii="Times New Roman" w:eastAsia="Times New Roman" w:hAnsi="Times New Roman" w:cs="Times New Roman"/>
          <w:sz w:val="22"/>
          <w:szCs w:val="22"/>
          <w:lang w:val="es-ES_tradnl" w:eastAsia="es-ES"/>
        </w:rPr>
      </w:pPr>
    </w:p>
    <w:p w14:paraId="41469406" w14:textId="77777777" w:rsidR="004A66F0" w:rsidRPr="004A66F0" w:rsidRDefault="004A66F0" w:rsidP="008D7BB4">
      <w:pPr>
        <w:spacing w:line="276" w:lineRule="auto"/>
        <w:contextualSpacing/>
        <w:jc w:val="both"/>
        <w:rPr>
          <w:rFonts w:ascii="Times New Roman" w:eastAsia="Times New Roman" w:hAnsi="Times New Roman" w:cs="Times New Roman"/>
          <w:sz w:val="22"/>
          <w:szCs w:val="22"/>
          <w:lang w:val="es-ES_tradnl" w:eastAsia="es-ES"/>
        </w:rPr>
      </w:pPr>
      <w:r w:rsidRPr="004A66F0">
        <w:rPr>
          <w:rFonts w:ascii="Times New Roman" w:eastAsia="Times New Roman" w:hAnsi="Times New Roman" w:cs="Times New Roman"/>
          <w:sz w:val="22"/>
          <w:szCs w:val="22"/>
          <w:lang w:val="es-ES_tradnl" w:eastAsia="es-ES"/>
        </w:rPr>
        <w:t>Por ello, el programa con mayor crecimiento dentro de la entidad es el programa de atención al adulto mayor, el cual reporta un crecimiento interanual de 50.7%, equivalente a Q263.8 millones.</w:t>
      </w:r>
    </w:p>
    <w:p w14:paraId="4BA984EB" w14:textId="77777777" w:rsidR="004A66F0" w:rsidRPr="004A66F0" w:rsidRDefault="004A66F0" w:rsidP="008D7BB4">
      <w:pPr>
        <w:spacing w:line="276" w:lineRule="auto"/>
        <w:contextualSpacing/>
        <w:jc w:val="both"/>
        <w:rPr>
          <w:rFonts w:ascii="Times New Roman" w:eastAsia="Times New Roman" w:hAnsi="Times New Roman" w:cs="Times New Roman"/>
          <w:sz w:val="22"/>
          <w:szCs w:val="22"/>
          <w:lang w:val="es-ES_tradnl" w:eastAsia="es-ES"/>
        </w:rPr>
      </w:pPr>
    </w:p>
    <w:p w14:paraId="286CDC7D" w14:textId="763BA270" w:rsidR="004A66F0" w:rsidRPr="004A66F0" w:rsidRDefault="004A66F0" w:rsidP="008D7BB4">
      <w:pPr>
        <w:spacing w:line="276" w:lineRule="auto"/>
        <w:contextualSpacing/>
        <w:jc w:val="both"/>
        <w:rPr>
          <w:rFonts w:ascii="Times New Roman" w:eastAsia="Times New Roman" w:hAnsi="Times New Roman" w:cs="Times New Roman"/>
          <w:sz w:val="22"/>
          <w:szCs w:val="22"/>
          <w:lang w:val="es-ES_tradnl" w:eastAsia="es-ES"/>
        </w:rPr>
      </w:pPr>
      <w:r w:rsidRPr="004A66F0">
        <w:rPr>
          <w:rFonts w:ascii="Times New Roman" w:eastAsia="Times New Roman" w:hAnsi="Times New Roman" w:cs="Times New Roman"/>
          <w:sz w:val="22"/>
          <w:szCs w:val="22"/>
          <w:lang w:val="es-ES_tradnl" w:eastAsia="es-ES"/>
        </w:rPr>
        <w:t>En el caso del Ministerio de Energía y Minas resalta que fue la entidad con el mayor crecimiento interanual, derivado que durante el año se aprobaron varias ampliaciones presupuestarias, lo cual provocó que el presupuesto de la entidad creciera en más de 30 veces su nivel inicial, esto por los apoyos temporales en el gas propano y las gasolinas</w:t>
      </w:r>
      <w:r w:rsidR="00E15058">
        <w:rPr>
          <w:rFonts w:ascii="Times New Roman" w:eastAsia="Times New Roman" w:hAnsi="Times New Roman" w:cs="Times New Roman"/>
          <w:sz w:val="22"/>
          <w:szCs w:val="22"/>
          <w:lang w:val="es-ES_tradnl" w:eastAsia="es-ES"/>
        </w:rPr>
        <w:t>,</w:t>
      </w:r>
      <w:r w:rsidRPr="004A66F0">
        <w:rPr>
          <w:rFonts w:ascii="Times New Roman" w:eastAsia="Times New Roman" w:hAnsi="Times New Roman" w:cs="Times New Roman"/>
          <w:sz w:val="22"/>
          <w:szCs w:val="22"/>
          <w:lang w:val="es-ES_tradnl" w:eastAsia="es-ES"/>
        </w:rPr>
        <w:t xml:space="preserve"> por el alza de los precios, siendo una de las prioridades gubernamentales el apoyo a los hogares guatemaltecos durante </w:t>
      </w:r>
      <w:r w:rsidR="0065119A">
        <w:rPr>
          <w:rFonts w:ascii="Times New Roman" w:eastAsia="Times New Roman" w:hAnsi="Times New Roman" w:cs="Times New Roman"/>
          <w:sz w:val="22"/>
          <w:szCs w:val="22"/>
          <w:lang w:val="es-ES_tradnl" w:eastAsia="es-ES"/>
        </w:rPr>
        <w:t>el</w:t>
      </w:r>
      <w:r w:rsidR="0065119A" w:rsidRPr="004A66F0">
        <w:rPr>
          <w:rFonts w:ascii="Times New Roman" w:eastAsia="Times New Roman" w:hAnsi="Times New Roman" w:cs="Times New Roman"/>
          <w:sz w:val="22"/>
          <w:szCs w:val="22"/>
          <w:lang w:val="es-ES_tradnl" w:eastAsia="es-ES"/>
        </w:rPr>
        <w:t xml:space="preserve"> </w:t>
      </w:r>
      <w:r w:rsidRPr="004A66F0">
        <w:rPr>
          <w:rFonts w:ascii="Times New Roman" w:eastAsia="Times New Roman" w:hAnsi="Times New Roman" w:cs="Times New Roman"/>
          <w:sz w:val="22"/>
          <w:szCs w:val="22"/>
          <w:lang w:val="es-ES_tradnl" w:eastAsia="es-ES"/>
        </w:rPr>
        <w:t xml:space="preserve">período de elevada inflación e incertidumbre. </w:t>
      </w:r>
    </w:p>
    <w:p w14:paraId="73537A21" w14:textId="6D3C5B55" w:rsidR="004A66F0" w:rsidRPr="004A66F0" w:rsidRDefault="00734317" w:rsidP="008D7BB4">
      <w:pPr>
        <w:pBdr>
          <w:top w:val="single" w:sz="4" w:space="0" w:color="auto"/>
          <w:left w:val="single" w:sz="4" w:space="4" w:color="auto"/>
          <w:bottom w:val="single" w:sz="4" w:space="1" w:color="auto"/>
          <w:right w:val="single" w:sz="4" w:space="4" w:color="auto"/>
        </w:pBdr>
        <w:shd w:val="clear" w:color="auto" w:fill="DBE5F1"/>
        <w:spacing w:line="276" w:lineRule="auto"/>
        <w:ind w:left="284" w:right="332"/>
        <w:contextualSpacing/>
        <w:jc w:val="center"/>
        <w:rPr>
          <w:rFonts w:ascii="Times New Roman" w:eastAsia="Times New Roman" w:hAnsi="Times New Roman" w:cs="Times New Roman"/>
          <w:b/>
          <w:sz w:val="22"/>
          <w:szCs w:val="22"/>
          <w:lang w:val="es-MX" w:eastAsia="es-ES"/>
        </w:rPr>
      </w:pPr>
      <w:bookmarkStart w:id="45" w:name="_Hlk125446367"/>
      <w:r>
        <w:rPr>
          <w:rFonts w:ascii="Times New Roman" w:eastAsia="Times New Roman" w:hAnsi="Times New Roman" w:cs="Times New Roman"/>
          <w:b/>
          <w:sz w:val="22"/>
          <w:szCs w:val="22"/>
          <w:lang w:val="es-MX" w:eastAsia="es-ES"/>
        </w:rPr>
        <w:lastRenderedPageBreak/>
        <w:t xml:space="preserve">Recuadro 3. </w:t>
      </w:r>
      <w:r w:rsidR="004A66F0" w:rsidRPr="004A66F0">
        <w:rPr>
          <w:rFonts w:ascii="Times New Roman" w:eastAsia="Times New Roman" w:hAnsi="Times New Roman" w:cs="Times New Roman"/>
          <w:b/>
          <w:sz w:val="22"/>
          <w:szCs w:val="22"/>
          <w:lang w:val="es-MX" w:eastAsia="es-ES"/>
        </w:rPr>
        <w:t>Decretos aprobados en concepto de apoyos temporales</w:t>
      </w:r>
    </w:p>
    <w:p w14:paraId="64813235" w14:textId="77777777" w:rsidR="004A66F0" w:rsidRPr="004A66F0" w:rsidRDefault="004A66F0" w:rsidP="008D7BB4">
      <w:pPr>
        <w:pBdr>
          <w:top w:val="single" w:sz="4" w:space="0" w:color="auto"/>
          <w:left w:val="single" w:sz="4" w:space="4" w:color="auto"/>
          <w:bottom w:val="single" w:sz="4" w:space="1" w:color="auto"/>
          <w:right w:val="single" w:sz="4" w:space="4" w:color="auto"/>
        </w:pBdr>
        <w:shd w:val="clear" w:color="auto" w:fill="DBE5F1"/>
        <w:spacing w:line="276" w:lineRule="auto"/>
        <w:ind w:left="284" w:right="332"/>
        <w:contextualSpacing/>
        <w:rPr>
          <w:rFonts w:ascii="Times New Roman" w:eastAsia="Times New Roman" w:hAnsi="Times New Roman" w:cs="Times New Roman"/>
          <w:b/>
          <w:sz w:val="22"/>
          <w:szCs w:val="22"/>
          <w:lang w:val="es-MX" w:eastAsia="es-ES"/>
        </w:rPr>
      </w:pPr>
    </w:p>
    <w:p w14:paraId="4B6FFC96" w14:textId="77777777" w:rsidR="004A66F0" w:rsidRPr="004A66F0" w:rsidRDefault="004A66F0" w:rsidP="008D7BB4">
      <w:pPr>
        <w:pBdr>
          <w:top w:val="single" w:sz="4" w:space="0" w:color="auto"/>
          <w:left w:val="single" w:sz="4" w:space="4" w:color="auto"/>
          <w:bottom w:val="single" w:sz="4" w:space="1" w:color="auto"/>
          <w:right w:val="single" w:sz="4" w:space="4" w:color="auto"/>
        </w:pBdr>
        <w:shd w:val="clear" w:color="auto" w:fill="DBE5F1"/>
        <w:spacing w:line="276" w:lineRule="auto"/>
        <w:ind w:left="284" w:right="332"/>
        <w:contextualSpacing/>
        <w:jc w:val="both"/>
        <w:rPr>
          <w:rFonts w:ascii="Times New Roman" w:eastAsia="Times New Roman" w:hAnsi="Times New Roman" w:cs="Times New Roman"/>
          <w:bCs/>
          <w:sz w:val="20"/>
          <w:szCs w:val="20"/>
          <w:lang w:val="es-MX" w:eastAsia="es-ES"/>
        </w:rPr>
      </w:pPr>
      <w:r w:rsidRPr="004A66F0">
        <w:rPr>
          <w:rFonts w:ascii="Times New Roman" w:eastAsia="Times New Roman" w:hAnsi="Times New Roman" w:cs="Times New Roman"/>
          <w:bCs/>
          <w:sz w:val="20"/>
          <w:szCs w:val="20"/>
          <w:lang w:val="es-MX" w:eastAsia="es-ES"/>
        </w:rPr>
        <w:t>Durante el 2022 se observaron una serie de factores externos que impulsaron los precios de los combustibles, entre estos destacan las tensiones geopolíticas por la guerra entre Rusia y Ucrania, la reducción de la producción por parte de la OPEP y las medidas de confinamiento contra el COVID-19 en Asia que crearon una disrupción en la cadena de suministros afectando el transporte marítimo de mercancías, entre ellas el petróleo.</w:t>
      </w:r>
    </w:p>
    <w:p w14:paraId="2239DE76" w14:textId="77777777" w:rsidR="004A66F0" w:rsidRPr="004A66F0" w:rsidRDefault="004A66F0" w:rsidP="008D7BB4">
      <w:pPr>
        <w:pBdr>
          <w:top w:val="single" w:sz="4" w:space="0" w:color="auto"/>
          <w:left w:val="single" w:sz="4" w:space="4" w:color="auto"/>
          <w:bottom w:val="single" w:sz="4" w:space="1" w:color="auto"/>
          <w:right w:val="single" w:sz="4" w:space="4" w:color="auto"/>
        </w:pBdr>
        <w:shd w:val="clear" w:color="auto" w:fill="DBE5F1"/>
        <w:spacing w:line="276" w:lineRule="auto"/>
        <w:ind w:left="284" w:right="332"/>
        <w:contextualSpacing/>
        <w:jc w:val="both"/>
        <w:rPr>
          <w:rFonts w:ascii="Times New Roman" w:eastAsia="Times New Roman" w:hAnsi="Times New Roman" w:cs="Times New Roman"/>
          <w:bCs/>
          <w:sz w:val="20"/>
          <w:szCs w:val="20"/>
          <w:lang w:val="es-MX" w:eastAsia="es-ES"/>
        </w:rPr>
      </w:pPr>
    </w:p>
    <w:p w14:paraId="211811C9" w14:textId="11A79F63" w:rsidR="004A66F0" w:rsidRPr="004A66F0" w:rsidRDefault="004A66F0" w:rsidP="008D7BB4">
      <w:pPr>
        <w:pBdr>
          <w:top w:val="single" w:sz="4" w:space="0" w:color="auto"/>
          <w:left w:val="single" w:sz="4" w:space="4" w:color="auto"/>
          <w:bottom w:val="single" w:sz="4" w:space="1" w:color="auto"/>
          <w:right w:val="single" w:sz="4" w:space="4" w:color="auto"/>
        </w:pBdr>
        <w:shd w:val="clear" w:color="auto" w:fill="DBE5F1"/>
        <w:spacing w:line="276" w:lineRule="auto"/>
        <w:ind w:left="284" w:right="332"/>
        <w:contextualSpacing/>
        <w:jc w:val="both"/>
        <w:rPr>
          <w:rFonts w:ascii="Times New Roman" w:eastAsia="Times New Roman" w:hAnsi="Times New Roman" w:cs="Times New Roman"/>
          <w:bCs/>
          <w:sz w:val="20"/>
          <w:szCs w:val="20"/>
          <w:lang w:val="es-MX" w:eastAsia="es-ES"/>
        </w:rPr>
      </w:pPr>
      <w:r w:rsidRPr="004A66F0">
        <w:rPr>
          <w:rFonts w:ascii="Times New Roman" w:eastAsia="Times New Roman" w:hAnsi="Times New Roman" w:cs="Times New Roman"/>
          <w:bCs/>
          <w:sz w:val="20"/>
          <w:szCs w:val="20"/>
          <w:lang w:val="es-MX" w:eastAsia="es-ES"/>
        </w:rPr>
        <w:t>En 2022 se implementaron diferentes medidas en concepto de apoyos temporales para la población guatemalteca, estando las intervenciones concentradas en el Ministerio de Energía y Minas para el subsidio al gas propano y combustibles, mientras que la ampliación a la tarifa social estuvo a cargo del Instituto Nacional de Electrificación (INDE)</w:t>
      </w:r>
      <w:r w:rsidR="0065119A">
        <w:rPr>
          <w:rFonts w:ascii="Times New Roman" w:eastAsia="Times New Roman" w:hAnsi="Times New Roman" w:cs="Times New Roman"/>
          <w:bCs/>
          <w:sz w:val="20"/>
          <w:szCs w:val="20"/>
          <w:lang w:val="es-MX" w:eastAsia="es-ES"/>
        </w:rPr>
        <w:t>,</w:t>
      </w:r>
      <w:r w:rsidRPr="004A66F0">
        <w:rPr>
          <w:rFonts w:ascii="Times New Roman" w:eastAsia="Times New Roman" w:hAnsi="Times New Roman" w:cs="Times New Roman"/>
          <w:bCs/>
          <w:sz w:val="20"/>
          <w:szCs w:val="20"/>
          <w:lang w:val="es-MX" w:eastAsia="es-ES"/>
        </w:rPr>
        <w:t xml:space="preserve"> por medio del aporte que se le hizo desde las Obligaciones del Estado a Cargo del Tesoro. </w:t>
      </w:r>
    </w:p>
    <w:p w14:paraId="336F1959" w14:textId="77777777" w:rsidR="004A66F0" w:rsidRPr="00FA7DD8" w:rsidRDefault="004A66F0" w:rsidP="008D7BB4">
      <w:pPr>
        <w:pBdr>
          <w:top w:val="single" w:sz="4" w:space="0" w:color="auto"/>
          <w:left w:val="single" w:sz="4" w:space="4" w:color="auto"/>
          <w:bottom w:val="single" w:sz="4" w:space="1" w:color="auto"/>
          <w:right w:val="single" w:sz="4" w:space="4" w:color="auto"/>
        </w:pBdr>
        <w:shd w:val="clear" w:color="auto" w:fill="DBE5F1"/>
        <w:spacing w:line="276" w:lineRule="auto"/>
        <w:ind w:left="284" w:right="332"/>
        <w:contextualSpacing/>
        <w:jc w:val="both"/>
        <w:rPr>
          <w:rFonts w:ascii="Times New Roman" w:eastAsia="Times New Roman" w:hAnsi="Times New Roman" w:cs="Times New Roman"/>
          <w:bCs/>
          <w:sz w:val="10"/>
          <w:szCs w:val="10"/>
          <w:lang w:val="es-MX" w:eastAsia="es-ES"/>
        </w:rPr>
      </w:pPr>
    </w:p>
    <w:p w14:paraId="482C3031" w14:textId="43FDADE4" w:rsidR="004A66F0" w:rsidRPr="004A66F0" w:rsidRDefault="004A66F0" w:rsidP="008D7BB4">
      <w:pPr>
        <w:pBdr>
          <w:top w:val="single" w:sz="4" w:space="0" w:color="auto"/>
          <w:left w:val="single" w:sz="4" w:space="4" w:color="auto"/>
          <w:bottom w:val="single" w:sz="4" w:space="1" w:color="auto"/>
          <w:right w:val="single" w:sz="4" w:space="4" w:color="auto"/>
        </w:pBdr>
        <w:shd w:val="clear" w:color="auto" w:fill="DBE5F1"/>
        <w:spacing w:line="276" w:lineRule="auto"/>
        <w:ind w:left="284" w:right="332"/>
        <w:contextualSpacing/>
        <w:jc w:val="center"/>
        <w:rPr>
          <w:rFonts w:ascii="Times New Roman" w:eastAsia="Times New Roman" w:hAnsi="Times New Roman" w:cs="Times New Roman"/>
          <w:b/>
          <w:sz w:val="22"/>
          <w:szCs w:val="22"/>
          <w:lang w:val="es-MX" w:eastAsia="es-ES"/>
        </w:rPr>
      </w:pPr>
      <w:r w:rsidRPr="004A66F0">
        <w:rPr>
          <w:rFonts w:ascii="Times New Roman" w:eastAsia="Times New Roman" w:hAnsi="Times New Roman" w:cs="Times New Roman"/>
          <w:b/>
          <w:noProof/>
          <w:sz w:val="22"/>
          <w:szCs w:val="22"/>
          <w:lang w:val="es-MX" w:eastAsia="es-ES"/>
        </w:rPr>
        <w:drawing>
          <wp:inline distT="0" distB="0" distL="0" distR="0" wp14:anchorId="7DE438FA" wp14:editId="308CEE01">
            <wp:extent cx="4867275" cy="5248275"/>
            <wp:effectExtent l="38100" t="0" r="9525" b="0"/>
            <wp:docPr id="23" name="Diagrama 2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4CE13CAF" w14:textId="5E03D46F" w:rsidR="004A66F0" w:rsidRPr="003176FA" w:rsidRDefault="004A66F0" w:rsidP="003176FA">
      <w:pPr>
        <w:pBdr>
          <w:top w:val="single" w:sz="4" w:space="0" w:color="auto"/>
          <w:left w:val="single" w:sz="4" w:space="4" w:color="auto"/>
          <w:bottom w:val="single" w:sz="4" w:space="1" w:color="auto"/>
          <w:right w:val="single" w:sz="4" w:space="4" w:color="auto"/>
        </w:pBdr>
        <w:shd w:val="clear" w:color="auto" w:fill="DBE5F1"/>
        <w:spacing w:line="276" w:lineRule="auto"/>
        <w:ind w:left="284" w:right="332"/>
        <w:contextualSpacing/>
        <w:jc w:val="both"/>
        <w:rPr>
          <w:rFonts w:ascii="Times New Roman" w:eastAsia="Times New Roman" w:hAnsi="Times New Roman" w:cs="Times New Roman"/>
          <w:bCs/>
          <w:sz w:val="20"/>
          <w:szCs w:val="20"/>
          <w:lang w:val="es-MX" w:eastAsia="es-ES"/>
        </w:rPr>
      </w:pPr>
      <w:r w:rsidRPr="00A928B7">
        <w:rPr>
          <w:rFonts w:ascii="Times New Roman" w:eastAsia="Times New Roman" w:hAnsi="Times New Roman" w:cs="Times New Roman"/>
          <w:bCs/>
          <w:sz w:val="20"/>
          <w:szCs w:val="20"/>
          <w:lang w:val="es-MX" w:eastAsia="es-ES"/>
        </w:rPr>
        <w:lastRenderedPageBreak/>
        <w:t xml:space="preserve">Cabe destacar que las medidas </w:t>
      </w:r>
      <w:r w:rsidR="0065119A" w:rsidRPr="00A928B7">
        <w:rPr>
          <w:rFonts w:ascii="Times New Roman" w:eastAsia="Times New Roman" w:hAnsi="Times New Roman" w:cs="Times New Roman"/>
          <w:bCs/>
          <w:sz w:val="20"/>
          <w:szCs w:val="20"/>
          <w:lang w:val="es-MX" w:eastAsia="es-ES"/>
        </w:rPr>
        <w:t>tuvieron</w:t>
      </w:r>
      <w:r w:rsidRPr="00A928B7">
        <w:rPr>
          <w:rFonts w:ascii="Times New Roman" w:eastAsia="Times New Roman" w:hAnsi="Times New Roman" w:cs="Times New Roman"/>
          <w:bCs/>
          <w:sz w:val="20"/>
          <w:szCs w:val="20"/>
          <w:lang w:val="es-MX" w:eastAsia="es-ES"/>
        </w:rPr>
        <w:t xml:space="preserve"> un presupuesto de Q3,257.5 millones, incluyendo el decreto 15-2021 que fue aprobado en noviembre de 2021 y estuvo vigente en los primeros meses de 2022 y el decreto 55-2022 que estuvo vigente a finales de 2022 y </w:t>
      </w:r>
      <w:r w:rsidR="0065119A" w:rsidRPr="00A928B7">
        <w:rPr>
          <w:rFonts w:ascii="Times New Roman" w:eastAsia="Times New Roman" w:hAnsi="Times New Roman" w:cs="Times New Roman"/>
          <w:bCs/>
          <w:sz w:val="20"/>
          <w:szCs w:val="20"/>
          <w:lang w:val="es-MX" w:eastAsia="es-ES"/>
        </w:rPr>
        <w:t xml:space="preserve">estará </w:t>
      </w:r>
      <w:r w:rsidRPr="00A928B7">
        <w:rPr>
          <w:rFonts w:ascii="Times New Roman" w:eastAsia="Times New Roman" w:hAnsi="Times New Roman" w:cs="Times New Roman"/>
          <w:bCs/>
          <w:sz w:val="20"/>
          <w:szCs w:val="20"/>
          <w:lang w:val="es-MX" w:eastAsia="es-ES"/>
        </w:rPr>
        <w:t xml:space="preserve">en parte del 2023. </w:t>
      </w:r>
      <w:r w:rsidR="00A928B7">
        <w:rPr>
          <w:rFonts w:ascii="Times New Roman" w:eastAsia="Times New Roman" w:hAnsi="Times New Roman" w:cs="Times New Roman"/>
          <w:bCs/>
          <w:sz w:val="20"/>
          <w:szCs w:val="20"/>
          <w:lang w:val="es-MX" w:eastAsia="es-ES"/>
        </w:rPr>
        <w:t>Merece especial atención</w:t>
      </w:r>
      <w:r w:rsidRPr="00A928B7">
        <w:rPr>
          <w:rFonts w:ascii="Times New Roman" w:eastAsia="Times New Roman" w:hAnsi="Times New Roman" w:cs="Times New Roman"/>
          <w:bCs/>
          <w:sz w:val="20"/>
          <w:szCs w:val="20"/>
          <w:lang w:val="es-MX" w:eastAsia="es-ES"/>
        </w:rPr>
        <w:t xml:space="preserve"> el amplio espacio de intervención que tuvo el gobierno en 2022, derivado de un manejo prudente</w:t>
      </w:r>
      <w:r w:rsidRPr="004A66F0">
        <w:rPr>
          <w:rFonts w:ascii="Times New Roman" w:eastAsia="Times New Roman" w:hAnsi="Times New Roman" w:cs="Times New Roman"/>
          <w:bCs/>
          <w:sz w:val="20"/>
          <w:szCs w:val="20"/>
          <w:lang w:val="es-MX" w:eastAsia="es-ES"/>
        </w:rPr>
        <w:t xml:space="preserve"> de las finanzas públicas en los años anteriores, especialmente durante la crisis económica y sanitaria ocasionada por el COVID-19, lo cual permitió que los apoyos temporales se financiaran en un 100% con recursos de caja y bancos, es decir, con ahorros que había generado el gobierno en períodos anteriores. </w:t>
      </w:r>
    </w:p>
    <w:bookmarkEnd w:id="45"/>
    <w:p w14:paraId="18B49FDE" w14:textId="77777777" w:rsidR="003176FA" w:rsidRDefault="003176FA" w:rsidP="008D7BB4">
      <w:pPr>
        <w:spacing w:line="276" w:lineRule="auto"/>
        <w:contextualSpacing/>
        <w:jc w:val="both"/>
        <w:rPr>
          <w:rFonts w:ascii="Times New Roman" w:eastAsia="Times New Roman" w:hAnsi="Times New Roman" w:cs="Times New Roman"/>
          <w:sz w:val="22"/>
          <w:szCs w:val="22"/>
          <w:lang w:val="es-ES_tradnl" w:eastAsia="es-ES"/>
        </w:rPr>
      </w:pPr>
    </w:p>
    <w:p w14:paraId="77E1EC4C" w14:textId="29937322" w:rsidR="004A66F0" w:rsidRPr="004A66F0" w:rsidRDefault="004A66F0" w:rsidP="008D7BB4">
      <w:pPr>
        <w:spacing w:line="276" w:lineRule="auto"/>
        <w:contextualSpacing/>
        <w:jc w:val="both"/>
        <w:rPr>
          <w:rFonts w:ascii="Times New Roman" w:eastAsia="Times New Roman" w:hAnsi="Times New Roman" w:cs="Times New Roman"/>
          <w:sz w:val="22"/>
          <w:szCs w:val="22"/>
          <w:lang w:val="es-ES_tradnl" w:eastAsia="es-ES"/>
        </w:rPr>
      </w:pPr>
      <w:r w:rsidRPr="004A66F0">
        <w:rPr>
          <w:rFonts w:ascii="Times New Roman" w:eastAsia="Times New Roman" w:hAnsi="Times New Roman" w:cs="Times New Roman"/>
          <w:sz w:val="22"/>
          <w:szCs w:val="22"/>
          <w:lang w:val="es-ES_tradnl" w:eastAsia="es-ES"/>
        </w:rPr>
        <w:t>Por su parte, el resto de entidades se encuentra por debajo de la ejecución institucional total</w:t>
      </w:r>
      <w:r w:rsidR="0065119A">
        <w:rPr>
          <w:rFonts w:ascii="Times New Roman" w:eastAsia="Times New Roman" w:hAnsi="Times New Roman" w:cs="Times New Roman"/>
          <w:sz w:val="22"/>
          <w:szCs w:val="22"/>
          <w:lang w:val="es-ES_tradnl" w:eastAsia="es-ES"/>
        </w:rPr>
        <w:t xml:space="preserve">, tal el caso de </w:t>
      </w:r>
      <w:r w:rsidRPr="004A66F0">
        <w:rPr>
          <w:rFonts w:ascii="Times New Roman" w:eastAsia="Times New Roman" w:hAnsi="Times New Roman" w:cs="Times New Roman"/>
          <w:sz w:val="22"/>
          <w:szCs w:val="22"/>
          <w:lang w:val="es-ES_tradnl" w:eastAsia="es-ES"/>
        </w:rPr>
        <w:t>las Obligaciones del Estado a Cargo del Tesoro (95.9%), Agricultura (95.3%), Secretar</w:t>
      </w:r>
      <w:r w:rsidR="0065119A">
        <w:rPr>
          <w:rFonts w:ascii="Times New Roman" w:eastAsia="Times New Roman" w:hAnsi="Times New Roman" w:cs="Times New Roman"/>
          <w:sz w:val="22"/>
          <w:szCs w:val="22"/>
          <w:lang w:val="es-ES_tradnl" w:eastAsia="es-ES"/>
        </w:rPr>
        <w:t>í</w:t>
      </w:r>
      <w:r w:rsidRPr="004A66F0">
        <w:rPr>
          <w:rFonts w:ascii="Times New Roman" w:eastAsia="Times New Roman" w:hAnsi="Times New Roman" w:cs="Times New Roman"/>
          <w:sz w:val="22"/>
          <w:szCs w:val="22"/>
          <w:lang w:val="es-ES_tradnl" w:eastAsia="es-ES"/>
        </w:rPr>
        <w:t xml:space="preserve">as (93.4%), Salud Pública (93.2%), Ambiente (93.1%), Comunicaciones (89.5%) y Cultura y Deportes (88.2%). </w:t>
      </w:r>
    </w:p>
    <w:p w14:paraId="313320F0" w14:textId="77777777" w:rsidR="004A66F0" w:rsidRPr="004A66F0" w:rsidRDefault="004A66F0" w:rsidP="008D7BB4">
      <w:pPr>
        <w:spacing w:line="276" w:lineRule="auto"/>
        <w:contextualSpacing/>
        <w:jc w:val="both"/>
        <w:rPr>
          <w:rFonts w:ascii="Times New Roman" w:eastAsia="Times New Roman" w:hAnsi="Times New Roman" w:cs="Times New Roman"/>
          <w:sz w:val="22"/>
          <w:szCs w:val="22"/>
          <w:highlight w:val="white"/>
          <w:lang w:val="es-ES_tradnl" w:eastAsia="es-ES"/>
        </w:rPr>
      </w:pPr>
    </w:p>
    <w:p w14:paraId="11835E73" w14:textId="4E904CA9" w:rsidR="004A66F0" w:rsidRDefault="004A66F0" w:rsidP="008D7BB4">
      <w:pPr>
        <w:spacing w:line="276" w:lineRule="auto"/>
        <w:contextualSpacing/>
        <w:jc w:val="both"/>
        <w:rPr>
          <w:rFonts w:ascii="Times New Roman" w:eastAsia="Times New Roman" w:hAnsi="Times New Roman" w:cs="Times New Roman"/>
          <w:sz w:val="22"/>
          <w:szCs w:val="22"/>
          <w:lang w:val="es-ES_tradnl" w:eastAsia="es-ES"/>
        </w:rPr>
      </w:pPr>
      <w:r w:rsidRPr="004A66F0">
        <w:rPr>
          <w:rFonts w:ascii="Times New Roman" w:eastAsia="Times New Roman" w:hAnsi="Times New Roman" w:cs="Times New Roman"/>
          <w:sz w:val="22"/>
          <w:szCs w:val="22"/>
          <w:lang w:val="es-ES_tradnl" w:eastAsia="es-ES"/>
        </w:rPr>
        <w:t>En el caso del Ministerio de Comunicaciones</w:t>
      </w:r>
      <w:r w:rsidR="0065119A">
        <w:rPr>
          <w:rFonts w:ascii="Times New Roman" w:eastAsia="Times New Roman" w:hAnsi="Times New Roman" w:cs="Times New Roman"/>
          <w:sz w:val="22"/>
          <w:szCs w:val="22"/>
          <w:lang w:val="es-ES_tradnl" w:eastAsia="es-ES"/>
        </w:rPr>
        <w:t>,</w:t>
      </w:r>
      <w:r w:rsidRPr="004A66F0">
        <w:rPr>
          <w:rFonts w:ascii="Times New Roman" w:eastAsia="Times New Roman" w:hAnsi="Times New Roman" w:cs="Times New Roman"/>
          <w:sz w:val="22"/>
          <w:szCs w:val="22"/>
          <w:lang w:val="es-ES_tradnl" w:eastAsia="es-ES"/>
        </w:rPr>
        <w:t xml:space="preserve"> segunda entidad con menor nivel de ejecución </w:t>
      </w:r>
      <w:r w:rsidR="0065119A">
        <w:rPr>
          <w:rFonts w:ascii="Times New Roman" w:eastAsia="Times New Roman" w:hAnsi="Times New Roman" w:cs="Times New Roman"/>
          <w:sz w:val="22"/>
          <w:szCs w:val="22"/>
          <w:lang w:val="es-ES_tradnl" w:eastAsia="es-ES"/>
        </w:rPr>
        <w:t>(</w:t>
      </w:r>
      <w:r w:rsidRPr="004A66F0">
        <w:rPr>
          <w:rFonts w:ascii="Times New Roman" w:eastAsia="Times New Roman" w:hAnsi="Times New Roman" w:cs="Times New Roman"/>
          <w:sz w:val="22"/>
          <w:szCs w:val="22"/>
          <w:lang w:val="es-ES_tradnl" w:eastAsia="es-ES"/>
        </w:rPr>
        <w:t>89.5%</w:t>
      </w:r>
      <w:r w:rsidR="0065119A">
        <w:rPr>
          <w:rFonts w:ascii="Times New Roman" w:eastAsia="Times New Roman" w:hAnsi="Times New Roman" w:cs="Times New Roman"/>
          <w:sz w:val="22"/>
          <w:szCs w:val="22"/>
          <w:lang w:val="es-ES_tradnl" w:eastAsia="es-ES"/>
        </w:rPr>
        <w:t>)</w:t>
      </w:r>
      <w:r w:rsidRPr="004A66F0">
        <w:rPr>
          <w:rFonts w:ascii="Times New Roman" w:eastAsia="Times New Roman" w:hAnsi="Times New Roman" w:cs="Times New Roman"/>
          <w:sz w:val="22"/>
          <w:szCs w:val="22"/>
          <w:lang w:val="es-ES_tradnl" w:eastAsia="es-ES"/>
        </w:rPr>
        <w:t>, es importante resaltar que tuvo una ampliación de su presupuesto por Q4,631.9 millones, la cual se explica en buena medida por el Decreto 21-2022 "Ley para Fortalecer el Mantenimiento y Construcción de Infraestructura Estratégica",</w:t>
      </w:r>
      <w:r w:rsidR="003176FA">
        <w:rPr>
          <w:rFonts w:ascii="Times New Roman" w:eastAsia="Times New Roman" w:hAnsi="Times New Roman" w:cs="Times New Roman"/>
          <w:sz w:val="22"/>
          <w:szCs w:val="22"/>
          <w:lang w:val="es-ES_tradnl" w:eastAsia="es-ES"/>
        </w:rPr>
        <w:t xml:space="preserve"> </w:t>
      </w:r>
      <w:r w:rsidR="0065119A">
        <w:rPr>
          <w:rFonts w:ascii="Times New Roman" w:eastAsia="Times New Roman" w:hAnsi="Times New Roman" w:cs="Times New Roman"/>
          <w:sz w:val="22"/>
          <w:szCs w:val="22"/>
          <w:lang w:val="es-ES_tradnl" w:eastAsia="es-ES"/>
        </w:rPr>
        <w:t>que</w:t>
      </w:r>
      <w:r w:rsidRPr="004A66F0">
        <w:rPr>
          <w:rFonts w:ascii="Times New Roman" w:eastAsia="Times New Roman" w:hAnsi="Times New Roman" w:cs="Times New Roman"/>
          <w:sz w:val="22"/>
          <w:szCs w:val="22"/>
          <w:lang w:val="es-ES_tradnl" w:eastAsia="es-ES"/>
        </w:rPr>
        <w:t xml:space="preserve"> no pudo ser ejecutado como se preveía. En un principio las acciones previstas en este decreto le darían un impulso de la inversión pública por medio de fortalecer el mantenimiento y construcción de infraestructura, así como la recuperación de la red vial. No obstante, derivado de un invierno más copioso y los desastres reportados en la gran mayoría del territorio guatemalteco, fue necesario reorientar recursos para el Fondo Emergente por medio de la declaratoria de Estados de Calamidad, lo cual permitiría mitigar los daños ocasionados por los fenómenos naturales que afectaron al país. Derivado de ello, la entidad reportó un aumento de sus intervenciones en el mantenimiento de infraestructura vial, lo cual se vio reflejado en el rubro de bienes y servicios.</w:t>
      </w:r>
    </w:p>
    <w:p w14:paraId="2DF50CFE" w14:textId="2D0039D3" w:rsidR="003176FA" w:rsidRDefault="003176FA" w:rsidP="008D7BB4">
      <w:pPr>
        <w:spacing w:line="276" w:lineRule="auto"/>
        <w:contextualSpacing/>
        <w:jc w:val="both"/>
        <w:rPr>
          <w:rFonts w:ascii="Times New Roman" w:eastAsia="Times New Roman" w:hAnsi="Times New Roman" w:cs="Times New Roman"/>
          <w:sz w:val="22"/>
          <w:szCs w:val="22"/>
          <w:lang w:val="es-ES_tradnl" w:eastAsia="es-ES"/>
        </w:rPr>
      </w:pPr>
    </w:p>
    <w:p w14:paraId="1A562C94" w14:textId="77777777" w:rsidR="003176FA" w:rsidRPr="004A66F0" w:rsidRDefault="003176FA" w:rsidP="003176FA">
      <w:pPr>
        <w:spacing w:line="276" w:lineRule="auto"/>
        <w:contextualSpacing/>
        <w:jc w:val="both"/>
        <w:rPr>
          <w:rFonts w:ascii="Times New Roman" w:eastAsia="Times New Roman" w:hAnsi="Times New Roman" w:cs="Times New Roman"/>
          <w:sz w:val="22"/>
          <w:szCs w:val="22"/>
          <w:lang w:val="es-ES_tradnl" w:eastAsia="es-ES"/>
        </w:rPr>
      </w:pPr>
      <w:r w:rsidRPr="004A66F0">
        <w:rPr>
          <w:rFonts w:ascii="Times New Roman" w:eastAsia="Times New Roman" w:hAnsi="Times New Roman" w:cs="Times New Roman"/>
          <w:sz w:val="22"/>
          <w:szCs w:val="22"/>
          <w:lang w:val="es-ES_tradnl" w:eastAsia="es-ES"/>
        </w:rPr>
        <w:t>Al finalizar 2022, el grado de ejecución institucional es significativamente mayor al obtenido en 2021 (86.5%), aunque es importante resaltar que en 2021 fue un año atípico por la no aprobación del presupuesto por segundo año consecutivo y la adopción de un presupuesto operativo. Con ello se tiene una variación interanual del gasto total de 16.8% (equivalente a Q15,587.4 millones).</w:t>
      </w:r>
    </w:p>
    <w:p w14:paraId="76F8E0FC" w14:textId="77777777" w:rsidR="003176FA" w:rsidRPr="004A66F0" w:rsidRDefault="003176FA" w:rsidP="003176FA">
      <w:pPr>
        <w:spacing w:line="276" w:lineRule="auto"/>
        <w:contextualSpacing/>
        <w:jc w:val="both"/>
        <w:rPr>
          <w:rFonts w:ascii="Times New Roman" w:eastAsia="Times New Roman" w:hAnsi="Times New Roman" w:cs="Times New Roman"/>
          <w:sz w:val="22"/>
          <w:szCs w:val="22"/>
          <w:lang w:val="es-ES_tradnl" w:eastAsia="es-ES"/>
        </w:rPr>
      </w:pPr>
    </w:p>
    <w:p w14:paraId="44DC1EBB" w14:textId="77777777" w:rsidR="003176FA" w:rsidRPr="004A66F0" w:rsidRDefault="003176FA" w:rsidP="003176FA">
      <w:pPr>
        <w:spacing w:line="276" w:lineRule="auto"/>
        <w:contextualSpacing/>
        <w:jc w:val="both"/>
        <w:rPr>
          <w:rFonts w:ascii="Times New Roman" w:eastAsia="Times New Roman" w:hAnsi="Times New Roman" w:cs="Times New Roman"/>
          <w:sz w:val="22"/>
          <w:szCs w:val="22"/>
          <w:lang w:val="es-ES_tradnl" w:eastAsia="es-ES"/>
        </w:rPr>
      </w:pPr>
      <w:r w:rsidRPr="004A66F0">
        <w:rPr>
          <w:rFonts w:ascii="Times New Roman" w:eastAsia="Times New Roman" w:hAnsi="Times New Roman" w:cs="Times New Roman"/>
          <w:sz w:val="22"/>
          <w:szCs w:val="22"/>
          <w:lang w:val="es-ES_tradnl" w:eastAsia="es-ES"/>
        </w:rPr>
        <w:t>Adicionalmente, mientras que en 2020 la dinámica del gasto estuvo fuertemente influenciada por la crisis sanitaria y económica del COVID-19, en 2022 el gasto público estuvo enfocado en subsidios de carácter temporal en intervenciones de apoyo a la población guatemalteca,</w:t>
      </w:r>
      <w:r>
        <w:rPr>
          <w:rFonts w:ascii="Times New Roman" w:eastAsia="Times New Roman" w:hAnsi="Times New Roman" w:cs="Times New Roman"/>
          <w:sz w:val="22"/>
          <w:szCs w:val="22"/>
          <w:lang w:val="es-ES_tradnl" w:eastAsia="es-ES"/>
        </w:rPr>
        <w:t xml:space="preserve"> la atención de emergencias por desastres naturales y el mantenimiento de la infraestructura,</w:t>
      </w:r>
      <w:r w:rsidRPr="004A66F0">
        <w:rPr>
          <w:rFonts w:ascii="Times New Roman" w:eastAsia="Times New Roman" w:hAnsi="Times New Roman" w:cs="Times New Roman"/>
          <w:sz w:val="22"/>
          <w:szCs w:val="22"/>
          <w:lang w:val="es-ES_tradnl" w:eastAsia="es-ES"/>
        </w:rPr>
        <w:t xml:space="preserve"> siendo </w:t>
      </w:r>
      <w:r>
        <w:rPr>
          <w:rFonts w:ascii="Times New Roman" w:eastAsia="Times New Roman" w:hAnsi="Times New Roman" w:cs="Times New Roman"/>
          <w:sz w:val="22"/>
          <w:szCs w:val="22"/>
          <w:lang w:val="es-ES_tradnl" w:eastAsia="es-ES"/>
        </w:rPr>
        <w:t xml:space="preserve">estas </w:t>
      </w:r>
      <w:r w:rsidRPr="004A66F0">
        <w:rPr>
          <w:rFonts w:ascii="Times New Roman" w:eastAsia="Times New Roman" w:hAnsi="Times New Roman" w:cs="Times New Roman"/>
          <w:sz w:val="22"/>
          <w:szCs w:val="22"/>
          <w:lang w:val="es-ES_tradnl" w:eastAsia="es-ES"/>
        </w:rPr>
        <w:t>la</w:t>
      </w:r>
      <w:r>
        <w:rPr>
          <w:rFonts w:ascii="Times New Roman" w:eastAsia="Times New Roman" w:hAnsi="Times New Roman" w:cs="Times New Roman"/>
          <w:sz w:val="22"/>
          <w:szCs w:val="22"/>
          <w:lang w:val="es-ES_tradnl" w:eastAsia="es-ES"/>
        </w:rPr>
        <w:t xml:space="preserve"> principal</w:t>
      </w:r>
      <w:r w:rsidRPr="004A66F0">
        <w:rPr>
          <w:rFonts w:ascii="Times New Roman" w:eastAsia="Times New Roman" w:hAnsi="Times New Roman" w:cs="Times New Roman"/>
          <w:sz w:val="22"/>
          <w:szCs w:val="22"/>
          <w:lang w:val="es-ES_tradnl" w:eastAsia="es-ES"/>
        </w:rPr>
        <w:t xml:space="preserve"> orientación de la política fiscal expansiva</w:t>
      </w:r>
      <w:r>
        <w:rPr>
          <w:rFonts w:ascii="Times New Roman" w:eastAsia="Times New Roman" w:hAnsi="Times New Roman" w:cs="Times New Roman"/>
          <w:sz w:val="22"/>
          <w:szCs w:val="22"/>
          <w:lang w:val="es-ES_tradnl" w:eastAsia="es-ES"/>
        </w:rPr>
        <w:t xml:space="preserve"> en ese año</w:t>
      </w:r>
      <w:r w:rsidRPr="004A66F0">
        <w:rPr>
          <w:rFonts w:ascii="Times New Roman" w:eastAsia="Times New Roman" w:hAnsi="Times New Roman" w:cs="Times New Roman"/>
          <w:sz w:val="22"/>
          <w:szCs w:val="22"/>
          <w:lang w:val="es-ES_tradnl" w:eastAsia="es-ES"/>
        </w:rPr>
        <w:t>.</w:t>
      </w:r>
    </w:p>
    <w:p w14:paraId="7CB72D6A" w14:textId="10D9C5CA" w:rsidR="003176FA" w:rsidRDefault="003176FA" w:rsidP="008D7BB4">
      <w:pPr>
        <w:spacing w:line="276" w:lineRule="auto"/>
        <w:contextualSpacing/>
        <w:jc w:val="both"/>
        <w:rPr>
          <w:rFonts w:ascii="Times New Roman" w:eastAsia="Times New Roman" w:hAnsi="Times New Roman" w:cs="Times New Roman"/>
          <w:sz w:val="22"/>
          <w:szCs w:val="22"/>
          <w:lang w:val="es-ES_tradnl" w:eastAsia="es-ES"/>
        </w:rPr>
      </w:pPr>
    </w:p>
    <w:p w14:paraId="0D859A6C" w14:textId="5981D203" w:rsidR="003176FA" w:rsidRDefault="003176FA" w:rsidP="008D7BB4">
      <w:pPr>
        <w:spacing w:line="276" w:lineRule="auto"/>
        <w:contextualSpacing/>
        <w:jc w:val="both"/>
        <w:rPr>
          <w:rFonts w:ascii="Times New Roman" w:eastAsia="Times New Roman" w:hAnsi="Times New Roman" w:cs="Times New Roman"/>
          <w:sz w:val="22"/>
          <w:szCs w:val="22"/>
          <w:lang w:val="es-ES_tradnl" w:eastAsia="es-ES"/>
        </w:rPr>
      </w:pPr>
    </w:p>
    <w:p w14:paraId="6462A071" w14:textId="36B209B6" w:rsidR="003176FA" w:rsidRDefault="003176FA" w:rsidP="008D7BB4">
      <w:pPr>
        <w:spacing w:line="276" w:lineRule="auto"/>
        <w:contextualSpacing/>
        <w:jc w:val="both"/>
        <w:rPr>
          <w:rFonts w:ascii="Times New Roman" w:eastAsia="Times New Roman" w:hAnsi="Times New Roman" w:cs="Times New Roman"/>
          <w:sz w:val="22"/>
          <w:szCs w:val="22"/>
          <w:lang w:val="es-ES_tradnl" w:eastAsia="es-ES"/>
        </w:rPr>
      </w:pPr>
    </w:p>
    <w:p w14:paraId="672B4BDA" w14:textId="77777777" w:rsidR="003176FA" w:rsidRPr="004A66F0" w:rsidRDefault="003176FA" w:rsidP="008D7BB4">
      <w:pPr>
        <w:spacing w:line="276" w:lineRule="auto"/>
        <w:contextualSpacing/>
        <w:jc w:val="both"/>
        <w:rPr>
          <w:rFonts w:ascii="Times New Roman" w:eastAsia="Times New Roman" w:hAnsi="Times New Roman" w:cs="Times New Roman"/>
          <w:sz w:val="22"/>
          <w:szCs w:val="22"/>
          <w:lang w:val="es-ES_tradnl" w:eastAsia="es-ES"/>
        </w:rPr>
      </w:pPr>
    </w:p>
    <w:p w14:paraId="77CB0B49" w14:textId="77777777" w:rsidR="004A66F0" w:rsidRPr="004A66F0" w:rsidRDefault="004A66F0" w:rsidP="008D7BB4">
      <w:pPr>
        <w:spacing w:line="276" w:lineRule="auto"/>
        <w:contextualSpacing/>
        <w:jc w:val="both"/>
        <w:rPr>
          <w:rFonts w:ascii="Times New Roman" w:eastAsia="Times New Roman" w:hAnsi="Times New Roman" w:cs="Times New Roman"/>
          <w:sz w:val="22"/>
          <w:szCs w:val="22"/>
          <w:lang w:val="es-MX" w:eastAsia="es-ES"/>
        </w:rPr>
      </w:pPr>
    </w:p>
    <w:p w14:paraId="437CE17C" w14:textId="57CF45D5" w:rsidR="004A66F0" w:rsidRPr="004A66F0" w:rsidRDefault="00A11E1A" w:rsidP="008D7BB4">
      <w:pPr>
        <w:spacing w:line="276" w:lineRule="auto"/>
        <w:contextualSpacing/>
        <w:jc w:val="center"/>
        <w:rPr>
          <w:rFonts w:ascii="Times New Roman" w:eastAsia="Times New Roman" w:hAnsi="Times New Roman" w:cs="Times New Roman"/>
          <w:b/>
          <w:sz w:val="28"/>
          <w:szCs w:val="22"/>
        </w:rPr>
      </w:pPr>
      <w:bookmarkStart w:id="46" w:name="_Toc125733211"/>
      <w:r w:rsidRPr="00A11E1A">
        <w:rPr>
          <w:rFonts w:ascii="Times New Roman" w:eastAsia="Times New Roman" w:hAnsi="Times New Roman" w:cs="Times New Roman"/>
          <w:b/>
          <w:sz w:val="22"/>
          <w:szCs w:val="22"/>
        </w:rPr>
        <w:lastRenderedPageBreak/>
        <w:t xml:space="preserve">Gráfico </w:t>
      </w:r>
      <w:r w:rsidRPr="00A11E1A">
        <w:rPr>
          <w:rFonts w:ascii="Times New Roman" w:eastAsia="Times New Roman" w:hAnsi="Times New Roman" w:cs="Times New Roman"/>
          <w:b/>
          <w:sz w:val="22"/>
          <w:szCs w:val="22"/>
        </w:rPr>
        <w:fldChar w:fldCharType="begin"/>
      </w:r>
      <w:r w:rsidRPr="00A11E1A">
        <w:rPr>
          <w:rFonts w:ascii="Times New Roman" w:eastAsia="Times New Roman" w:hAnsi="Times New Roman" w:cs="Times New Roman"/>
          <w:b/>
          <w:sz w:val="22"/>
          <w:szCs w:val="22"/>
        </w:rPr>
        <w:instrText xml:space="preserve"> SEQ Gráfico \* ARABIC </w:instrText>
      </w:r>
      <w:r w:rsidRPr="00A11E1A">
        <w:rPr>
          <w:rFonts w:ascii="Times New Roman" w:eastAsia="Times New Roman" w:hAnsi="Times New Roman" w:cs="Times New Roman"/>
          <w:b/>
          <w:sz w:val="22"/>
          <w:szCs w:val="22"/>
        </w:rPr>
        <w:fldChar w:fldCharType="separate"/>
      </w:r>
      <w:r w:rsidR="006F4BE5">
        <w:rPr>
          <w:rFonts w:ascii="Times New Roman" w:eastAsia="Times New Roman" w:hAnsi="Times New Roman" w:cs="Times New Roman"/>
          <w:b/>
          <w:noProof/>
          <w:sz w:val="22"/>
          <w:szCs w:val="22"/>
        </w:rPr>
        <w:t>15</w:t>
      </w:r>
      <w:r w:rsidRPr="00A11E1A">
        <w:rPr>
          <w:rFonts w:ascii="Times New Roman" w:eastAsia="Times New Roman" w:hAnsi="Times New Roman" w:cs="Times New Roman"/>
          <w:b/>
          <w:sz w:val="22"/>
          <w:szCs w:val="22"/>
        </w:rPr>
        <w:fldChar w:fldCharType="end"/>
      </w:r>
      <w:r>
        <w:rPr>
          <w:rFonts w:ascii="Times New Roman" w:eastAsia="Times New Roman" w:hAnsi="Times New Roman" w:cs="Times New Roman"/>
          <w:b/>
          <w:sz w:val="22"/>
          <w:szCs w:val="22"/>
        </w:rPr>
        <w:t xml:space="preserve">. </w:t>
      </w:r>
      <w:r w:rsidR="004A66F0" w:rsidRPr="004A66F0">
        <w:rPr>
          <w:rFonts w:ascii="Times New Roman" w:eastAsia="Times New Roman" w:hAnsi="Times New Roman" w:cs="Times New Roman"/>
          <w:b/>
          <w:sz w:val="22"/>
          <w:szCs w:val="22"/>
        </w:rPr>
        <w:t>Ejecución Institucional 2022</w:t>
      </w:r>
      <w:bookmarkEnd w:id="46"/>
    </w:p>
    <w:p w14:paraId="28E33687" w14:textId="69576A37" w:rsidR="004A66F0" w:rsidRPr="004A66F0" w:rsidRDefault="004A66F0" w:rsidP="008D7BB4">
      <w:pPr>
        <w:spacing w:line="276" w:lineRule="auto"/>
        <w:contextualSpacing/>
        <w:jc w:val="center"/>
        <w:rPr>
          <w:rFonts w:ascii="Times New Roman" w:eastAsia="Times New Roman" w:hAnsi="Times New Roman" w:cs="Times New Roman"/>
          <w:sz w:val="20"/>
          <w:szCs w:val="22"/>
        </w:rPr>
      </w:pPr>
      <w:r w:rsidRPr="004A66F0">
        <w:rPr>
          <w:rFonts w:ascii="Calibri" w:eastAsia="Times New Roman" w:hAnsi="Calibri" w:cs="Calibri"/>
          <w:noProof/>
          <w:sz w:val="22"/>
          <w:szCs w:val="22"/>
        </w:rPr>
        <w:drawing>
          <wp:anchor distT="0" distB="1143" distL="114300" distR="116459" simplePos="0" relativeHeight="251618816" behindDoc="0" locked="0" layoutInCell="1" allowOverlap="1" wp14:anchorId="5769CABD" wp14:editId="6EBD2593">
            <wp:simplePos x="0" y="0"/>
            <wp:positionH relativeFrom="margin">
              <wp:align>center</wp:align>
            </wp:positionH>
            <wp:positionV relativeFrom="paragraph">
              <wp:posOffset>235585</wp:posOffset>
            </wp:positionV>
            <wp:extent cx="5923280" cy="3590925"/>
            <wp:effectExtent l="0" t="0" r="1270" b="0"/>
            <wp:wrapSquare wrapText="bothSides"/>
            <wp:docPr id="34" name="Gráfico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Pr="004A66F0">
        <w:rPr>
          <w:rFonts w:ascii="Times New Roman" w:eastAsia="Times New Roman" w:hAnsi="Times New Roman" w:cs="Times New Roman"/>
          <w:sz w:val="20"/>
          <w:szCs w:val="22"/>
        </w:rPr>
        <w:t>Millones de quetzales y Porcentajes de Ejecución</w:t>
      </w:r>
    </w:p>
    <w:p w14:paraId="2FAFA2C6" w14:textId="77777777" w:rsidR="004A66F0" w:rsidRPr="004A66F0" w:rsidRDefault="004A66F0" w:rsidP="008D7BB4">
      <w:pPr>
        <w:spacing w:line="276" w:lineRule="auto"/>
        <w:contextualSpacing/>
        <w:rPr>
          <w:rFonts w:ascii="Times New Roman" w:eastAsia="Times New Roman" w:hAnsi="Times New Roman" w:cs="Times New Roman"/>
          <w:sz w:val="18"/>
          <w:szCs w:val="22"/>
          <w:lang w:val="es-ES_tradnl" w:eastAsia="es-ES"/>
        </w:rPr>
      </w:pPr>
      <w:r w:rsidRPr="004A66F0">
        <w:rPr>
          <w:rFonts w:ascii="Times New Roman" w:eastAsia="Times New Roman" w:hAnsi="Times New Roman" w:cs="Times New Roman"/>
          <w:sz w:val="18"/>
          <w:szCs w:val="22"/>
          <w:lang w:val="es-ES_tradnl" w:eastAsia="es-ES"/>
        </w:rPr>
        <w:t xml:space="preserve">          Fuente: Dirección de Análisis y Política Fiscal</w:t>
      </w:r>
    </w:p>
    <w:p w14:paraId="36301F6C" w14:textId="77777777" w:rsidR="004A66F0" w:rsidRPr="004A66F0" w:rsidRDefault="004A66F0" w:rsidP="008D7BB4">
      <w:pPr>
        <w:spacing w:line="276" w:lineRule="auto"/>
        <w:contextualSpacing/>
        <w:jc w:val="both"/>
        <w:rPr>
          <w:rFonts w:ascii="Times New Roman" w:eastAsia="Times New Roman" w:hAnsi="Times New Roman" w:cs="Times New Roman"/>
          <w:sz w:val="22"/>
          <w:szCs w:val="22"/>
          <w:lang w:val="es-ES_tradnl" w:eastAsia="es-ES"/>
        </w:rPr>
      </w:pPr>
    </w:p>
    <w:p w14:paraId="6F3244E1" w14:textId="77777777" w:rsidR="004A66F0" w:rsidRPr="00A36506" w:rsidRDefault="004A66F0" w:rsidP="008D7BB4">
      <w:pPr>
        <w:pStyle w:val="Prrafodelista"/>
        <w:keepNext/>
        <w:keepLines/>
        <w:numPr>
          <w:ilvl w:val="1"/>
          <w:numId w:val="20"/>
        </w:numPr>
        <w:tabs>
          <w:tab w:val="left" w:pos="1134"/>
        </w:tabs>
        <w:spacing w:line="276" w:lineRule="auto"/>
        <w:jc w:val="both"/>
        <w:outlineLvl w:val="1"/>
        <w:rPr>
          <w:rFonts w:ascii="Times New Roman" w:eastAsiaTheme="majorEastAsia" w:hAnsi="Times New Roman" w:cs="Times New Roman"/>
          <w:b/>
          <w:bCs/>
        </w:rPr>
      </w:pPr>
      <w:bookmarkStart w:id="47" w:name="_Toc125723287"/>
      <w:r w:rsidRPr="00A36506">
        <w:rPr>
          <w:rFonts w:ascii="Times New Roman" w:eastAsiaTheme="majorEastAsia" w:hAnsi="Times New Roman" w:cs="Times New Roman"/>
          <w:b/>
          <w:bCs/>
        </w:rPr>
        <w:t>Seguimiento del gasto asociado al COVID-19</w:t>
      </w:r>
      <w:bookmarkEnd w:id="47"/>
      <w:r w:rsidRPr="00A36506">
        <w:rPr>
          <w:rFonts w:ascii="Times New Roman" w:eastAsiaTheme="majorEastAsia" w:hAnsi="Times New Roman" w:cs="Times New Roman"/>
          <w:b/>
          <w:bCs/>
        </w:rPr>
        <w:t xml:space="preserve"> </w:t>
      </w:r>
    </w:p>
    <w:p w14:paraId="768952FD" w14:textId="77777777" w:rsidR="004A66F0" w:rsidRPr="004A66F0" w:rsidRDefault="004A66F0" w:rsidP="008D7BB4">
      <w:pPr>
        <w:spacing w:line="276" w:lineRule="auto"/>
        <w:contextualSpacing/>
        <w:jc w:val="both"/>
        <w:rPr>
          <w:rFonts w:ascii="Times New Roman" w:eastAsia="Times New Roman" w:hAnsi="Times New Roman" w:cs="Times New Roman"/>
          <w:sz w:val="22"/>
          <w:szCs w:val="22"/>
        </w:rPr>
      </w:pPr>
    </w:p>
    <w:p w14:paraId="0D419971" w14:textId="2476A053" w:rsidR="004A66F0" w:rsidRPr="004A66F0" w:rsidRDefault="004A66F0" w:rsidP="008D7BB4">
      <w:pPr>
        <w:spacing w:line="276" w:lineRule="auto"/>
        <w:contextualSpacing/>
        <w:jc w:val="both"/>
        <w:rPr>
          <w:rFonts w:ascii="Times New Roman" w:eastAsia="Times New Roman" w:hAnsi="Times New Roman" w:cs="Times New Roman"/>
          <w:sz w:val="22"/>
          <w:szCs w:val="22"/>
        </w:rPr>
      </w:pPr>
      <w:r w:rsidRPr="004A66F0">
        <w:rPr>
          <w:rFonts w:ascii="Times New Roman" w:eastAsia="Times New Roman" w:hAnsi="Times New Roman" w:cs="Times New Roman"/>
          <w:sz w:val="22"/>
          <w:szCs w:val="22"/>
        </w:rPr>
        <w:t>Dentro del Decreto número 16-2021</w:t>
      </w:r>
      <w:r w:rsidR="00B51E46">
        <w:rPr>
          <w:rFonts w:ascii="Times New Roman" w:eastAsia="Times New Roman" w:hAnsi="Times New Roman" w:cs="Times New Roman"/>
          <w:sz w:val="22"/>
          <w:szCs w:val="22"/>
        </w:rPr>
        <w:t>,</w:t>
      </w:r>
      <w:r w:rsidRPr="004A66F0">
        <w:rPr>
          <w:rFonts w:ascii="Times New Roman" w:eastAsia="Times New Roman" w:hAnsi="Times New Roman" w:cs="Times New Roman"/>
          <w:sz w:val="22"/>
          <w:szCs w:val="22"/>
        </w:rPr>
        <w:t xml:space="preserve"> Ley del Presupuesto General de Ingresos y Egresos del Estado para el Ejercicio Fiscal 2022 se establece en el artículo 23 una asignación de Q1,000 millones dentro del Ministerio de Salud Pública y Asistencia Social para la adquisición de vacunas contra el virus COVID-19 y las que se requieran como consecuencia de la evolución del virus. </w:t>
      </w:r>
    </w:p>
    <w:p w14:paraId="28A83C53" w14:textId="77777777" w:rsidR="004A66F0" w:rsidRPr="004A66F0" w:rsidRDefault="004A66F0" w:rsidP="008D7BB4">
      <w:pPr>
        <w:spacing w:line="276" w:lineRule="auto"/>
        <w:contextualSpacing/>
        <w:jc w:val="both"/>
        <w:rPr>
          <w:rFonts w:ascii="Times New Roman" w:eastAsia="Times New Roman" w:hAnsi="Times New Roman" w:cs="Times New Roman"/>
          <w:sz w:val="22"/>
          <w:szCs w:val="22"/>
        </w:rPr>
      </w:pPr>
    </w:p>
    <w:p w14:paraId="591EFF70" w14:textId="3703AED7" w:rsidR="004A66F0" w:rsidRPr="004A66F0" w:rsidRDefault="004A66F0" w:rsidP="008D7BB4">
      <w:pPr>
        <w:spacing w:line="276" w:lineRule="auto"/>
        <w:contextualSpacing/>
        <w:jc w:val="both"/>
        <w:rPr>
          <w:rFonts w:ascii="Times New Roman" w:eastAsia="Times New Roman" w:hAnsi="Times New Roman" w:cs="Times New Roman"/>
          <w:sz w:val="22"/>
          <w:szCs w:val="22"/>
        </w:rPr>
      </w:pPr>
      <w:r w:rsidRPr="004A66F0">
        <w:rPr>
          <w:rFonts w:ascii="Times New Roman" w:eastAsia="Times New Roman" w:hAnsi="Times New Roman" w:cs="Times New Roman"/>
          <w:sz w:val="22"/>
          <w:szCs w:val="22"/>
        </w:rPr>
        <w:t>Para ello el Ministerio de Salud Pública y Asistencia Social deber</w:t>
      </w:r>
      <w:r w:rsidR="00B51E46">
        <w:rPr>
          <w:rFonts w:ascii="Times New Roman" w:eastAsia="Times New Roman" w:hAnsi="Times New Roman" w:cs="Times New Roman"/>
          <w:sz w:val="22"/>
          <w:szCs w:val="22"/>
        </w:rPr>
        <w:t>ía</w:t>
      </w:r>
      <w:r w:rsidRPr="004A66F0">
        <w:rPr>
          <w:rFonts w:ascii="Times New Roman" w:eastAsia="Times New Roman" w:hAnsi="Times New Roman" w:cs="Times New Roman"/>
          <w:sz w:val="22"/>
          <w:szCs w:val="22"/>
        </w:rPr>
        <w:t xml:space="preserve"> velar que las adquisiciones </w:t>
      </w:r>
      <w:r w:rsidR="00B51E46">
        <w:rPr>
          <w:rFonts w:ascii="Times New Roman" w:eastAsia="Times New Roman" w:hAnsi="Times New Roman" w:cs="Times New Roman"/>
          <w:sz w:val="22"/>
          <w:szCs w:val="22"/>
        </w:rPr>
        <w:t>fueran</w:t>
      </w:r>
      <w:r w:rsidRPr="004A66F0">
        <w:rPr>
          <w:rFonts w:ascii="Times New Roman" w:eastAsia="Times New Roman" w:hAnsi="Times New Roman" w:cs="Times New Roman"/>
          <w:sz w:val="22"/>
          <w:szCs w:val="22"/>
        </w:rPr>
        <w:t xml:space="preserve"> a costos accesibles, de buena calidad, con plazos de expiración óptima y las condiciones más favorables para el Estado.  </w:t>
      </w:r>
    </w:p>
    <w:p w14:paraId="153A49E0" w14:textId="77777777" w:rsidR="004A66F0" w:rsidRPr="004A66F0" w:rsidRDefault="004A66F0" w:rsidP="008D7BB4">
      <w:pPr>
        <w:spacing w:line="276" w:lineRule="auto"/>
        <w:contextualSpacing/>
        <w:jc w:val="both"/>
        <w:rPr>
          <w:rFonts w:ascii="Times New Roman" w:eastAsia="Times New Roman" w:hAnsi="Times New Roman" w:cs="Times New Roman"/>
          <w:sz w:val="22"/>
          <w:szCs w:val="22"/>
        </w:rPr>
      </w:pPr>
    </w:p>
    <w:p w14:paraId="7830D636" w14:textId="77777777" w:rsidR="004A66F0" w:rsidRPr="004A66F0" w:rsidRDefault="004A66F0" w:rsidP="008D7BB4">
      <w:pPr>
        <w:autoSpaceDE w:val="0"/>
        <w:autoSpaceDN w:val="0"/>
        <w:adjustRightInd w:val="0"/>
        <w:spacing w:line="276" w:lineRule="auto"/>
        <w:contextualSpacing/>
        <w:jc w:val="both"/>
        <w:rPr>
          <w:rFonts w:ascii="Times New Roman" w:eastAsia="Times New Roman" w:hAnsi="Times New Roman" w:cs="Times New Roman"/>
          <w:sz w:val="22"/>
          <w:szCs w:val="22"/>
        </w:rPr>
      </w:pPr>
      <w:r w:rsidRPr="004A66F0">
        <w:rPr>
          <w:rFonts w:ascii="Times New Roman" w:eastAsia="Times New Roman" w:hAnsi="Times New Roman" w:cs="Times New Roman"/>
          <w:sz w:val="22"/>
          <w:szCs w:val="22"/>
        </w:rPr>
        <w:t>En 2022 inició con un presupuesto de Q1,037.0 millones para la adquisición de la vacuna contra el COVID-19 y Q1,691.1 millones para servicios de prevención y tratamiento de COVID-19, siendo el presupuesto asignado para atender los efectos derivados de la pandemia de Q2,728.1 millones.</w:t>
      </w:r>
    </w:p>
    <w:p w14:paraId="0496CC88" w14:textId="77777777" w:rsidR="004A66F0" w:rsidRPr="004A66F0" w:rsidRDefault="004A66F0" w:rsidP="008D7BB4">
      <w:pPr>
        <w:autoSpaceDE w:val="0"/>
        <w:autoSpaceDN w:val="0"/>
        <w:adjustRightInd w:val="0"/>
        <w:spacing w:line="276" w:lineRule="auto"/>
        <w:contextualSpacing/>
        <w:rPr>
          <w:rFonts w:ascii="Times New Roman" w:eastAsia="Times New Roman" w:hAnsi="Times New Roman" w:cs="Times New Roman"/>
          <w:sz w:val="22"/>
          <w:szCs w:val="22"/>
        </w:rPr>
      </w:pPr>
    </w:p>
    <w:p w14:paraId="28313B13" w14:textId="30474D03" w:rsidR="004A66F0" w:rsidRPr="004A66F0" w:rsidRDefault="004A66F0" w:rsidP="008D7BB4">
      <w:pPr>
        <w:autoSpaceDE w:val="0"/>
        <w:autoSpaceDN w:val="0"/>
        <w:adjustRightInd w:val="0"/>
        <w:spacing w:line="276" w:lineRule="auto"/>
        <w:contextualSpacing/>
        <w:jc w:val="both"/>
        <w:rPr>
          <w:rFonts w:ascii="Times New Roman" w:eastAsia="Times New Roman" w:hAnsi="Times New Roman" w:cs="Times New Roman"/>
          <w:sz w:val="22"/>
          <w:szCs w:val="22"/>
        </w:rPr>
      </w:pPr>
      <w:r w:rsidRPr="004A66F0">
        <w:rPr>
          <w:rFonts w:ascii="Times New Roman" w:eastAsia="Times New Roman" w:hAnsi="Times New Roman" w:cs="Times New Roman"/>
          <w:sz w:val="22"/>
          <w:szCs w:val="22"/>
        </w:rPr>
        <w:t xml:space="preserve">Sin embargo, en junio, por medio del Decreto 35-2022 se ratificó el Decreto gubernativo No. 03-2022 por medio del cual, se declara Estado de Calamidad Pública en todo el territorio nacional por un plazo de 30 días, emitido por el </w:t>
      </w:r>
      <w:proofErr w:type="gramStart"/>
      <w:r w:rsidRPr="004A66F0">
        <w:rPr>
          <w:rFonts w:ascii="Times New Roman" w:eastAsia="Times New Roman" w:hAnsi="Times New Roman" w:cs="Times New Roman"/>
          <w:sz w:val="22"/>
          <w:szCs w:val="22"/>
        </w:rPr>
        <w:t>Presidente</w:t>
      </w:r>
      <w:proofErr w:type="gramEnd"/>
      <w:r w:rsidRPr="004A66F0">
        <w:rPr>
          <w:rFonts w:ascii="Times New Roman" w:eastAsia="Times New Roman" w:hAnsi="Times New Roman" w:cs="Times New Roman"/>
          <w:sz w:val="22"/>
          <w:szCs w:val="22"/>
        </w:rPr>
        <w:t xml:space="preserve"> de la República</w:t>
      </w:r>
      <w:r w:rsidR="00B51E46">
        <w:rPr>
          <w:rFonts w:ascii="Times New Roman" w:eastAsia="Times New Roman" w:hAnsi="Times New Roman" w:cs="Times New Roman"/>
          <w:sz w:val="22"/>
          <w:szCs w:val="22"/>
        </w:rPr>
        <w:t>,</w:t>
      </w:r>
      <w:r w:rsidRPr="004A66F0">
        <w:rPr>
          <w:rFonts w:ascii="Times New Roman" w:eastAsia="Times New Roman" w:hAnsi="Times New Roman" w:cs="Times New Roman"/>
          <w:sz w:val="22"/>
          <w:szCs w:val="22"/>
        </w:rPr>
        <w:t xml:space="preserve"> en Consejo de Ministros</w:t>
      </w:r>
      <w:r w:rsidR="00B51E46">
        <w:rPr>
          <w:rFonts w:ascii="Times New Roman" w:eastAsia="Times New Roman" w:hAnsi="Times New Roman" w:cs="Times New Roman"/>
          <w:sz w:val="22"/>
          <w:szCs w:val="22"/>
        </w:rPr>
        <w:t xml:space="preserve">, como </w:t>
      </w:r>
      <w:r w:rsidR="00B51E46" w:rsidRPr="005543F9">
        <w:rPr>
          <w:rFonts w:ascii="Times New Roman" w:eastAsia="Times New Roman" w:hAnsi="Times New Roman" w:cs="Times New Roman"/>
          <w:sz w:val="22"/>
          <w:szCs w:val="22"/>
        </w:rPr>
        <w:t xml:space="preserve">efecto </w:t>
      </w:r>
      <w:r w:rsidRPr="005543F9">
        <w:rPr>
          <w:rFonts w:ascii="Times New Roman" w:eastAsia="Times New Roman" w:hAnsi="Times New Roman" w:cs="Times New Roman"/>
          <w:sz w:val="22"/>
          <w:szCs w:val="22"/>
        </w:rPr>
        <w:t xml:space="preserve">de la </w:t>
      </w:r>
      <w:r w:rsidRPr="005543F9">
        <w:rPr>
          <w:rFonts w:ascii="Times New Roman" w:eastAsia="Times New Roman" w:hAnsi="Times New Roman" w:cs="Times New Roman"/>
          <w:sz w:val="22"/>
          <w:szCs w:val="22"/>
        </w:rPr>
        <w:lastRenderedPageBreak/>
        <w:t xml:space="preserve">época </w:t>
      </w:r>
      <w:r w:rsidR="004142A0" w:rsidRPr="005543F9">
        <w:rPr>
          <w:rFonts w:ascii="Times New Roman" w:eastAsia="Times New Roman" w:hAnsi="Times New Roman" w:cs="Times New Roman"/>
          <w:sz w:val="22"/>
          <w:szCs w:val="22"/>
        </w:rPr>
        <w:t xml:space="preserve">de </w:t>
      </w:r>
      <w:r w:rsidRPr="005543F9">
        <w:rPr>
          <w:rFonts w:ascii="Times New Roman" w:eastAsia="Times New Roman" w:hAnsi="Times New Roman" w:cs="Times New Roman"/>
          <w:sz w:val="22"/>
          <w:szCs w:val="22"/>
        </w:rPr>
        <w:t>lluvia</w:t>
      </w:r>
      <w:r w:rsidR="004142A0" w:rsidRPr="005543F9">
        <w:rPr>
          <w:rFonts w:ascii="Times New Roman" w:eastAsia="Times New Roman" w:hAnsi="Times New Roman" w:cs="Times New Roman"/>
          <w:sz w:val="22"/>
          <w:szCs w:val="22"/>
        </w:rPr>
        <w:t>s</w:t>
      </w:r>
      <w:r w:rsidRPr="005543F9">
        <w:rPr>
          <w:rFonts w:ascii="Times New Roman" w:eastAsia="Times New Roman" w:hAnsi="Times New Roman" w:cs="Times New Roman"/>
          <w:sz w:val="22"/>
          <w:szCs w:val="22"/>
        </w:rPr>
        <w:t xml:space="preserve">, temporada ciclónica, sistemas de baja presión, entre otros. De esa cuenta, en el Decreto 36-2022, se decidió fortalecer el fondo emergente </w:t>
      </w:r>
      <w:r w:rsidR="004142A0" w:rsidRPr="005543F9">
        <w:rPr>
          <w:rFonts w:ascii="Times New Roman" w:eastAsia="Times New Roman" w:hAnsi="Times New Roman" w:cs="Times New Roman"/>
          <w:sz w:val="22"/>
          <w:szCs w:val="22"/>
        </w:rPr>
        <w:t>utilizando</w:t>
      </w:r>
      <w:r w:rsidRPr="005543F9">
        <w:rPr>
          <w:rFonts w:ascii="Times New Roman" w:eastAsia="Times New Roman" w:hAnsi="Times New Roman" w:cs="Times New Roman"/>
          <w:sz w:val="22"/>
          <w:szCs w:val="22"/>
        </w:rPr>
        <w:t xml:space="preserve"> </w:t>
      </w:r>
      <w:r w:rsidR="004142A0" w:rsidRPr="005543F9">
        <w:rPr>
          <w:rFonts w:ascii="Times New Roman" w:eastAsia="Times New Roman" w:hAnsi="Times New Roman" w:cs="Times New Roman"/>
          <w:sz w:val="22"/>
          <w:szCs w:val="22"/>
        </w:rPr>
        <w:t xml:space="preserve">Q600 millones que estaban destinados para la </w:t>
      </w:r>
      <w:r w:rsidRPr="005543F9">
        <w:rPr>
          <w:rFonts w:ascii="Times New Roman" w:eastAsia="Times New Roman" w:hAnsi="Times New Roman" w:cs="Times New Roman"/>
          <w:sz w:val="22"/>
          <w:szCs w:val="22"/>
        </w:rPr>
        <w:t>compra de la vacuna COVID-19</w:t>
      </w:r>
      <w:r w:rsidR="004142A0" w:rsidRPr="005543F9">
        <w:rPr>
          <w:rFonts w:ascii="Times New Roman" w:eastAsia="Times New Roman" w:hAnsi="Times New Roman" w:cs="Times New Roman"/>
          <w:sz w:val="22"/>
          <w:szCs w:val="22"/>
        </w:rPr>
        <w:t>.</w:t>
      </w:r>
      <w:r w:rsidR="004142A0" w:rsidRPr="005543F9" w:rsidDel="004142A0">
        <w:rPr>
          <w:rFonts w:ascii="Times New Roman" w:eastAsia="Times New Roman" w:hAnsi="Times New Roman" w:cs="Times New Roman"/>
          <w:sz w:val="22"/>
          <w:szCs w:val="22"/>
        </w:rPr>
        <w:t xml:space="preserve"> </w:t>
      </w:r>
    </w:p>
    <w:p w14:paraId="03B40E30" w14:textId="77777777" w:rsidR="004A66F0" w:rsidRPr="004A66F0" w:rsidRDefault="004A66F0" w:rsidP="008D7BB4">
      <w:pPr>
        <w:autoSpaceDE w:val="0"/>
        <w:autoSpaceDN w:val="0"/>
        <w:adjustRightInd w:val="0"/>
        <w:spacing w:line="276" w:lineRule="auto"/>
        <w:contextualSpacing/>
        <w:rPr>
          <w:rFonts w:ascii="Times New Roman" w:eastAsia="Times New Roman" w:hAnsi="Times New Roman" w:cs="Times New Roman"/>
          <w:sz w:val="22"/>
          <w:szCs w:val="22"/>
        </w:rPr>
      </w:pPr>
    </w:p>
    <w:p w14:paraId="2D910973" w14:textId="77777777" w:rsidR="004A66F0" w:rsidRPr="004A66F0" w:rsidRDefault="004A66F0" w:rsidP="008D7BB4">
      <w:pPr>
        <w:autoSpaceDE w:val="0"/>
        <w:autoSpaceDN w:val="0"/>
        <w:adjustRightInd w:val="0"/>
        <w:spacing w:line="276" w:lineRule="auto"/>
        <w:contextualSpacing/>
        <w:jc w:val="both"/>
        <w:rPr>
          <w:rFonts w:ascii="Times New Roman" w:eastAsia="Times New Roman" w:hAnsi="Times New Roman" w:cs="Times New Roman"/>
          <w:sz w:val="22"/>
          <w:szCs w:val="22"/>
        </w:rPr>
      </w:pPr>
      <w:r w:rsidRPr="004A66F0">
        <w:rPr>
          <w:rFonts w:ascii="Times New Roman" w:eastAsia="Times New Roman" w:hAnsi="Times New Roman" w:cs="Times New Roman"/>
          <w:sz w:val="22"/>
          <w:szCs w:val="22"/>
        </w:rPr>
        <w:t xml:space="preserve">Por lo cual, el presupuesto para la vacuna contra el COVID-19 experimentó una disminución. El Ministerio de Salud Pública y Asistencia Social es la única entidad que en 2022 mostró una variación interanual negativa, siendo de 4.5% (equivalente a Q511.3 millones), estando asociado justamente al programa 94 atención por desastres naturales y calamidades públicas, en el cual el ministerio reporta una ejecución menor en Q1,579.9 millones. </w:t>
      </w:r>
    </w:p>
    <w:p w14:paraId="30245B97" w14:textId="77777777" w:rsidR="004A66F0" w:rsidRPr="004A66F0" w:rsidRDefault="004A66F0" w:rsidP="008D7BB4">
      <w:pPr>
        <w:autoSpaceDE w:val="0"/>
        <w:autoSpaceDN w:val="0"/>
        <w:adjustRightInd w:val="0"/>
        <w:spacing w:line="276" w:lineRule="auto"/>
        <w:contextualSpacing/>
        <w:jc w:val="both"/>
        <w:rPr>
          <w:rFonts w:ascii="Times New Roman" w:eastAsia="Times New Roman" w:hAnsi="Times New Roman" w:cs="Times New Roman"/>
          <w:sz w:val="22"/>
          <w:szCs w:val="22"/>
        </w:rPr>
      </w:pPr>
    </w:p>
    <w:p w14:paraId="7DDA8F63" w14:textId="07AB4AE5" w:rsidR="004A66F0" w:rsidRDefault="004A66F0" w:rsidP="008D7BB4">
      <w:pPr>
        <w:autoSpaceDE w:val="0"/>
        <w:autoSpaceDN w:val="0"/>
        <w:adjustRightInd w:val="0"/>
        <w:spacing w:line="276" w:lineRule="auto"/>
        <w:contextualSpacing/>
        <w:jc w:val="both"/>
        <w:rPr>
          <w:rFonts w:ascii="Times New Roman" w:eastAsia="Times New Roman" w:hAnsi="Times New Roman" w:cs="Times New Roman"/>
          <w:sz w:val="22"/>
          <w:szCs w:val="22"/>
        </w:rPr>
      </w:pPr>
      <w:r w:rsidRPr="004A66F0">
        <w:rPr>
          <w:rFonts w:ascii="Times New Roman" w:eastAsia="Times New Roman" w:hAnsi="Times New Roman" w:cs="Times New Roman"/>
          <w:sz w:val="22"/>
          <w:szCs w:val="22"/>
        </w:rPr>
        <w:t xml:space="preserve">Es importante recordar que en 2021 las compras por la vacuna contra el COVID-19 fueron mayores, dado que fue el primer año que la población guatemalteca tuvo acceso a ellas, mientras que en 2022 las compras por este concepto disminuyeron a medida que la población vacunada contaba con las dosis de refuerzo y la demanda por una tercera o cuarta dosis </w:t>
      </w:r>
      <w:r w:rsidR="00B51E46">
        <w:rPr>
          <w:rFonts w:ascii="Times New Roman" w:eastAsia="Times New Roman" w:hAnsi="Times New Roman" w:cs="Times New Roman"/>
          <w:sz w:val="22"/>
          <w:szCs w:val="22"/>
        </w:rPr>
        <w:t>fue</w:t>
      </w:r>
      <w:r w:rsidRPr="004A66F0">
        <w:rPr>
          <w:rFonts w:ascii="Times New Roman" w:eastAsia="Times New Roman" w:hAnsi="Times New Roman" w:cs="Times New Roman"/>
          <w:sz w:val="22"/>
          <w:szCs w:val="22"/>
        </w:rPr>
        <w:t xml:space="preserve"> menor. </w:t>
      </w:r>
    </w:p>
    <w:p w14:paraId="44BBB982" w14:textId="77777777" w:rsidR="004A66F0" w:rsidRPr="004A66F0" w:rsidRDefault="004A66F0" w:rsidP="008D7BB4">
      <w:pPr>
        <w:autoSpaceDE w:val="0"/>
        <w:autoSpaceDN w:val="0"/>
        <w:adjustRightInd w:val="0"/>
        <w:spacing w:line="276" w:lineRule="auto"/>
        <w:contextualSpacing/>
        <w:jc w:val="both"/>
        <w:rPr>
          <w:rFonts w:ascii="Times New Roman" w:eastAsia="Times New Roman" w:hAnsi="Times New Roman" w:cs="Times New Roman"/>
          <w:sz w:val="22"/>
          <w:szCs w:val="22"/>
        </w:rPr>
      </w:pPr>
    </w:p>
    <w:p w14:paraId="70C88378" w14:textId="701D552D" w:rsidR="004A66F0" w:rsidRPr="004A66F0" w:rsidRDefault="00A11E1A" w:rsidP="008D7BB4">
      <w:pPr>
        <w:spacing w:line="276" w:lineRule="auto"/>
        <w:contextualSpacing/>
        <w:jc w:val="center"/>
        <w:rPr>
          <w:rFonts w:ascii="Times New Roman" w:eastAsia="Times New Roman" w:hAnsi="Times New Roman" w:cs="Times New Roman"/>
          <w:b/>
          <w:sz w:val="22"/>
          <w:szCs w:val="22"/>
        </w:rPr>
      </w:pPr>
      <w:bookmarkStart w:id="48" w:name="_Toc125733212"/>
      <w:r w:rsidRPr="00A11E1A">
        <w:rPr>
          <w:rFonts w:ascii="Times New Roman" w:eastAsia="Times New Roman" w:hAnsi="Times New Roman" w:cs="Times New Roman"/>
          <w:b/>
          <w:sz w:val="22"/>
          <w:szCs w:val="22"/>
        </w:rPr>
        <w:t xml:space="preserve">Gráfico </w:t>
      </w:r>
      <w:r w:rsidRPr="00A11E1A">
        <w:rPr>
          <w:rFonts w:ascii="Times New Roman" w:eastAsia="Times New Roman" w:hAnsi="Times New Roman" w:cs="Times New Roman"/>
          <w:b/>
          <w:sz w:val="22"/>
          <w:szCs w:val="22"/>
        </w:rPr>
        <w:fldChar w:fldCharType="begin"/>
      </w:r>
      <w:r w:rsidRPr="00A11E1A">
        <w:rPr>
          <w:rFonts w:ascii="Times New Roman" w:eastAsia="Times New Roman" w:hAnsi="Times New Roman" w:cs="Times New Roman"/>
          <w:b/>
          <w:sz w:val="22"/>
          <w:szCs w:val="22"/>
        </w:rPr>
        <w:instrText xml:space="preserve"> SEQ Gráfico \* ARABIC </w:instrText>
      </w:r>
      <w:r w:rsidRPr="00A11E1A">
        <w:rPr>
          <w:rFonts w:ascii="Times New Roman" w:eastAsia="Times New Roman" w:hAnsi="Times New Roman" w:cs="Times New Roman"/>
          <w:b/>
          <w:sz w:val="22"/>
          <w:szCs w:val="22"/>
        </w:rPr>
        <w:fldChar w:fldCharType="separate"/>
      </w:r>
      <w:r w:rsidR="006F4BE5">
        <w:rPr>
          <w:rFonts w:ascii="Times New Roman" w:eastAsia="Times New Roman" w:hAnsi="Times New Roman" w:cs="Times New Roman"/>
          <w:b/>
          <w:noProof/>
          <w:sz w:val="22"/>
          <w:szCs w:val="22"/>
        </w:rPr>
        <w:t>16</w:t>
      </w:r>
      <w:r w:rsidRPr="00A11E1A">
        <w:rPr>
          <w:rFonts w:ascii="Times New Roman" w:eastAsia="Times New Roman" w:hAnsi="Times New Roman" w:cs="Times New Roman"/>
          <w:b/>
          <w:sz w:val="22"/>
          <w:szCs w:val="22"/>
        </w:rPr>
        <w:fldChar w:fldCharType="end"/>
      </w:r>
      <w:r>
        <w:rPr>
          <w:rFonts w:ascii="Times New Roman" w:eastAsia="Times New Roman" w:hAnsi="Times New Roman" w:cs="Times New Roman"/>
          <w:b/>
          <w:sz w:val="22"/>
          <w:szCs w:val="22"/>
        </w:rPr>
        <w:t xml:space="preserve">. </w:t>
      </w:r>
      <w:r w:rsidR="004A66F0" w:rsidRPr="004A66F0">
        <w:rPr>
          <w:rFonts w:ascii="Times New Roman" w:eastAsia="Times New Roman" w:hAnsi="Times New Roman" w:cs="Times New Roman"/>
          <w:b/>
          <w:sz w:val="22"/>
          <w:szCs w:val="22"/>
        </w:rPr>
        <w:t>Presupuesto y ejecución de las intervenciones por COVID-19</w:t>
      </w:r>
      <w:bookmarkEnd w:id="48"/>
    </w:p>
    <w:p w14:paraId="57688B3A" w14:textId="77777777" w:rsidR="004A66F0" w:rsidRPr="004A66F0" w:rsidRDefault="004A66F0" w:rsidP="008D7BB4">
      <w:pPr>
        <w:spacing w:line="276" w:lineRule="auto"/>
        <w:contextualSpacing/>
        <w:jc w:val="center"/>
        <w:rPr>
          <w:rFonts w:ascii="Times New Roman" w:eastAsia="Times New Roman" w:hAnsi="Times New Roman" w:cs="Times New Roman"/>
          <w:bCs/>
          <w:sz w:val="28"/>
          <w:szCs w:val="22"/>
        </w:rPr>
      </w:pPr>
      <w:r w:rsidRPr="004A66F0">
        <w:rPr>
          <w:rFonts w:ascii="Times New Roman" w:eastAsia="Times New Roman" w:hAnsi="Times New Roman" w:cs="Times New Roman"/>
          <w:bCs/>
          <w:sz w:val="22"/>
          <w:szCs w:val="22"/>
        </w:rPr>
        <w:t>Cifras en millones de quetzales</w:t>
      </w:r>
    </w:p>
    <w:p w14:paraId="60B21AFE" w14:textId="70BC20F9" w:rsidR="004A66F0" w:rsidRPr="004A66F0" w:rsidRDefault="004A66F0" w:rsidP="008D7BB4">
      <w:pPr>
        <w:spacing w:line="276" w:lineRule="auto"/>
        <w:contextualSpacing/>
        <w:jc w:val="center"/>
        <w:rPr>
          <w:rFonts w:ascii="Times New Roman" w:eastAsia="Times New Roman" w:hAnsi="Times New Roman" w:cs="Times New Roman"/>
          <w:sz w:val="22"/>
          <w:szCs w:val="22"/>
        </w:rPr>
      </w:pPr>
      <w:r w:rsidRPr="004A66F0">
        <w:rPr>
          <w:rFonts w:ascii="Times New Roman" w:eastAsia="Times New Roman" w:hAnsi="Times New Roman" w:cs="Times New Roman"/>
          <w:noProof/>
          <w:sz w:val="22"/>
          <w:szCs w:val="22"/>
          <w:shd w:val="clear" w:color="auto" w:fill="D9D9D9" w:themeFill="background1" w:themeFillShade="D9"/>
        </w:rPr>
        <w:drawing>
          <wp:inline distT="0" distB="0" distL="0" distR="0" wp14:anchorId="376ACA14" wp14:editId="77B18805">
            <wp:extent cx="5486400" cy="3200400"/>
            <wp:effectExtent l="0" t="0" r="0" b="0"/>
            <wp:docPr id="22" name="Gráfico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BC263D5" w14:textId="77777777" w:rsidR="004A66F0" w:rsidRPr="004A66F0" w:rsidRDefault="004A66F0" w:rsidP="008D7BB4">
      <w:pPr>
        <w:spacing w:line="276" w:lineRule="auto"/>
        <w:contextualSpacing/>
        <w:jc w:val="center"/>
        <w:rPr>
          <w:rFonts w:ascii="Times New Roman" w:eastAsia="Times New Roman" w:hAnsi="Times New Roman" w:cs="Times New Roman"/>
          <w:sz w:val="22"/>
          <w:szCs w:val="22"/>
        </w:rPr>
      </w:pPr>
    </w:p>
    <w:p w14:paraId="5B7CA8E3" w14:textId="77777777" w:rsidR="004A66F0" w:rsidRPr="008C3120" w:rsidRDefault="004A66F0" w:rsidP="008D7BB4">
      <w:pPr>
        <w:spacing w:line="276" w:lineRule="auto"/>
        <w:contextualSpacing/>
        <w:rPr>
          <w:rFonts w:ascii="Times New Roman" w:eastAsia="Times New Roman" w:hAnsi="Times New Roman" w:cs="Times New Roman"/>
          <w:sz w:val="18"/>
          <w:szCs w:val="18"/>
          <w:lang w:val="es-ES_tradnl" w:eastAsia="es-ES"/>
        </w:rPr>
      </w:pPr>
      <w:r w:rsidRPr="008C3120">
        <w:rPr>
          <w:rFonts w:ascii="Times New Roman" w:eastAsia="Times New Roman" w:hAnsi="Times New Roman" w:cs="Times New Roman"/>
          <w:sz w:val="18"/>
          <w:szCs w:val="18"/>
          <w:lang w:val="es-ES_tradnl" w:eastAsia="es-ES"/>
        </w:rPr>
        <w:t>Fuente: Dirección de Análisis y Política Fiscal</w:t>
      </w:r>
    </w:p>
    <w:p w14:paraId="5867E361" w14:textId="77777777" w:rsidR="004A66F0" w:rsidRPr="004A66F0" w:rsidRDefault="004A66F0" w:rsidP="008D7BB4">
      <w:pPr>
        <w:spacing w:line="276" w:lineRule="auto"/>
        <w:contextualSpacing/>
        <w:jc w:val="both"/>
        <w:rPr>
          <w:rFonts w:ascii="Times New Roman" w:eastAsia="Times New Roman" w:hAnsi="Times New Roman" w:cs="Times New Roman"/>
          <w:sz w:val="22"/>
          <w:szCs w:val="22"/>
          <w:lang w:val="es-ES_tradnl"/>
        </w:rPr>
      </w:pPr>
    </w:p>
    <w:p w14:paraId="248AF50E" w14:textId="77777777" w:rsidR="004A66F0" w:rsidRPr="004A66F0" w:rsidRDefault="004A66F0" w:rsidP="008D7BB4">
      <w:pPr>
        <w:spacing w:line="276" w:lineRule="auto"/>
        <w:contextualSpacing/>
        <w:jc w:val="both"/>
        <w:rPr>
          <w:rFonts w:ascii="Times New Roman" w:eastAsia="Times New Roman" w:hAnsi="Times New Roman" w:cs="Times New Roman"/>
          <w:sz w:val="22"/>
          <w:szCs w:val="36"/>
          <w:lang w:val="es-ES_tradnl" w:eastAsia="es-ES"/>
        </w:rPr>
      </w:pPr>
      <w:r w:rsidRPr="004A66F0">
        <w:rPr>
          <w:rFonts w:ascii="Times New Roman" w:eastAsia="Times New Roman" w:hAnsi="Times New Roman" w:cs="Times New Roman"/>
          <w:sz w:val="22"/>
          <w:szCs w:val="36"/>
          <w:lang w:val="es-ES_tradnl" w:eastAsia="es-ES"/>
        </w:rPr>
        <w:t>Durante el 2022, las intervenciones por COVID-19 fueron de Q1,404.9 millones, de las cuales Q1,401.5 millones corresponden al Ministerio de Salud Pública y Asistencia Social, mientras que el Ministerio de Desarrollo Social tuvo intervenciones por Q3.4 millones.</w:t>
      </w:r>
    </w:p>
    <w:p w14:paraId="01E7D462" w14:textId="77777777" w:rsidR="004A66F0" w:rsidRPr="00A36506" w:rsidRDefault="004A66F0" w:rsidP="008D7BB4">
      <w:pPr>
        <w:spacing w:line="276" w:lineRule="auto"/>
        <w:contextualSpacing/>
        <w:jc w:val="both"/>
        <w:rPr>
          <w:rFonts w:ascii="Times New Roman" w:eastAsia="Times New Roman" w:hAnsi="Times New Roman" w:cs="Times New Roman"/>
          <w:sz w:val="22"/>
          <w:szCs w:val="22"/>
          <w:lang w:val="es-ES_tradnl" w:eastAsia="es-ES"/>
        </w:rPr>
      </w:pPr>
    </w:p>
    <w:p w14:paraId="35CB7337" w14:textId="77777777" w:rsidR="004A66F0" w:rsidRPr="00A36506" w:rsidRDefault="004A66F0" w:rsidP="008D7BB4">
      <w:pPr>
        <w:pStyle w:val="Prrafodelista"/>
        <w:keepNext/>
        <w:keepLines/>
        <w:numPr>
          <w:ilvl w:val="1"/>
          <w:numId w:val="20"/>
        </w:numPr>
        <w:tabs>
          <w:tab w:val="left" w:pos="1134"/>
        </w:tabs>
        <w:spacing w:line="276" w:lineRule="auto"/>
        <w:jc w:val="both"/>
        <w:outlineLvl w:val="1"/>
        <w:rPr>
          <w:rFonts w:ascii="Times New Roman" w:eastAsiaTheme="majorEastAsia" w:hAnsi="Times New Roman" w:cs="Times New Roman"/>
          <w:b/>
          <w:bCs/>
        </w:rPr>
      </w:pPr>
      <w:bookmarkStart w:id="49" w:name="_Toc62724292"/>
      <w:bookmarkStart w:id="50" w:name="_Toc94259643"/>
      <w:bookmarkStart w:id="51" w:name="_Toc125723288"/>
      <w:r w:rsidRPr="00A36506">
        <w:rPr>
          <w:rFonts w:ascii="Times New Roman" w:eastAsiaTheme="majorEastAsia" w:hAnsi="Times New Roman" w:cs="Times New Roman"/>
          <w:b/>
          <w:bCs/>
        </w:rPr>
        <w:lastRenderedPageBreak/>
        <w:t xml:space="preserve">Intervenciones realizadas para la atención de </w:t>
      </w:r>
      <w:bookmarkEnd w:id="49"/>
      <w:bookmarkEnd w:id="50"/>
      <w:r w:rsidRPr="00A36506">
        <w:rPr>
          <w:rFonts w:ascii="Times New Roman" w:eastAsiaTheme="majorEastAsia" w:hAnsi="Times New Roman" w:cs="Times New Roman"/>
          <w:b/>
          <w:bCs/>
        </w:rPr>
        <w:t>los Estados de Calamidad Pública por lluvias</w:t>
      </w:r>
      <w:bookmarkEnd w:id="51"/>
    </w:p>
    <w:p w14:paraId="590FE6FD" w14:textId="77777777" w:rsidR="004A66F0" w:rsidRPr="004A66F0" w:rsidRDefault="004A66F0" w:rsidP="008D7BB4">
      <w:pPr>
        <w:spacing w:line="276" w:lineRule="auto"/>
        <w:contextualSpacing/>
        <w:jc w:val="both"/>
        <w:rPr>
          <w:rFonts w:ascii="Times New Roman" w:eastAsia="Times New Roman" w:hAnsi="Times New Roman" w:cs="Times New Roman"/>
          <w:sz w:val="22"/>
          <w:szCs w:val="36"/>
          <w:lang w:val="es-ES_tradnl" w:eastAsia="es-ES"/>
        </w:rPr>
      </w:pPr>
    </w:p>
    <w:p w14:paraId="521D58DE" w14:textId="77777777" w:rsidR="004A66F0" w:rsidRPr="004A66F0" w:rsidRDefault="004A66F0" w:rsidP="008D7BB4">
      <w:pPr>
        <w:spacing w:line="276" w:lineRule="auto"/>
        <w:contextualSpacing/>
        <w:jc w:val="both"/>
        <w:rPr>
          <w:rFonts w:ascii="Times New Roman" w:eastAsia="Times New Roman" w:hAnsi="Times New Roman" w:cs="Times New Roman"/>
          <w:sz w:val="22"/>
          <w:szCs w:val="22"/>
          <w:lang w:val="es-ES_tradnl" w:eastAsia="es-ES"/>
        </w:rPr>
      </w:pPr>
      <w:r w:rsidRPr="004A66F0">
        <w:rPr>
          <w:rFonts w:ascii="Times New Roman" w:eastAsia="Times New Roman" w:hAnsi="Times New Roman" w:cs="Times New Roman"/>
          <w:sz w:val="22"/>
          <w:szCs w:val="22"/>
          <w:lang w:val="es-ES_tradnl" w:eastAsia="es-ES"/>
        </w:rPr>
        <w:t xml:space="preserve">A finales de 2020, el país fue azotado por dos tormentas tropicales identificadas como ETA e IOTA, las cuales causaron significativos daños y pérdidas en el territorio nacional. </w:t>
      </w:r>
    </w:p>
    <w:p w14:paraId="4AE71823" w14:textId="77777777" w:rsidR="004A66F0" w:rsidRPr="004A66F0" w:rsidRDefault="004A66F0" w:rsidP="008D7BB4">
      <w:pPr>
        <w:spacing w:line="276" w:lineRule="auto"/>
        <w:contextualSpacing/>
        <w:jc w:val="both"/>
        <w:rPr>
          <w:rFonts w:ascii="Times New Roman" w:eastAsia="Times New Roman" w:hAnsi="Times New Roman" w:cs="Times New Roman"/>
          <w:sz w:val="22"/>
          <w:szCs w:val="22"/>
          <w:lang w:val="es-ES_tradnl" w:eastAsia="es-ES"/>
        </w:rPr>
      </w:pPr>
    </w:p>
    <w:p w14:paraId="1E95C83D" w14:textId="77777777" w:rsidR="004A66F0" w:rsidRPr="004A66F0" w:rsidRDefault="004A66F0" w:rsidP="008D7BB4">
      <w:pPr>
        <w:spacing w:line="276" w:lineRule="auto"/>
        <w:contextualSpacing/>
        <w:jc w:val="both"/>
        <w:rPr>
          <w:rFonts w:ascii="Times New Roman" w:eastAsia="Times New Roman" w:hAnsi="Times New Roman" w:cs="Times New Roman"/>
          <w:sz w:val="22"/>
          <w:szCs w:val="22"/>
          <w:lang w:val="es-ES_tradnl" w:eastAsia="es-ES"/>
        </w:rPr>
      </w:pPr>
      <w:r w:rsidRPr="004A66F0">
        <w:rPr>
          <w:rFonts w:ascii="Times New Roman" w:eastAsia="Times New Roman" w:hAnsi="Times New Roman" w:cs="Times New Roman"/>
          <w:sz w:val="22"/>
          <w:szCs w:val="22"/>
          <w:lang w:val="es-ES_tradnl" w:eastAsia="es-ES"/>
        </w:rPr>
        <w:t xml:space="preserve">Derivado de ello, el gobierno creo el subprograma 11 “Estado de Calamidad Pública por Depresión Tropical ETA”, el cual lleva registro de las intervenciones realizadas para la atención de daños provocados por la depresión tropical, este se encuentra bajo el programa 94 “Atención por Desastres Naturales y Calamidades Públicas”. </w:t>
      </w:r>
    </w:p>
    <w:p w14:paraId="732F979C" w14:textId="77777777" w:rsidR="004A66F0" w:rsidRPr="004A66F0" w:rsidRDefault="004A66F0" w:rsidP="008D7BB4">
      <w:pPr>
        <w:spacing w:line="276" w:lineRule="auto"/>
        <w:contextualSpacing/>
        <w:jc w:val="both"/>
        <w:rPr>
          <w:rFonts w:ascii="Times New Roman" w:eastAsia="Times New Roman" w:hAnsi="Times New Roman" w:cs="Times New Roman"/>
          <w:sz w:val="22"/>
          <w:szCs w:val="22"/>
          <w:lang w:val="es-ES_tradnl" w:eastAsia="es-ES"/>
        </w:rPr>
      </w:pPr>
    </w:p>
    <w:p w14:paraId="03D83882" w14:textId="77777777" w:rsidR="004A66F0" w:rsidRPr="004A66F0" w:rsidRDefault="004A66F0" w:rsidP="008D7BB4">
      <w:pPr>
        <w:spacing w:line="276" w:lineRule="auto"/>
        <w:contextualSpacing/>
        <w:jc w:val="both"/>
        <w:rPr>
          <w:rFonts w:ascii="Times New Roman" w:eastAsia="Times New Roman" w:hAnsi="Times New Roman" w:cs="Times New Roman"/>
          <w:sz w:val="22"/>
          <w:szCs w:val="22"/>
          <w:lang w:val="es-ES_tradnl" w:eastAsia="es-ES"/>
        </w:rPr>
      </w:pPr>
      <w:r w:rsidRPr="004A66F0">
        <w:rPr>
          <w:rFonts w:ascii="Times New Roman" w:eastAsia="Times New Roman" w:hAnsi="Times New Roman" w:cs="Times New Roman"/>
          <w:sz w:val="22"/>
          <w:szCs w:val="22"/>
          <w:lang w:val="es-ES_tradnl" w:eastAsia="es-ES"/>
        </w:rPr>
        <w:t xml:space="preserve">Para 2022 se le asignó un presupuesto de Q565.0 millones, para la atención de la emergencia provocada por la depresión tropical, con una ejecución de Q550.6 millones al final del ejercicio, siendo equivalente a un grado de ejecución de 97.5%. El Ministerio de Comunicaciones, Infraestructura y Vivienda concentra todas las intervenciones de este subprograma, estando centradas en la atención de daños, el remozamiento de edificios públicos y familias beneficiadas con subsidios para la construcción de vivienda por atención a los daños ocasionados. </w:t>
      </w:r>
    </w:p>
    <w:p w14:paraId="18FC7805" w14:textId="77777777" w:rsidR="004A66F0" w:rsidRPr="004A66F0" w:rsidRDefault="004A66F0" w:rsidP="008D7BB4">
      <w:pPr>
        <w:spacing w:line="276" w:lineRule="auto"/>
        <w:contextualSpacing/>
        <w:jc w:val="both"/>
        <w:rPr>
          <w:rFonts w:ascii="Times New Roman" w:eastAsia="Times New Roman" w:hAnsi="Times New Roman" w:cs="Times New Roman"/>
          <w:sz w:val="22"/>
          <w:szCs w:val="22"/>
          <w:lang w:val="es-ES_tradnl" w:eastAsia="es-ES"/>
        </w:rPr>
      </w:pPr>
    </w:p>
    <w:p w14:paraId="28951269" w14:textId="77777777" w:rsidR="004A66F0" w:rsidRPr="004A66F0" w:rsidRDefault="004A66F0" w:rsidP="008D7BB4">
      <w:pPr>
        <w:autoSpaceDE w:val="0"/>
        <w:autoSpaceDN w:val="0"/>
        <w:adjustRightInd w:val="0"/>
        <w:spacing w:line="276" w:lineRule="auto"/>
        <w:contextualSpacing/>
        <w:jc w:val="both"/>
        <w:rPr>
          <w:rFonts w:ascii="Times New Roman" w:eastAsia="Times New Roman" w:hAnsi="Times New Roman" w:cs="Times New Roman"/>
          <w:sz w:val="22"/>
          <w:szCs w:val="22"/>
        </w:rPr>
      </w:pPr>
      <w:r w:rsidRPr="004A66F0">
        <w:rPr>
          <w:rFonts w:ascii="Times New Roman" w:eastAsia="Times New Roman" w:hAnsi="Times New Roman" w:cs="Times New Roman"/>
          <w:sz w:val="22"/>
          <w:szCs w:val="22"/>
        </w:rPr>
        <w:t>A partir de junio, según información del INSIVUMEH inició la Temporada Ciclónica en el océano Atlántico, además continuó el fenómeno de La Niña, lo cual intensificó las lluvias en el territorio nacional. La tormenta tropical Blas fue el segundo ciclón de la temporada, provocando lluvias intensas sobre algunas regiones de Centroamérica, incluida Guatemala. Asimismo, en junio se registró la mayor precipitación fluvial en el año, lo que provocó incidentes a nivel nacional, entre los más relevantes reportados se puede mencionar los daños provocados por deslizamientos y derrumbes, siendo uno de los más grandes en proporciones el derrumbe del kilómetro 24 de la ruta Interamericana. Además, se vieron afectados varios departamentos por inundaciones, colapsos estructurales y hundimientos en carreteras, siendo el hundimiento en la carretera kilómetro 15 en el Municipio de Villa Nueva el más representativo, derivado que es una de las principales arterias viales del país.</w:t>
      </w:r>
    </w:p>
    <w:p w14:paraId="79F021A1" w14:textId="77777777" w:rsidR="004A66F0" w:rsidRPr="004A66F0" w:rsidRDefault="004A66F0" w:rsidP="008D7BB4">
      <w:pPr>
        <w:autoSpaceDE w:val="0"/>
        <w:autoSpaceDN w:val="0"/>
        <w:adjustRightInd w:val="0"/>
        <w:spacing w:line="276" w:lineRule="auto"/>
        <w:contextualSpacing/>
        <w:rPr>
          <w:rFonts w:ascii="Times New Roman" w:eastAsia="Times New Roman" w:hAnsi="Times New Roman" w:cs="Times New Roman"/>
          <w:sz w:val="22"/>
          <w:szCs w:val="22"/>
          <w:lang w:val="es-ES"/>
        </w:rPr>
      </w:pPr>
    </w:p>
    <w:p w14:paraId="1E0BCF55" w14:textId="4E1DD8F8" w:rsidR="004A66F0" w:rsidRPr="004A66F0" w:rsidRDefault="004A66F0" w:rsidP="004142A0">
      <w:pPr>
        <w:autoSpaceDE w:val="0"/>
        <w:autoSpaceDN w:val="0"/>
        <w:adjustRightInd w:val="0"/>
        <w:spacing w:line="276" w:lineRule="auto"/>
        <w:contextualSpacing/>
        <w:jc w:val="both"/>
        <w:rPr>
          <w:rFonts w:ascii="Times New Roman" w:eastAsia="Times New Roman" w:hAnsi="Times New Roman" w:cs="Times New Roman"/>
          <w:sz w:val="22"/>
          <w:szCs w:val="22"/>
        </w:rPr>
      </w:pPr>
      <w:r w:rsidRPr="004A66F0">
        <w:rPr>
          <w:rFonts w:ascii="Times New Roman" w:eastAsia="Times New Roman" w:hAnsi="Times New Roman" w:cs="Times New Roman"/>
          <w:sz w:val="22"/>
          <w:szCs w:val="22"/>
        </w:rPr>
        <w:t xml:space="preserve">Derivado de lo anterior, por medio del Decreto número 35-2022 se ratificó el decreto gubernativo 03-2022 por medio del cual se declara </w:t>
      </w:r>
      <w:r w:rsidR="004142A0">
        <w:rPr>
          <w:rFonts w:ascii="Times New Roman" w:eastAsia="Times New Roman" w:hAnsi="Times New Roman" w:cs="Times New Roman"/>
          <w:sz w:val="22"/>
          <w:szCs w:val="22"/>
        </w:rPr>
        <w:t>E</w:t>
      </w:r>
      <w:r w:rsidRPr="004A66F0">
        <w:rPr>
          <w:rFonts w:ascii="Times New Roman" w:eastAsia="Times New Roman" w:hAnsi="Times New Roman" w:cs="Times New Roman"/>
          <w:sz w:val="22"/>
          <w:szCs w:val="22"/>
        </w:rPr>
        <w:t xml:space="preserve">stado de </w:t>
      </w:r>
      <w:r w:rsidR="004142A0">
        <w:rPr>
          <w:rFonts w:ascii="Times New Roman" w:eastAsia="Times New Roman" w:hAnsi="Times New Roman" w:cs="Times New Roman"/>
          <w:sz w:val="22"/>
          <w:szCs w:val="22"/>
        </w:rPr>
        <w:t>C</w:t>
      </w:r>
      <w:r w:rsidRPr="004A66F0">
        <w:rPr>
          <w:rFonts w:ascii="Times New Roman" w:eastAsia="Times New Roman" w:hAnsi="Times New Roman" w:cs="Times New Roman"/>
          <w:sz w:val="22"/>
          <w:szCs w:val="22"/>
        </w:rPr>
        <w:t xml:space="preserve">alamidad </w:t>
      </w:r>
      <w:r w:rsidR="004142A0">
        <w:rPr>
          <w:rFonts w:ascii="Times New Roman" w:eastAsia="Times New Roman" w:hAnsi="Times New Roman" w:cs="Times New Roman"/>
          <w:sz w:val="22"/>
          <w:szCs w:val="22"/>
        </w:rPr>
        <w:t>P</w:t>
      </w:r>
      <w:r w:rsidRPr="004A66F0">
        <w:rPr>
          <w:rFonts w:ascii="Times New Roman" w:eastAsia="Times New Roman" w:hAnsi="Times New Roman" w:cs="Times New Roman"/>
          <w:sz w:val="22"/>
          <w:szCs w:val="22"/>
        </w:rPr>
        <w:t xml:space="preserve">ública en todo el territorio nacional por un plazo de 30 </w:t>
      </w:r>
      <w:r w:rsidR="00FD0AB7">
        <w:rPr>
          <w:rFonts w:ascii="Times New Roman" w:eastAsia="Times New Roman" w:hAnsi="Times New Roman" w:cs="Times New Roman"/>
          <w:sz w:val="22"/>
          <w:szCs w:val="22"/>
        </w:rPr>
        <w:t>d</w:t>
      </w:r>
      <w:r w:rsidRPr="004A66F0">
        <w:rPr>
          <w:rFonts w:ascii="Times New Roman" w:eastAsia="Times New Roman" w:hAnsi="Times New Roman" w:cs="Times New Roman"/>
          <w:sz w:val="22"/>
          <w:szCs w:val="22"/>
        </w:rPr>
        <w:t xml:space="preserve">ías, emitido por el </w:t>
      </w:r>
      <w:proofErr w:type="gramStart"/>
      <w:r w:rsidRPr="004A66F0">
        <w:rPr>
          <w:rFonts w:ascii="Times New Roman" w:eastAsia="Times New Roman" w:hAnsi="Times New Roman" w:cs="Times New Roman"/>
          <w:sz w:val="22"/>
          <w:szCs w:val="22"/>
        </w:rPr>
        <w:t>Presidente</w:t>
      </w:r>
      <w:proofErr w:type="gramEnd"/>
      <w:r w:rsidRPr="004A66F0">
        <w:rPr>
          <w:rFonts w:ascii="Times New Roman" w:eastAsia="Times New Roman" w:hAnsi="Times New Roman" w:cs="Times New Roman"/>
          <w:sz w:val="22"/>
          <w:szCs w:val="22"/>
        </w:rPr>
        <w:t xml:space="preserve"> de la República en Consejo de Ministros.</w:t>
      </w:r>
    </w:p>
    <w:p w14:paraId="461D9FFC" w14:textId="77777777" w:rsidR="004A66F0" w:rsidRPr="004A66F0" w:rsidRDefault="004A66F0" w:rsidP="008D7BB4">
      <w:pPr>
        <w:autoSpaceDE w:val="0"/>
        <w:autoSpaceDN w:val="0"/>
        <w:adjustRightInd w:val="0"/>
        <w:spacing w:line="276" w:lineRule="auto"/>
        <w:contextualSpacing/>
        <w:rPr>
          <w:rFonts w:ascii="Times New Roman" w:eastAsia="Times New Roman" w:hAnsi="Times New Roman" w:cs="Times New Roman"/>
          <w:sz w:val="22"/>
          <w:szCs w:val="22"/>
        </w:rPr>
      </w:pPr>
    </w:p>
    <w:p w14:paraId="798F518C" w14:textId="77777777" w:rsidR="004A66F0" w:rsidRPr="004A66F0" w:rsidRDefault="004A66F0" w:rsidP="008D7BB4">
      <w:pPr>
        <w:autoSpaceDE w:val="0"/>
        <w:autoSpaceDN w:val="0"/>
        <w:adjustRightInd w:val="0"/>
        <w:spacing w:line="276" w:lineRule="auto"/>
        <w:contextualSpacing/>
        <w:jc w:val="both"/>
        <w:rPr>
          <w:rFonts w:ascii="Times New Roman" w:eastAsia="Times New Roman" w:hAnsi="Times New Roman" w:cs="Times New Roman"/>
          <w:sz w:val="22"/>
          <w:szCs w:val="22"/>
        </w:rPr>
      </w:pPr>
      <w:r w:rsidRPr="004A66F0">
        <w:rPr>
          <w:rFonts w:ascii="Times New Roman" w:eastAsia="Times New Roman" w:hAnsi="Times New Roman" w:cs="Times New Roman"/>
          <w:sz w:val="22"/>
          <w:szCs w:val="22"/>
        </w:rPr>
        <w:t xml:space="preserve">Seguidamente fue emitido el Decreto número 36-2022, el cual contiene reformas a la Ley de Presupuesto y al Decreto 21-2022 Ley para fortalecer el mantenimiento y construcción de Infraestructura Estratégica, buscando así fortalecer el fondo emergente con Q600 millones que el Ministerio de Salud Pública puso a disposición correspondiente a la adquisición de vacunas contra el virus COVID-19 y Q400 millones que el Ministerio de Comunicaciones, Infraestructura y Vivienda puso a disposición correspondientes a infraestructura estratégica. </w:t>
      </w:r>
    </w:p>
    <w:p w14:paraId="0A38613F" w14:textId="77777777" w:rsidR="004A66F0" w:rsidRPr="004A66F0" w:rsidRDefault="004A66F0" w:rsidP="008D7BB4">
      <w:pPr>
        <w:autoSpaceDE w:val="0"/>
        <w:autoSpaceDN w:val="0"/>
        <w:adjustRightInd w:val="0"/>
        <w:spacing w:line="276" w:lineRule="auto"/>
        <w:contextualSpacing/>
        <w:rPr>
          <w:rFonts w:ascii="Times New Roman" w:eastAsia="Times New Roman" w:hAnsi="Times New Roman" w:cs="Times New Roman"/>
          <w:sz w:val="22"/>
          <w:szCs w:val="22"/>
        </w:rPr>
      </w:pPr>
    </w:p>
    <w:p w14:paraId="2FF76B41" w14:textId="77777777" w:rsidR="004A66F0" w:rsidRPr="004A66F0" w:rsidRDefault="004A66F0" w:rsidP="008D7BB4">
      <w:pPr>
        <w:spacing w:line="276" w:lineRule="auto"/>
        <w:contextualSpacing/>
        <w:jc w:val="both"/>
        <w:rPr>
          <w:rFonts w:ascii="Times New Roman" w:eastAsia="Times New Roman" w:hAnsi="Times New Roman" w:cs="Times New Roman"/>
          <w:sz w:val="22"/>
          <w:szCs w:val="22"/>
        </w:rPr>
      </w:pPr>
      <w:r w:rsidRPr="004A66F0">
        <w:rPr>
          <w:rFonts w:ascii="Times New Roman" w:eastAsia="Times New Roman" w:hAnsi="Times New Roman" w:cs="Times New Roman"/>
          <w:sz w:val="22"/>
          <w:szCs w:val="22"/>
        </w:rPr>
        <w:t xml:space="preserve">Se creó el subprograma 14 “Estado de Calamidad Pública por época lluviosa, temporada ciclónica y sistemas de baja presión” el cual conto con un presupuesto de Q960 millones, la entidad que tuvo </w:t>
      </w:r>
      <w:r w:rsidRPr="004A66F0">
        <w:rPr>
          <w:rFonts w:ascii="Times New Roman" w:eastAsia="Times New Roman" w:hAnsi="Times New Roman" w:cs="Times New Roman"/>
          <w:sz w:val="22"/>
          <w:szCs w:val="22"/>
        </w:rPr>
        <w:lastRenderedPageBreak/>
        <w:t xml:space="preserve">mayor asignación de recursos fue el Ministerio de Comunicaciones, Infraestructura y Vivienda con Q752.9 millones y una ejecución de Q716.5 millones, siendo destinados al mantenimiento y la reparación de infraestructura vial, mantenimiento y reparación de edificios, reposición de puentes, entre otras. </w:t>
      </w:r>
    </w:p>
    <w:p w14:paraId="41DA6D63" w14:textId="77777777" w:rsidR="004A66F0" w:rsidRPr="004A66F0" w:rsidRDefault="004A66F0" w:rsidP="008D7BB4">
      <w:pPr>
        <w:spacing w:line="276" w:lineRule="auto"/>
        <w:contextualSpacing/>
        <w:jc w:val="both"/>
        <w:rPr>
          <w:rFonts w:ascii="Times New Roman" w:eastAsia="Times New Roman" w:hAnsi="Times New Roman" w:cs="Times New Roman"/>
          <w:sz w:val="22"/>
          <w:szCs w:val="22"/>
        </w:rPr>
      </w:pPr>
    </w:p>
    <w:p w14:paraId="73A34175" w14:textId="77777777" w:rsidR="004A66F0" w:rsidRPr="004A66F0" w:rsidRDefault="004A66F0" w:rsidP="008D7BB4">
      <w:pPr>
        <w:spacing w:line="276" w:lineRule="auto"/>
        <w:contextualSpacing/>
        <w:jc w:val="both"/>
        <w:rPr>
          <w:rFonts w:ascii="Times New Roman" w:eastAsia="Times New Roman" w:hAnsi="Times New Roman" w:cs="Times New Roman"/>
          <w:sz w:val="22"/>
          <w:szCs w:val="22"/>
        </w:rPr>
      </w:pPr>
      <w:r w:rsidRPr="004A66F0">
        <w:rPr>
          <w:rFonts w:ascii="Times New Roman" w:eastAsia="Times New Roman" w:hAnsi="Times New Roman" w:cs="Times New Roman"/>
          <w:sz w:val="22"/>
          <w:szCs w:val="22"/>
        </w:rPr>
        <w:t xml:space="preserve">Por su parte, al Ministerio de la Defensa Nacional se le asignaron Q139.3 millones, los cuales fueron ejecutados en su totalidad y responden a la adquisición de puentes de emergencias, los cuales cuentan con especificaciones militares, para la misión y desarrollo de las funciones del cuerpo de ingenieros del ejército. </w:t>
      </w:r>
    </w:p>
    <w:p w14:paraId="5913252E" w14:textId="77777777" w:rsidR="004A66F0" w:rsidRPr="004A66F0" w:rsidRDefault="004A66F0" w:rsidP="008D7BB4">
      <w:pPr>
        <w:spacing w:line="276" w:lineRule="auto"/>
        <w:contextualSpacing/>
        <w:jc w:val="both"/>
        <w:rPr>
          <w:rFonts w:ascii="Times New Roman" w:eastAsia="Times New Roman" w:hAnsi="Times New Roman" w:cs="Times New Roman"/>
          <w:sz w:val="22"/>
          <w:szCs w:val="22"/>
        </w:rPr>
      </w:pPr>
    </w:p>
    <w:p w14:paraId="4E864355" w14:textId="77777777" w:rsidR="004A66F0" w:rsidRPr="004A66F0" w:rsidRDefault="004A66F0" w:rsidP="008D7BB4">
      <w:pPr>
        <w:spacing w:line="276" w:lineRule="auto"/>
        <w:contextualSpacing/>
        <w:jc w:val="both"/>
        <w:rPr>
          <w:rFonts w:ascii="Times New Roman" w:eastAsia="Times New Roman" w:hAnsi="Times New Roman" w:cs="Times New Roman"/>
          <w:sz w:val="22"/>
          <w:szCs w:val="22"/>
          <w:lang w:val="es-ES_tradnl" w:eastAsia="es-ES"/>
        </w:rPr>
      </w:pPr>
      <w:r w:rsidRPr="004A66F0">
        <w:rPr>
          <w:rFonts w:ascii="Times New Roman" w:eastAsia="Times New Roman" w:hAnsi="Times New Roman" w:cs="Times New Roman"/>
          <w:sz w:val="22"/>
          <w:szCs w:val="22"/>
          <w:lang w:val="es-ES_tradnl" w:eastAsia="es-ES"/>
        </w:rPr>
        <w:t xml:space="preserve">Asimismo, el Ministerio de Desarrollo Social reportó una ejecución de Q54.7 millones, los cuales correspondieron a alimento para personas, estructuras metálicas y otros. El resto de entidades en su conjunto tuvieron intervenciones por Q13.0 millones. </w:t>
      </w:r>
    </w:p>
    <w:p w14:paraId="0FD1E3C1" w14:textId="77777777" w:rsidR="004A66F0" w:rsidRPr="004A66F0" w:rsidRDefault="004A66F0" w:rsidP="008D7BB4">
      <w:pPr>
        <w:spacing w:line="276" w:lineRule="auto"/>
        <w:contextualSpacing/>
        <w:jc w:val="both"/>
        <w:rPr>
          <w:rFonts w:ascii="Times New Roman" w:eastAsia="Times New Roman" w:hAnsi="Times New Roman" w:cs="Times New Roman"/>
          <w:sz w:val="22"/>
          <w:szCs w:val="22"/>
          <w:lang w:val="es-ES_tradnl" w:eastAsia="es-ES"/>
        </w:rPr>
      </w:pPr>
    </w:p>
    <w:p w14:paraId="021B2EB8" w14:textId="77777777" w:rsidR="004A66F0" w:rsidRPr="004A66F0" w:rsidRDefault="004A66F0" w:rsidP="008D7BB4">
      <w:pPr>
        <w:spacing w:line="276" w:lineRule="auto"/>
        <w:contextualSpacing/>
        <w:jc w:val="both"/>
        <w:rPr>
          <w:rFonts w:ascii="Times New Roman" w:eastAsia="Times New Roman" w:hAnsi="Times New Roman" w:cs="Times New Roman"/>
          <w:sz w:val="22"/>
          <w:szCs w:val="22"/>
        </w:rPr>
      </w:pPr>
      <w:r w:rsidRPr="004A66F0">
        <w:rPr>
          <w:rFonts w:ascii="Times New Roman" w:eastAsia="Times New Roman" w:hAnsi="Times New Roman" w:cs="Times New Roman"/>
          <w:sz w:val="22"/>
          <w:szCs w:val="22"/>
        </w:rPr>
        <w:t>En octubre, por medio del Decreto número 50-2022, se ratificó el Decreto Gubernativo número 5-2022, por medio del cual se declara Estado de Calamidad Pública en todo el territorio de la República de Guatemala por un plazo de 30 días, debido a que la época lluviosa y el ciclón tropical Julia han provocado muchas lluvias y saturación de suelos, ocasionando daños en toda la República, afectando a la población, sus viviendas, medios de comunicación, infraestructura vial, así como la salud y seguridad alimentaria.</w:t>
      </w:r>
    </w:p>
    <w:p w14:paraId="67DC06E2" w14:textId="77777777" w:rsidR="004A66F0" w:rsidRPr="004A66F0" w:rsidRDefault="004A66F0" w:rsidP="008D7BB4">
      <w:pPr>
        <w:spacing w:line="276" w:lineRule="auto"/>
        <w:contextualSpacing/>
        <w:jc w:val="both"/>
        <w:rPr>
          <w:rFonts w:ascii="Times New Roman" w:eastAsia="Times New Roman" w:hAnsi="Times New Roman" w:cs="Times New Roman"/>
          <w:sz w:val="22"/>
          <w:szCs w:val="22"/>
          <w:lang w:eastAsia="es-ES"/>
        </w:rPr>
      </w:pPr>
    </w:p>
    <w:p w14:paraId="7F00F53A" w14:textId="77777777" w:rsidR="004A66F0" w:rsidRPr="004A66F0" w:rsidRDefault="004A66F0" w:rsidP="008D7BB4">
      <w:pPr>
        <w:spacing w:line="276" w:lineRule="auto"/>
        <w:contextualSpacing/>
        <w:jc w:val="both"/>
        <w:rPr>
          <w:rFonts w:ascii="Times New Roman" w:eastAsia="Times New Roman" w:hAnsi="Times New Roman" w:cs="Times New Roman"/>
          <w:sz w:val="22"/>
          <w:szCs w:val="22"/>
          <w:lang w:eastAsia="es-ES"/>
        </w:rPr>
      </w:pPr>
      <w:r w:rsidRPr="004A66F0">
        <w:rPr>
          <w:rFonts w:ascii="Times New Roman" w:eastAsia="Times New Roman" w:hAnsi="Times New Roman" w:cs="Times New Roman"/>
          <w:sz w:val="22"/>
          <w:szCs w:val="22"/>
          <w:lang w:eastAsia="es-ES"/>
        </w:rPr>
        <w:t xml:space="preserve">Con el objeto de fortalecer la conformación del Fondo Emergente, se pusieron a disposición del Fondo Emergente un monto de Q540 millones de los recursos asignados al Ministerio de Comunicaciones, Infraestructura y Vivienda correspondientes a fortalecer el mantenimiento y construcción de infraestructura estratégica. </w:t>
      </w:r>
    </w:p>
    <w:p w14:paraId="62CC9CD7" w14:textId="77777777" w:rsidR="004A66F0" w:rsidRPr="004A66F0" w:rsidRDefault="004A66F0" w:rsidP="008D7BB4">
      <w:pPr>
        <w:spacing w:line="276" w:lineRule="auto"/>
        <w:contextualSpacing/>
        <w:jc w:val="both"/>
        <w:rPr>
          <w:rFonts w:ascii="Times New Roman" w:eastAsia="Times New Roman" w:hAnsi="Times New Roman" w:cs="Times New Roman"/>
          <w:sz w:val="22"/>
          <w:szCs w:val="22"/>
          <w:lang w:eastAsia="es-ES"/>
        </w:rPr>
      </w:pPr>
    </w:p>
    <w:p w14:paraId="5EA9DE29" w14:textId="77862105" w:rsidR="004A66F0" w:rsidRDefault="004A66F0" w:rsidP="008D7BB4">
      <w:pPr>
        <w:spacing w:line="276" w:lineRule="auto"/>
        <w:contextualSpacing/>
        <w:jc w:val="both"/>
        <w:rPr>
          <w:rFonts w:ascii="Times New Roman" w:eastAsia="Times New Roman" w:hAnsi="Times New Roman" w:cs="Times New Roman"/>
          <w:sz w:val="22"/>
          <w:szCs w:val="22"/>
          <w:lang w:val="es-ES_tradnl" w:eastAsia="es-ES"/>
        </w:rPr>
      </w:pPr>
      <w:r w:rsidRPr="004A66F0">
        <w:rPr>
          <w:rFonts w:ascii="Times New Roman" w:eastAsia="Times New Roman" w:hAnsi="Times New Roman" w:cs="Times New Roman"/>
          <w:sz w:val="22"/>
          <w:szCs w:val="22"/>
          <w:lang w:val="es-ES_tradnl" w:eastAsia="es-ES"/>
        </w:rPr>
        <w:t xml:space="preserve">Asimismo, para el seguimiento de las intervenciones se creó el subprograma 15 “Estado de Calamidad Pública por los efectos de la época lluviosa y el ciclón tropical Julia”, con un presupuesto de Q779.5 millones y una ejecución de Q733.2 millones, siendo el Ministerio de Comunicaciones la entidad con mayor intervención, correspondiente a el mantenimiento y reparación de carreteras, puentes, edificios, entre otros, con Q624.9 millones. </w:t>
      </w:r>
    </w:p>
    <w:p w14:paraId="6FADC136" w14:textId="77777777" w:rsidR="00FD0AB7" w:rsidRPr="004A66F0" w:rsidRDefault="00FD0AB7" w:rsidP="008D7BB4">
      <w:pPr>
        <w:spacing w:line="276" w:lineRule="auto"/>
        <w:contextualSpacing/>
        <w:jc w:val="both"/>
        <w:rPr>
          <w:rFonts w:ascii="Times New Roman" w:eastAsia="Times New Roman" w:hAnsi="Times New Roman" w:cs="Times New Roman"/>
          <w:sz w:val="22"/>
          <w:szCs w:val="22"/>
          <w:lang w:val="es-ES_tradnl" w:eastAsia="es-ES"/>
        </w:rPr>
      </w:pPr>
    </w:p>
    <w:p w14:paraId="35BCC6FA" w14:textId="064D8F88" w:rsidR="004A66F0" w:rsidRPr="004A66F0" w:rsidRDefault="004A66F0" w:rsidP="008D7BB4">
      <w:pPr>
        <w:spacing w:line="276" w:lineRule="auto"/>
        <w:contextualSpacing/>
        <w:jc w:val="both"/>
        <w:rPr>
          <w:rFonts w:ascii="Times New Roman" w:eastAsia="Times New Roman" w:hAnsi="Times New Roman" w:cs="Times New Roman"/>
          <w:sz w:val="22"/>
          <w:szCs w:val="22"/>
          <w:lang w:val="es-ES_tradnl" w:eastAsia="es-ES"/>
        </w:rPr>
      </w:pPr>
      <w:r w:rsidRPr="004A66F0">
        <w:rPr>
          <w:rFonts w:ascii="Times New Roman" w:eastAsia="Times New Roman" w:hAnsi="Times New Roman" w:cs="Times New Roman"/>
          <w:sz w:val="22"/>
          <w:szCs w:val="22"/>
          <w:lang w:val="es-ES_tradnl" w:eastAsia="es-ES"/>
        </w:rPr>
        <w:t>Seguidamente, el Ministerio de Agricultura tuvo una ejecución de Q46.0 millones que corresponden a agricultores que fueron beneficiados con estipendios y capacitación para la restauración de suelos. Mientras que el Ministerio de Desarrollo Social reporto intervenciones por Q39.1 millones que correspondieron a alimento</w:t>
      </w:r>
      <w:r w:rsidR="004142A0">
        <w:rPr>
          <w:rFonts w:ascii="Times New Roman" w:eastAsia="Times New Roman" w:hAnsi="Times New Roman" w:cs="Times New Roman"/>
          <w:sz w:val="22"/>
          <w:szCs w:val="22"/>
          <w:lang w:val="es-ES_tradnl" w:eastAsia="es-ES"/>
        </w:rPr>
        <w:t>s</w:t>
      </w:r>
      <w:r w:rsidRPr="004A66F0">
        <w:rPr>
          <w:rFonts w:ascii="Times New Roman" w:eastAsia="Times New Roman" w:hAnsi="Times New Roman" w:cs="Times New Roman"/>
          <w:sz w:val="22"/>
          <w:szCs w:val="22"/>
          <w:lang w:val="es-ES_tradnl" w:eastAsia="es-ES"/>
        </w:rPr>
        <w:t xml:space="preserve"> para personas y estructuras metálicas acabadas. Por último, el resto de entidades, reportó una ejecución de Q23.3 millones. </w:t>
      </w:r>
    </w:p>
    <w:p w14:paraId="262A36DE" w14:textId="77777777" w:rsidR="004A66F0" w:rsidRPr="004A66F0" w:rsidRDefault="004A66F0" w:rsidP="008D7BB4">
      <w:pPr>
        <w:spacing w:line="276" w:lineRule="auto"/>
        <w:contextualSpacing/>
        <w:jc w:val="both"/>
        <w:rPr>
          <w:rFonts w:ascii="Times New Roman" w:eastAsia="Times New Roman" w:hAnsi="Times New Roman" w:cs="Times New Roman"/>
          <w:sz w:val="22"/>
          <w:szCs w:val="22"/>
          <w:lang w:val="es-ES_tradnl" w:eastAsia="es-ES"/>
        </w:rPr>
      </w:pPr>
    </w:p>
    <w:p w14:paraId="3C87B884" w14:textId="77777777" w:rsidR="004A66F0" w:rsidRPr="004A66F0" w:rsidRDefault="004A66F0" w:rsidP="008D7BB4">
      <w:pPr>
        <w:spacing w:line="276" w:lineRule="auto"/>
        <w:contextualSpacing/>
        <w:jc w:val="both"/>
        <w:rPr>
          <w:rFonts w:ascii="Times New Roman" w:eastAsia="Times New Roman" w:hAnsi="Times New Roman" w:cs="Times New Roman"/>
          <w:sz w:val="22"/>
          <w:szCs w:val="22"/>
          <w:lang w:val="es-ES_tradnl" w:eastAsia="es-ES"/>
        </w:rPr>
      </w:pPr>
      <w:r w:rsidRPr="004A66F0">
        <w:rPr>
          <w:rFonts w:ascii="Times New Roman" w:eastAsia="Times New Roman" w:hAnsi="Times New Roman" w:cs="Times New Roman"/>
          <w:sz w:val="22"/>
          <w:szCs w:val="22"/>
          <w:lang w:val="es-ES_tradnl" w:eastAsia="es-ES"/>
        </w:rPr>
        <w:t xml:space="preserve">Entre los tres subprogramas que fueron creados para la atención de los Estados de Calamidad por la depresión tropical ETA, ciclón tropical Julia y por la época lluviosa y sistemas de baja presión, se tiene una ejecución de Q2,207.1 millones, con un nivel de 95.8%. </w:t>
      </w:r>
    </w:p>
    <w:p w14:paraId="3DBE7FF0" w14:textId="77777777" w:rsidR="004A66F0" w:rsidRPr="004A66F0" w:rsidRDefault="004A66F0" w:rsidP="008D7BB4">
      <w:pPr>
        <w:spacing w:line="276" w:lineRule="auto"/>
        <w:contextualSpacing/>
        <w:jc w:val="both"/>
        <w:rPr>
          <w:rFonts w:ascii="Times New Roman" w:eastAsia="Times New Roman" w:hAnsi="Times New Roman" w:cs="Times New Roman"/>
          <w:sz w:val="22"/>
          <w:szCs w:val="22"/>
          <w:lang w:val="es-ES_tradnl" w:eastAsia="es-ES"/>
        </w:rPr>
      </w:pPr>
    </w:p>
    <w:p w14:paraId="503EE7D0" w14:textId="2BDC1EEC" w:rsidR="004A66F0" w:rsidRPr="004A66F0" w:rsidRDefault="00FE0B42" w:rsidP="008D7BB4">
      <w:pPr>
        <w:spacing w:line="276" w:lineRule="auto"/>
        <w:contextualSpacing/>
        <w:jc w:val="center"/>
        <w:rPr>
          <w:rFonts w:ascii="Times New Roman" w:eastAsia="Times New Roman" w:hAnsi="Times New Roman" w:cs="Times New Roman"/>
          <w:b/>
          <w:sz w:val="22"/>
          <w:szCs w:val="22"/>
          <w:lang w:val="es-ES_tradnl" w:eastAsia="es-ES"/>
        </w:rPr>
      </w:pPr>
      <w:bookmarkStart w:id="52" w:name="_Toc125534811"/>
      <w:r w:rsidRPr="0014283B">
        <w:rPr>
          <w:rFonts w:ascii="Times New Roman" w:hAnsi="Times New Roman" w:cs="Times New Roman"/>
          <w:b/>
          <w:bCs/>
          <w:sz w:val="22"/>
          <w:szCs w:val="22"/>
        </w:rPr>
        <w:lastRenderedPageBreak/>
        <w:t xml:space="preserve">Tabla </w:t>
      </w:r>
      <w:r w:rsidRPr="0014283B">
        <w:rPr>
          <w:rFonts w:ascii="Times New Roman" w:hAnsi="Times New Roman" w:cs="Times New Roman"/>
          <w:b/>
          <w:bCs/>
          <w:sz w:val="22"/>
          <w:szCs w:val="22"/>
        </w:rPr>
        <w:fldChar w:fldCharType="begin"/>
      </w:r>
      <w:r w:rsidRPr="0014283B">
        <w:rPr>
          <w:rFonts w:ascii="Times New Roman" w:hAnsi="Times New Roman" w:cs="Times New Roman"/>
          <w:b/>
          <w:bCs/>
          <w:sz w:val="22"/>
          <w:szCs w:val="22"/>
        </w:rPr>
        <w:instrText xml:space="preserve"> SEQ Tabla \* ARABIC </w:instrText>
      </w:r>
      <w:r w:rsidRPr="0014283B">
        <w:rPr>
          <w:rFonts w:ascii="Times New Roman" w:hAnsi="Times New Roman" w:cs="Times New Roman"/>
          <w:b/>
          <w:bCs/>
          <w:sz w:val="22"/>
          <w:szCs w:val="22"/>
        </w:rPr>
        <w:fldChar w:fldCharType="separate"/>
      </w:r>
      <w:r w:rsidR="006F4BE5">
        <w:rPr>
          <w:rFonts w:ascii="Times New Roman" w:hAnsi="Times New Roman" w:cs="Times New Roman"/>
          <w:b/>
          <w:bCs/>
          <w:noProof/>
          <w:sz w:val="22"/>
          <w:szCs w:val="22"/>
        </w:rPr>
        <w:t>2</w:t>
      </w:r>
      <w:r w:rsidRPr="0014283B">
        <w:rPr>
          <w:rFonts w:ascii="Times New Roman" w:hAnsi="Times New Roman" w:cs="Times New Roman"/>
          <w:b/>
          <w:bCs/>
          <w:sz w:val="22"/>
          <w:szCs w:val="22"/>
        </w:rPr>
        <w:fldChar w:fldCharType="end"/>
      </w:r>
      <w:r w:rsidRPr="0014283B">
        <w:rPr>
          <w:rFonts w:ascii="Times New Roman" w:hAnsi="Times New Roman" w:cs="Times New Roman"/>
          <w:b/>
          <w:bCs/>
          <w:sz w:val="22"/>
          <w:szCs w:val="22"/>
        </w:rPr>
        <w:t>.</w:t>
      </w:r>
      <w:r w:rsidRPr="0014283B">
        <w:rPr>
          <w:sz w:val="22"/>
          <w:szCs w:val="22"/>
        </w:rPr>
        <w:t xml:space="preserve"> </w:t>
      </w:r>
      <w:r w:rsidR="004A66F0" w:rsidRPr="004A66F0">
        <w:rPr>
          <w:rFonts w:ascii="Times New Roman" w:eastAsia="Times New Roman" w:hAnsi="Times New Roman" w:cs="Times New Roman"/>
          <w:b/>
          <w:sz w:val="22"/>
          <w:szCs w:val="22"/>
          <w:lang w:val="es-ES_tradnl" w:eastAsia="es-ES"/>
        </w:rPr>
        <w:t>Seguimiento de Programas en atención a las declaratorias de Estados de Calamidad</w:t>
      </w:r>
      <w:bookmarkEnd w:id="52"/>
    </w:p>
    <w:p w14:paraId="184FF74C" w14:textId="77777777" w:rsidR="004A66F0" w:rsidRPr="004A66F0" w:rsidRDefault="004A66F0" w:rsidP="008D7BB4">
      <w:pPr>
        <w:spacing w:line="276" w:lineRule="auto"/>
        <w:contextualSpacing/>
        <w:jc w:val="center"/>
        <w:rPr>
          <w:rFonts w:ascii="Times New Roman" w:eastAsia="Times New Roman" w:hAnsi="Times New Roman" w:cs="Times New Roman"/>
          <w:sz w:val="20"/>
          <w:szCs w:val="22"/>
          <w:lang w:val="es-ES_tradnl" w:eastAsia="es-ES"/>
        </w:rPr>
      </w:pPr>
      <w:r w:rsidRPr="004A66F0">
        <w:rPr>
          <w:rFonts w:ascii="Times New Roman" w:eastAsia="Times New Roman" w:hAnsi="Times New Roman" w:cs="Times New Roman"/>
          <w:sz w:val="20"/>
          <w:szCs w:val="22"/>
          <w:lang w:val="es-ES_tradnl" w:eastAsia="es-ES"/>
        </w:rPr>
        <w:t xml:space="preserve">Millones de quetzales y porcentajes </w:t>
      </w:r>
    </w:p>
    <w:tbl>
      <w:tblPr>
        <w:tblW w:w="8971" w:type="dxa"/>
        <w:jc w:val="center"/>
        <w:tblCellMar>
          <w:left w:w="70" w:type="dxa"/>
          <w:right w:w="70" w:type="dxa"/>
        </w:tblCellMar>
        <w:tblLook w:val="04A0" w:firstRow="1" w:lastRow="0" w:firstColumn="1" w:lastColumn="0" w:noHBand="0" w:noVBand="1"/>
      </w:tblPr>
      <w:tblGrid>
        <w:gridCol w:w="4689"/>
        <w:gridCol w:w="1519"/>
        <w:gridCol w:w="1382"/>
        <w:gridCol w:w="1381"/>
      </w:tblGrid>
      <w:tr w:rsidR="004A66F0" w:rsidRPr="004A66F0" w14:paraId="6D7E69BC" w14:textId="77777777" w:rsidTr="001659B1">
        <w:trPr>
          <w:trHeight w:val="229"/>
          <w:jc w:val="center"/>
        </w:trPr>
        <w:tc>
          <w:tcPr>
            <w:tcW w:w="4689" w:type="dxa"/>
            <w:vMerge w:val="restart"/>
            <w:tcBorders>
              <w:top w:val="single" w:sz="8" w:space="0" w:color="auto"/>
              <w:left w:val="single" w:sz="8" w:space="0" w:color="auto"/>
              <w:bottom w:val="single" w:sz="8" w:space="0" w:color="000000"/>
              <w:right w:val="single" w:sz="8" w:space="0" w:color="auto"/>
            </w:tcBorders>
            <w:shd w:val="clear" w:color="000000" w:fill="1F4E78"/>
            <w:noWrap/>
            <w:vAlign w:val="center"/>
            <w:hideMark/>
          </w:tcPr>
          <w:p w14:paraId="4ECEE531" w14:textId="77777777" w:rsidR="004A66F0" w:rsidRPr="004A66F0" w:rsidRDefault="004A66F0" w:rsidP="008D7BB4">
            <w:pPr>
              <w:spacing w:line="276" w:lineRule="auto"/>
              <w:contextualSpacing/>
              <w:jc w:val="center"/>
              <w:rPr>
                <w:rFonts w:ascii="Times New Roman" w:eastAsia="Times New Roman" w:hAnsi="Times New Roman" w:cs="Times New Roman"/>
                <w:b/>
                <w:bCs/>
                <w:color w:val="FFFFFF"/>
                <w:sz w:val="18"/>
                <w:szCs w:val="18"/>
                <w:lang w:eastAsia="es-GT"/>
              </w:rPr>
            </w:pPr>
            <w:r w:rsidRPr="004A66F0">
              <w:rPr>
                <w:rFonts w:ascii="Times New Roman" w:eastAsia="Times New Roman" w:hAnsi="Times New Roman" w:cs="Times New Roman"/>
                <w:b/>
                <w:bCs/>
                <w:color w:val="FFFFFF"/>
                <w:sz w:val="18"/>
                <w:szCs w:val="18"/>
                <w:lang w:eastAsia="es-GT"/>
              </w:rPr>
              <w:t>Actividades</w:t>
            </w:r>
          </w:p>
        </w:tc>
        <w:tc>
          <w:tcPr>
            <w:tcW w:w="2901" w:type="dxa"/>
            <w:gridSpan w:val="2"/>
            <w:tcBorders>
              <w:top w:val="single" w:sz="8" w:space="0" w:color="auto"/>
              <w:left w:val="nil"/>
              <w:bottom w:val="single" w:sz="8" w:space="0" w:color="auto"/>
              <w:right w:val="single" w:sz="8" w:space="0" w:color="000000"/>
            </w:tcBorders>
            <w:shd w:val="clear" w:color="000000" w:fill="1F4E78"/>
            <w:noWrap/>
            <w:vAlign w:val="center"/>
            <w:hideMark/>
          </w:tcPr>
          <w:p w14:paraId="723B66AF" w14:textId="77777777" w:rsidR="004A66F0" w:rsidRPr="004A66F0" w:rsidRDefault="004A66F0" w:rsidP="008D7BB4">
            <w:pPr>
              <w:spacing w:line="276" w:lineRule="auto"/>
              <w:contextualSpacing/>
              <w:jc w:val="center"/>
              <w:rPr>
                <w:rFonts w:ascii="Times New Roman" w:eastAsia="Times New Roman" w:hAnsi="Times New Roman" w:cs="Times New Roman"/>
                <w:b/>
                <w:bCs/>
                <w:color w:val="FFFFFF"/>
                <w:sz w:val="18"/>
                <w:szCs w:val="18"/>
                <w:lang w:eastAsia="es-GT"/>
              </w:rPr>
            </w:pPr>
            <w:r w:rsidRPr="004A66F0">
              <w:rPr>
                <w:rFonts w:ascii="Times New Roman" w:eastAsia="Times New Roman" w:hAnsi="Times New Roman" w:cs="Times New Roman"/>
                <w:b/>
                <w:bCs/>
                <w:color w:val="FFFFFF"/>
                <w:sz w:val="18"/>
                <w:szCs w:val="18"/>
                <w:lang w:eastAsia="es-GT"/>
              </w:rPr>
              <w:t>2022</w:t>
            </w:r>
          </w:p>
        </w:tc>
        <w:tc>
          <w:tcPr>
            <w:tcW w:w="1381" w:type="dxa"/>
            <w:vMerge w:val="restart"/>
            <w:tcBorders>
              <w:top w:val="single" w:sz="8" w:space="0" w:color="auto"/>
              <w:left w:val="nil"/>
              <w:bottom w:val="single" w:sz="8" w:space="0" w:color="000000"/>
              <w:right w:val="single" w:sz="8" w:space="0" w:color="auto"/>
            </w:tcBorders>
            <w:shd w:val="clear" w:color="000000" w:fill="1F4E78"/>
            <w:noWrap/>
            <w:vAlign w:val="center"/>
            <w:hideMark/>
          </w:tcPr>
          <w:p w14:paraId="6BDF3844" w14:textId="77777777" w:rsidR="004A66F0" w:rsidRPr="004A66F0" w:rsidRDefault="004A66F0" w:rsidP="008D7BB4">
            <w:pPr>
              <w:spacing w:line="276" w:lineRule="auto"/>
              <w:contextualSpacing/>
              <w:jc w:val="center"/>
              <w:rPr>
                <w:rFonts w:ascii="Times New Roman" w:eastAsia="Times New Roman" w:hAnsi="Times New Roman" w:cs="Times New Roman"/>
                <w:b/>
                <w:bCs/>
                <w:color w:val="FFFFFF"/>
                <w:sz w:val="18"/>
                <w:szCs w:val="18"/>
                <w:lang w:eastAsia="es-GT"/>
              </w:rPr>
            </w:pPr>
            <w:r w:rsidRPr="004A66F0">
              <w:rPr>
                <w:rFonts w:ascii="Times New Roman" w:eastAsia="Times New Roman" w:hAnsi="Times New Roman" w:cs="Times New Roman"/>
                <w:b/>
                <w:bCs/>
                <w:color w:val="FFFFFF"/>
                <w:sz w:val="18"/>
                <w:szCs w:val="18"/>
                <w:lang w:eastAsia="es-GT"/>
              </w:rPr>
              <w:t>% de Ejecución</w:t>
            </w:r>
          </w:p>
        </w:tc>
      </w:tr>
      <w:tr w:rsidR="004A66F0" w:rsidRPr="004A66F0" w14:paraId="017B8248" w14:textId="77777777" w:rsidTr="001659B1">
        <w:trPr>
          <w:trHeight w:val="574"/>
          <w:jc w:val="center"/>
        </w:trPr>
        <w:tc>
          <w:tcPr>
            <w:tcW w:w="4689" w:type="dxa"/>
            <w:vMerge/>
            <w:tcBorders>
              <w:top w:val="single" w:sz="8" w:space="0" w:color="auto"/>
              <w:left w:val="single" w:sz="8" w:space="0" w:color="auto"/>
              <w:bottom w:val="single" w:sz="8" w:space="0" w:color="000000"/>
              <w:right w:val="single" w:sz="8" w:space="0" w:color="auto"/>
            </w:tcBorders>
            <w:vAlign w:val="center"/>
            <w:hideMark/>
          </w:tcPr>
          <w:p w14:paraId="25AB33D4" w14:textId="77777777" w:rsidR="004A66F0" w:rsidRPr="004A66F0" w:rsidRDefault="004A66F0" w:rsidP="008D7BB4">
            <w:pPr>
              <w:spacing w:line="276" w:lineRule="auto"/>
              <w:contextualSpacing/>
              <w:rPr>
                <w:rFonts w:ascii="Times New Roman" w:eastAsia="Times New Roman" w:hAnsi="Times New Roman" w:cs="Times New Roman"/>
                <w:b/>
                <w:bCs/>
                <w:color w:val="FFFFFF"/>
                <w:sz w:val="18"/>
                <w:szCs w:val="18"/>
                <w:lang w:eastAsia="es-GT"/>
              </w:rPr>
            </w:pPr>
          </w:p>
        </w:tc>
        <w:tc>
          <w:tcPr>
            <w:tcW w:w="1519" w:type="dxa"/>
            <w:tcBorders>
              <w:top w:val="nil"/>
              <w:left w:val="nil"/>
              <w:bottom w:val="single" w:sz="8" w:space="0" w:color="auto"/>
              <w:right w:val="single" w:sz="8" w:space="0" w:color="auto"/>
            </w:tcBorders>
            <w:shd w:val="clear" w:color="000000" w:fill="1F4E78"/>
            <w:vAlign w:val="center"/>
            <w:hideMark/>
          </w:tcPr>
          <w:p w14:paraId="33F02076" w14:textId="77777777" w:rsidR="004A66F0" w:rsidRPr="004A66F0" w:rsidRDefault="004A66F0" w:rsidP="008D7BB4">
            <w:pPr>
              <w:spacing w:line="276" w:lineRule="auto"/>
              <w:contextualSpacing/>
              <w:jc w:val="center"/>
              <w:rPr>
                <w:rFonts w:ascii="Times New Roman" w:eastAsia="Times New Roman" w:hAnsi="Times New Roman" w:cs="Times New Roman"/>
                <w:b/>
                <w:bCs/>
                <w:color w:val="FFFFFF"/>
                <w:sz w:val="18"/>
                <w:szCs w:val="18"/>
                <w:lang w:eastAsia="es-GT"/>
              </w:rPr>
            </w:pPr>
            <w:r w:rsidRPr="004A66F0">
              <w:rPr>
                <w:rFonts w:ascii="Times New Roman" w:eastAsia="Times New Roman" w:hAnsi="Times New Roman" w:cs="Times New Roman"/>
                <w:b/>
                <w:bCs/>
                <w:color w:val="FFFFFF"/>
                <w:sz w:val="18"/>
                <w:szCs w:val="18"/>
                <w:lang w:eastAsia="es-GT"/>
              </w:rPr>
              <w:t>Presupuesto Vigente</w:t>
            </w:r>
          </w:p>
        </w:tc>
        <w:tc>
          <w:tcPr>
            <w:tcW w:w="1382" w:type="dxa"/>
            <w:tcBorders>
              <w:top w:val="nil"/>
              <w:left w:val="nil"/>
              <w:bottom w:val="single" w:sz="8" w:space="0" w:color="auto"/>
              <w:right w:val="single" w:sz="8" w:space="0" w:color="auto"/>
            </w:tcBorders>
            <w:shd w:val="clear" w:color="000000" w:fill="1F4E78"/>
            <w:noWrap/>
            <w:vAlign w:val="center"/>
            <w:hideMark/>
          </w:tcPr>
          <w:p w14:paraId="1E1A1D8B" w14:textId="77777777" w:rsidR="004A66F0" w:rsidRPr="004A66F0" w:rsidRDefault="004A66F0" w:rsidP="008D7BB4">
            <w:pPr>
              <w:spacing w:line="276" w:lineRule="auto"/>
              <w:contextualSpacing/>
              <w:jc w:val="center"/>
              <w:rPr>
                <w:rFonts w:ascii="Times New Roman" w:eastAsia="Times New Roman" w:hAnsi="Times New Roman" w:cs="Times New Roman"/>
                <w:b/>
                <w:bCs/>
                <w:color w:val="FFFFFF"/>
                <w:sz w:val="18"/>
                <w:szCs w:val="18"/>
                <w:lang w:eastAsia="es-GT"/>
              </w:rPr>
            </w:pPr>
            <w:r w:rsidRPr="004A66F0">
              <w:rPr>
                <w:rFonts w:ascii="Times New Roman" w:eastAsia="Times New Roman" w:hAnsi="Times New Roman" w:cs="Times New Roman"/>
                <w:b/>
                <w:bCs/>
                <w:color w:val="FFFFFF"/>
                <w:sz w:val="18"/>
                <w:szCs w:val="18"/>
                <w:lang w:eastAsia="es-GT"/>
              </w:rPr>
              <w:t>Ejecución</w:t>
            </w:r>
          </w:p>
        </w:tc>
        <w:tc>
          <w:tcPr>
            <w:tcW w:w="1381" w:type="dxa"/>
            <w:vMerge/>
            <w:tcBorders>
              <w:top w:val="single" w:sz="8" w:space="0" w:color="auto"/>
              <w:left w:val="nil"/>
              <w:bottom w:val="single" w:sz="8" w:space="0" w:color="000000"/>
              <w:right w:val="single" w:sz="8" w:space="0" w:color="auto"/>
            </w:tcBorders>
            <w:vAlign w:val="center"/>
            <w:hideMark/>
          </w:tcPr>
          <w:p w14:paraId="6AEC2CB1" w14:textId="77777777" w:rsidR="004A66F0" w:rsidRPr="004A66F0" w:rsidRDefault="004A66F0" w:rsidP="008D7BB4">
            <w:pPr>
              <w:spacing w:line="276" w:lineRule="auto"/>
              <w:contextualSpacing/>
              <w:rPr>
                <w:rFonts w:ascii="Times New Roman" w:eastAsia="Times New Roman" w:hAnsi="Times New Roman" w:cs="Times New Roman"/>
                <w:b/>
                <w:bCs/>
                <w:color w:val="FFFFFF"/>
                <w:sz w:val="18"/>
                <w:szCs w:val="18"/>
                <w:lang w:eastAsia="es-GT"/>
              </w:rPr>
            </w:pPr>
          </w:p>
        </w:tc>
      </w:tr>
      <w:tr w:rsidR="004A66F0" w:rsidRPr="004A66F0" w14:paraId="62616D05" w14:textId="77777777" w:rsidTr="001659B1">
        <w:trPr>
          <w:trHeight w:val="331"/>
          <w:jc w:val="center"/>
        </w:trPr>
        <w:tc>
          <w:tcPr>
            <w:tcW w:w="4689" w:type="dxa"/>
            <w:tcBorders>
              <w:top w:val="nil"/>
              <w:left w:val="single" w:sz="8" w:space="0" w:color="auto"/>
              <w:bottom w:val="nil"/>
              <w:right w:val="nil"/>
            </w:tcBorders>
            <w:noWrap/>
            <w:vAlign w:val="center"/>
            <w:hideMark/>
          </w:tcPr>
          <w:p w14:paraId="7A41C0EB" w14:textId="77777777" w:rsidR="004A66F0" w:rsidRPr="004A66F0" w:rsidRDefault="004A66F0" w:rsidP="008D7BB4">
            <w:pPr>
              <w:spacing w:line="276" w:lineRule="auto"/>
              <w:contextualSpacing/>
              <w:jc w:val="center"/>
              <w:rPr>
                <w:rFonts w:ascii="Times New Roman" w:eastAsia="Times New Roman" w:hAnsi="Times New Roman" w:cs="Times New Roman"/>
                <w:b/>
                <w:bCs/>
                <w:sz w:val="18"/>
                <w:szCs w:val="18"/>
                <w:lang w:eastAsia="es-GT"/>
              </w:rPr>
            </w:pPr>
            <w:r w:rsidRPr="004A66F0">
              <w:rPr>
                <w:rFonts w:ascii="Times New Roman" w:eastAsia="Times New Roman" w:hAnsi="Times New Roman" w:cs="Times New Roman"/>
                <w:b/>
                <w:bCs/>
                <w:sz w:val="18"/>
                <w:szCs w:val="18"/>
                <w:lang w:eastAsia="es-GT"/>
              </w:rPr>
              <w:t>Total</w:t>
            </w:r>
          </w:p>
        </w:tc>
        <w:tc>
          <w:tcPr>
            <w:tcW w:w="1519" w:type="dxa"/>
            <w:tcBorders>
              <w:top w:val="nil"/>
              <w:left w:val="single" w:sz="8" w:space="0" w:color="auto"/>
              <w:bottom w:val="nil"/>
              <w:right w:val="single" w:sz="8" w:space="0" w:color="auto"/>
            </w:tcBorders>
            <w:vAlign w:val="center"/>
            <w:hideMark/>
          </w:tcPr>
          <w:p w14:paraId="4793037D" w14:textId="77777777" w:rsidR="004A66F0" w:rsidRPr="004A66F0" w:rsidRDefault="004A66F0" w:rsidP="008D7BB4">
            <w:pPr>
              <w:spacing w:line="276" w:lineRule="auto"/>
              <w:contextualSpacing/>
              <w:jc w:val="center"/>
              <w:rPr>
                <w:rFonts w:ascii="Times New Roman" w:eastAsia="Times New Roman" w:hAnsi="Times New Roman" w:cs="Times New Roman"/>
                <w:b/>
                <w:bCs/>
                <w:sz w:val="18"/>
                <w:szCs w:val="18"/>
                <w:lang w:eastAsia="es-GT"/>
              </w:rPr>
            </w:pPr>
            <w:r w:rsidRPr="004A66F0">
              <w:rPr>
                <w:rFonts w:ascii="Times New Roman" w:eastAsia="Times New Roman" w:hAnsi="Times New Roman" w:cs="Times New Roman"/>
                <w:b/>
                <w:bCs/>
                <w:sz w:val="18"/>
                <w:szCs w:val="18"/>
                <w:lang w:eastAsia="es-GT"/>
              </w:rPr>
              <w:t>2,304.4</w:t>
            </w:r>
          </w:p>
        </w:tc>
        <w:tc>
          <w:tcPr>
            <w:tcW w:w="1382" w:type="dxa"/>
            <w:tcBorders>
              <w:top w:val="nil"/>
              <w:left w:val="nil"/>
              <w:bottom w:val="nil"/>
              <w:right w:val="single" w:sz="8" w:space="0" w:color="auto"/>
            </w:tcBorders>
            <w:vAlign w:val="center"/>
            <w:hideMark/>
          </w:tcPr>
          <w:p w14:paraId="6DF9AB0C" w14:textId="77777777" w:rsidR="004A66F0" w:rsidRPr="004A66F0" w:rsidRDefault="004A66F0" w:rsidP="008D7BB4">
            <w:pPr>
              <w:spacing w:line="276" w:lineRule="auto"/>
              <w:contextualSpacing/>
              <w:jc w:val="center"/>
              <w:rPr>
                <w:rFonts w:ascii="Times New Roman" w:eastAsia="Times New Roman" w:hAnsi="Times New Roman" w:cs="Times New Roman"/>
                <w:b/>
                <w:bCs/>
                <w:sz w:val="18"/>
                <w:szCs w:val="18"/>
                <w:lang w:eastAsia="es-GT"/>
              </w:rPr>
            </w:pPr>
            <w:r w:rsidRPr="004A66F0">
              <w:rPr>
                <w:rFonts w:ascii="Times New Roman" w:eastAsia="Times New Roman" w:hAnsi="Times New Roman" w:cs="Times New Roman"/>
                <w:b/>
                <w:bCs/>
                <w:sz w:val="18"/>
                <w:szCs w:val="18"/>
                <w:lang w:eastAsia="es-GT"/>
              </w:rPr>
              <w:t>2,207.1</w:t>
            </w:r>
          </w:p>
        </w:tc>
        <w:tc>
          <w:tcPr>
            <w:tcW w:w="1381" w:type="dxa"/>
            <w:tcBorders>
              <w:top w:val="nil"/>
              <w:left w:val="nil"/>
              <w:bottom w:val="nil"/>
              <w:right w:val="single" w:sz="8" w:space="0" w:color="auto"/>
            </w:tcBorders>
            <w:noWrap/>
            <w:vAlign w:val="center"/>
            <w:hideMark/>
          </w:tcPr>
          <w:p w14:paraId="1E23E6FE" w14:textId="77777777" w:rsidR="004A66F0" w:rsidRPr="004A66F0" w:rsidRDefault="004A66F0" w:rsidP="008D7BB4">
            <w:pPr>
              <w:spacing w:line="276" w:lineRule="auto"/>
              <w:contextualSpacing/>
              <w:jc w:val="center"/>
              <w:rPr>
                <w:rFonts w:ascii="Times New Roman" w:eastAsia="Times New Roman" w:hAnsi="Times New Roman" w:cs="Times New Roman"/>
                <w:b/>
                <w:bCs/>
                <w:sz w:val="18"/>
                <w:szCs w:val="18"/>
                <w:lang w:eastAsia="es-GT"/>
              </w:rPr>
            </w:pPr>
            <w:r w:rsidRPr="004A66F0">
              <w:rPr>
                <w:rFonts w:ascii="Times New Roman" w:eastAsia="Times New Roman" w:hAnsi="Times New Roman" w:cs="Times New Roman"/>
                <w:b/>
                <w:bCs/>
                <w:sz w:val="18"/>
                <w:szCs w:val="18"/>
                <w:lang w:eastAsia="es-GT"/>
              </w:rPr>
              <w:t>95.8</w:t>
            </w:r>
          </w:p>
        </w:tc>
      </w:tr>
      <w:tr w:rsidR="004A66F0" w:rsidRPr="004A66F0" w14:paraId="2B64C5B3" w14:textId="77777777" w:rsidTr="001659B1">
        <w:trPr>
          <w:trHeight w:val="446"/>
          <w:jc w:val="center"/>
        </w:trPr>
        <w:tc>
          <w:tcPr>
            <w:tcW w:w="4689" w:type="dxa"/>
            <w:tcBorders>
              <w:top w:val="single" w:sz="8" w:space="0" w:color="auto"/>
              <w:left w:val="single" w:sz="8" w:space="0" w:color="auto"/>
              <w:bottom w:val="single" w:sz="8" w:space="0" w:color="auto"/>
              <w:right w:val="nil"/>
            </w:tcBorders>
            <w:shd w:val="clear" w:color="000000" w:fill="BFBFBF"/>
            <w:vAlign w:val="center"/>
            <w:hideMark/>
          </w:tcPr>
          <w:p w14:paraId="4EA05559" w14:textId="77777777" w:rsidR="004A66F0" w:rsidRPr="004A66F0" w:rsidRDefault="004A66F0" w:rsidP="008D7BB4">
            <w:pPr>
              <w:spacing w:line="276" w:lineRule="auto"/>
              <w:contextualSpacing/>
              <w:jc w:val="center"/>
              <w:rPr>
                <w:rFonts w:ascii="Times New Roman" w:eastAsia="Times New Roman" w:hAnsi="Times New Roman" w:cs="Times New Roman"/>
                <w:b/>
                <w:bCs/>
                <w:sz w:val="18"/>
                <w:szCs w:val="18"/>
                <w:lang w:eastAsia="es-GT"/>
              </w:rPr>
            </w:pPr>
            <w:r w:rsidRPr="004A66F0">
              <w:rPr>
                <w:rFonts w:ascii="Times New Roman" w:eastAsia="Times New Roman" w:hAnsi="Times New Roman" w:cs="Times New Roman"/>
                <w:b/>
                <w:bCs/>
                <w:sz w:val="18"/>
                <w:szCs w:val="18"/>
                <w:lang w:eastAsia="es-GT"/>
              </w:rPr>
              <w:t>Subprograma 11 Estado de Calamidad Pública por Depresión Tropical ETA (DG 20-2020 y 21-2020)</w:t>
            </w:r>
          </w:p>
        </w:tc>
        <w:tc>
          <w:tcPr>
            <w:tcW w:w="1519"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77F70CD2" w14:textId="77777777" w:rsidR="004A66F0" w:rsidRPr="004A66F0" w:rsidRDefault="004A66F0" w:rsidP="008D7BB4">
            <w:pPr>
              <w:spacing w:line="276" w:lineRule="auto"/>
              <w:contextualSpacing/>
              <w:jc w:val="center"/>
              <w:rPr>
                <w:rFonts w:ascii="Times New Roman" w:eastAsia="Times New Roman" w:hAnsi="Times New Roman" w:cs="Times New Roman"/>
                <w:b/>
                <w:bCs/>
                <w:sz w:val="18"/>
                <w:szCs w:val="18"/>
                <w:lang w:eastAsia="es-GT"/>
              </w:rPr>
            </w:pPr>
            <w:r w:rsidRPr="004A66F0">
              <w:rPr>
                <w:rFonts w:ascii="Times New Roman" w:eastAsia="Times New Roman" w:hAnsi="Times New Roman" w:cs="Times New Roman"/>
                <w:b/>
                <w:bCs/>
                <w:sz w:val="18"/>
                <w:szCs w:val="18"/>
                <w:lang w:eastAsia="es-GT"/>
              </w:rPr>
              <w:t>565.0</w:t>
            </w:r>
          </w:p>
        </w:tc>
        <w:tc>
          <w:tcPr>
            <w:tcW w:w="1382" w:type="dxa"/>
            <w:tcBorders>
              <w:top w:val="single" w:sz="8" w:space="0" w:color="auto"/>
              <w:left w:val="nil"/>
              <w:bottom w:val="single" w:sz="8" w:space="0" w:color="auto"/>
              <w:right w:val="single" w:sz="8" w:space="0" w:color="auto"/>
            </w:tcBorders>
            <w:shd w:val="clear" w:color="000000" w:fill="BFBFBF"/>
            <w:noWrap/>
            <w:vAlign w:val="center"/>
            <w:hideMark/>
          </w:tcPr>
          <w:p w14:paraId="5BB3DE28" w14:textId="77777777" w:rsidR="004A66F0" w:rsidRPr="004A66F0" w:rsidRDefault="004A66F0" w:rsidP="008D7BB4">
            <w:pPr>
              <w:spacing w:line="276" w:lineRule="auto"/>
              <w:contextualSpacing/>
              <w:jc w:val="center"/>
              <w:rPr>
                <w:rFonts w:ascii="Times New Roman" w:eastAsia="Times New Roman" w:hAnsi="Times New Roman" w:cs="Times New Roman"/>
                <w:b/>
                <w:bCs/>
                <w:sz w:val="18"/>
                <w:szCs w:val="18"/>
                <w:lang w:eastAsia="es-GT"/>
              </w:rPr>
            </w:pPr>
            <w:r w:rsidRPr="004A66F0">
              <w:rPr>
                <w:rFonts w:ascii="Times New Roman" w:eastAsia="Times New Roman" w:hAnsi="Times New Roman" w:cs="Times New Roman"/>
                <w:b/>
                <w:bCs/>
                <w:sz w:val="18"/>
                <w:szCs w:val="18"/>
                <w:lang w:eastAsia="es-GT"/>
              </w:rPr>
              <w:t>550.6</w:t>
            </w:r>
          </w:p>
        </w:tc>
        <w:tc>
          <w:tcPr>
            <w:tcW w:w="1381" w:type="dxa"/>
            <w:tcBorders>
              <w:top w:val="single" w:sz="8" w:space="0" w:color="auto"/>
              <w:left w:val="nil"/>
              <w:bottom w:val="single" w:sz="8" w:space="0" w:color="auto"/>
              <w:right w:val="single" w:sz="8" w:space="0" w:color="auto"/>
            </w:tcBorders>
            <w:shd w:val="clear" w:color="000000" w:fill="BFBFBF"/>
            <w:noWrap/>
            <w:vAlign w:val="center"/>
            <w:hideMark/>
          </w:tcPr>
          <w:p w14:paraId="1E5E86C4" w14:textId="77777777" w:rsidR="004A66F0" w:rsidRPr="004A66F0" w:rsidRDefault="004A66F0" w:rsidP="008D7BB4">
            <w:pPr>
              <w:spacing w:line="276" w:lineRule="auto"/>
              <w:contextualSpacing/>
              <w:jc w:val="center"/>
              <w:rPr>
                <w:rFonts w:ascii="Times New Roman" w:eastAsia="Times New Roman" w:hAnsi="Times New Roman" w:cs="Times New Roman"/>
                <w:b/>
                <w:bCs/>
                <w:sz w:val="18"/>
                <w:szCs w:val="18"/>
                <w:lang w:eastAsia="es-GT"/>
              </w:rPr>
            </w:pPr>
            <w:r w:rsidRPr="004A66F0">
              <w:rPr>
                <w:rFonts w:ascii="Times New Roman" w:eastAsia="Times New Roman" w:hAnsi="Times New Roman" w:cs="Times New Roman"/>
                <w:b/>
                <w:bCs/>
                <w:sz w:val="18"/>
                <w:szCs w:val="18"/>
                <w:lang w:eastAsia="es-GT"/>
              </w:rPr>
              <w:t>97.5</w:t>
            </w:r>
          </w:p>
        </w:tc>
      </w:tr>
      <w:tr w:rsidR="004A66F0" w:rsidRPr="004A66F0" w14:paraId="1E29A0D3" w14:textId="77777777" w:rsidTr="001659B1">
        <w:trPr>
          <w:trHeight w:val="485"/>
          <w:jc w:val="center"/>
        </w:trPr>
        <w:tc>
          <w:tcPr>
            <w:tcW w:w="4689" w:type="dxa"/>
            <w:tcBorders>
              <w:top w:val="nil"/>
              <w:left w:val="single" w:sz="8" w:space="0" w:color="auto"/>
              <w:bottom w:val="nil"/>
              <w:right w:val="nil"/>
            </w:tcBorders>
            <w:vAlign w:val="center"/>
            <w:hideMark/>
          </w:tcPr>
          <w:p w14:paraId="54013C38" w14:textId="77777777" w:rsidR="004A66F0" w:rsidRPr="004A66F0" w:rsidRDefault="004A66F0" w:rsidP="008D7BB4">
            <w:pPr>
              <w:spacing w:line="276" w:lineRule="auto"/>
              <w:ind w:firstLineChars="200" w:firstLine="360"/>
              <w:contextualSpacing/>
              <w:rPr>
                <w:rFonts w:ascii="Times New Roman" w:eastAsia="Times New Roman" w:hAnsi="Times New Roman" w:cs="Times New Roman"/>
                <w:color w:val="000000"/>
                <w:sz w:val="18"/>
                <w:szCs w:val="18"/>
                <w:lang w:eastAsia="es-GT"/>
              </w:rPr>
            </w:pPr>
            <w:r w:rsidRPr="004A66F0">
              <w:rPr>
                <w:rFonts w:ascii="Times New Roman" w:eastAsia="Times New Roman" w:hAnsi="Times New Roman" w:cs="Times New Roman"/>
                <w:color w:val="000000"/>
                <w:sz w:val="18"/>
                <w:szCs w:val="18"/>
                <w:lang w:eastAsia="es-GT"/>
              </w:rPr>
              <w:t>Ministerio de Comunicaciones, Infraestructura y Vivienda</w:t>
            </w:r>
          </w:p>
        </w:tc>
        <w:tc>
          <w:tcPr>
            <w:tcW w:w="1519" w:type="dxa"/>
            <w:tcBorders>
              <w:top w:val="nil"/>
              <w:left w:val="single" w:sz="8" w:space="0" w:color="auto"/>
              <w:bottom w:val="nil"/>
              <w:right w:val="single" w:sz="8" w:space="0" w:color="auto"/>
            </w:tcBorders>
            <w:vAlign w:val="center"/>
            <w:hideMark/>
          </w:tcPr>
          <w:p w14:paraId="4E70022A" w14:textId="77777777" w:rsidR="004A66F0" w:rsidRPr="004A66F0" w:rsidRDefault="004A66F0" w:rsidP="008D7BB4">
            <w:pPr>
              <w:spacing w:line="276" w:lineRule="auto"/>
              <w:contextualSpacing/>
              <w:jc w:val="center"/>
              <w:rPr>
                <w:rFonts w:ascii="Times New Roman" w:eastAsia="Times New Roman" w:hAnsi="Times New Roman" w:cs="Times New Roman"/>
                <w:color w:val="000000"/>
                <w:sz w:val="18"/>
                <w:szCs w:val="18"/>
                <w:lang w:eastAsia="es-GT"/>
              </w:rPr>
            </w:pPr>
            <w:r w:rsidRPr="004A66F0">
              <w:rPr>
                <w:rFonts w:ascii="Times New Roman" w:eastAsia="Times New Roman" w:hAnsi="Times New Roman" w:cs="Times New Roman"/>
                <w:color w:val="000000"/>
                <w:sz w:val="18"/>
                <w:szCs w:val="18"/>
                <w:lang w:eastAsia="es-GT"/>
              </w:rPr>
              <w:t>565.0</w:t>
            </w:r>
          </w:p>
        </w:tc>
        <w:tc>
          <w:tcPr>
            <w:tcW w:w="1382" w:type="dxa"/>
            <w:tcBorders>
              <w:top w:val="nil"/>
              <w:left w:val="nil"/>
              <w:bottom w:val="nil"/>
              <w:right w:val="single" w:sz="8" w:space="0" w:color="auto"/>
            </w:tcBorders>
            <w:noWrap/>
            <w:vAlign w:val="center"/>
            <w:hideMark/>
          </w:tcPr>
          <w:p w14:paraId="3A0FEC96" w14:textId="77777777" w:rsidR="004A66F0" w:rsidRPr="004A66F0" w:rsidRDefault="004A66F0" w:rsidP="008D7BB4">
            <w:pPr>
              <w:spacing w:line="276" w:lineRule="auto"/>
              <w:contextualSpacing/>
              <w:jc w:val="center"/>
              <w:rPr>
                <w:rFonts w:ascii="Times New Roman" w:eastAsia="Times New Roman" w:hAnsi="Times New Roman" w:cs="Times New Roman"/>
                <w:color w:val="000000"/>
                <w:sz w:val="18"/>
                <w:szCs w:val="18"/>
                <w:lang w:eastAsia="es-GT"/>
              </w:rPr>
            </w:pPr>
            <w:r w:rsidRPr="004A66F0">
              <w:rPr>
                <w:rFonts w:ascii="Times New Roman" w:eastAsia="Times New Roman" w:hAnsi="Times New Roman" w:cs="Times New Roman"/>
                <w:color w:val="000000"/>
                <w:sz w:val="18"/>
                <w:szCs w:val="18"/>
                <w:lang w:eastAsia="es-GT"/>
              </w:rPr>
              <w:t>550.6</w:t>
            </w:r>
          </w:p>
        </w:tc>
        <w:tc>
          <w:tcPr>
            <w:tcW w:w="1381" w:type="dxa"/>
            <w:tcBorders>
              <w:top w:val="nil"/>
              <w:left w:val="nil"/>
              <w:bottom w:val="nil"/>
              <w:right w:val="single" w:sz="8" w:space="0" w:color="auto"/>
            </w:tcBorders>
            <w:noWrap/>
            <w:vAlign w:val="center"/>
            <w:hideMark/>
          </w:tcPr>
          <w:p w14:paraId="0FF3FC7A" w14:textId="77777777" w:rsidR="004A66F0" w:rsidRPr="004A66F0" w:rsidRDefault="004A66F0" w:rsidP="008D7BB4">
            <w:pPr>
              <w:spacing w:line="276" w:lineRule="auto"/>
              <w:contextualSpacing/>
              <w:jc w:val="center"/>
              <w:rPr>
                <w:rFonts w:ascii="Times New Roman" w:eastAsia="Times New Roman" w:hAnsi="Times New Roman" w:cs="Times New Roman"/>
                <w:color w:val="000000"/>
                <w:sz w:val="18"/>
                <w:szCs w:val="18"/>
                <w:lang w:eastAsia="es-GT"/>
              </w:rPr>
            </w:pPr>
            <w:r w:rsidRPr="004A66F0">
              <w:rPr>
                <w:rFonts w:ascii="Times New Roman" w:eastAsia="Times New Roman" w:hAnsi="Times New Roman" w:cs="Times New Roman"/>
                <w:color w:val="000000"/>
                <w:sz w:val="18"/>
                <w:szCs w:val="18"/>
                <w:lang w:eastAsia="es-GT"/>
              </w:rPr>
              <w:t>97.5</w:t>
            </w:r>
          </w:p>
        </w:tc>
      </w:tr>
      <w:tr w:rsidR="004A66F0" w:rsidRPr="004A66F0" w14:paraId="579BC79D" w14:textId="77777777" w:rsidTr="001659B1">
        <w:trPr>
          <w:trHeight w:val="446"/>
          <w:jc w:val="center"/>
        </w:trPr>
        <w:tc>
          <w:tcPr>
            <w:tcW w:w="4689" w:type="dxa"/>
            <w:tcBorders>
              <w:top w:val="single" w:sz="8" w:space="0" w:color="auto"/>
              <w:left w:val="single" w:sz="8" w:space="0" w:color="auto"/>
              <w:bottom w:val="single" w:sz="8" w:space="0" w:color="auto"/>
              <w:right w:val="nil"/>
            </w:tcBorders>
            <w:shd w:val="clear" w:color="000000" w:fill="BFBFBF"/>
            <w:vAlign w:val="center"/>
            <w:hideMark/>
          </w:tcPr>
          <w:p w14:paraId="3E0B8396" w14:textId="77777777" w:rsidR="004A66F0" w:rsidRPr="004A66F0" w:rsidRDefault="004A66F0" w:rsidP="008D7BB4">
            <w:pPr>
              <w:spacing w:line="276" w:lineRule="auto"/>
              <w:contextualSpacing/>
              <w:jc w:val="center"/>
              <w:rPr>
                <w:rFonts w:ascii="Times New Roman" w:eastAsia="Times New Roman" w:hAnsi="Times New Roman" w:cs="Times New Roman"/>
                <w:b/>
                <w:bCs/>
                <w:sz w:val="18"/>
                <w:szCs w:val="18"/>
                <w:lang w:eastAsia="es-GT"/>
              </w:rPr>
            </w:pPr>
            <w:r w:rsidRPr="004A66F0">
              <w:rPr>
                <w:rFonts w:ascii="Times New Roman" w:eastAsia="Times New Roman" w:hAnsi="Times New Roman" w:cs="Times New Roman"/>
                <w:b/>
                <w:bCs/>
                <w:sz w:val="18"/>
                <w:szCs w:val="18"/>
                <w:lang w:eastAsia="es-GT"/>
              </w:rPr>
              <w:t xml:space="preserve">Subprograma 14 Estado de Calamidad Pública por época lluviosa, temporada ciclónica y sistemas de baja presión </w:t>
            </w:r>
          </w:p>
        </w:tc>
        <w:tc>
          <w:tcPr>
            <w:tcW w:w="1519"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5AC3EF87" w14:textId="77777777" w:rsidR="004A66F0" w:rsidRPr="004A66F0" w:rsidRDefault="004A66F0" w:rsidP="008D7BB4">
            <w:pPr>
              <w:spacing w:line="276" w:lineRule="auto"/>
              <w:contextualSpacing/>
              <w:jc w:val="center"/>
              <w:rPr>
                <w:rFonts w:ascii="Times New Roman" w:eastAsia="Times New Roman" w:hAnsi="Times New Roman" w:cs="Times New Roman"/>
                <w:b/>
                <w:bCs/>
                <w:sz w:val="18"/>
                <w:szCs w:val="18"/>
                <w:lang w:eastAsia="es-GT"/>
              </w:rPr>
            </w:pPr>
            <w:r w:rsidRPr="004A66F0">
              <w:rPr>
                <w:rFonts w:ascii="Times New Roman" w:eastAsia="Times New Roman" w:hAnsi="Times New Roman" w:cs="Times New Roman"/>
                <w:b/>
                <w:bCs/>
                <w:sz w:val="18"/>
                <w:szCs w:val="18"/>
                <w:lang w:eastAsia="es-GT"/>
              </w:rPr>
              <w:t>960.0</w:t>
            </w:r>
          </w:p>
        </w:tc>
        <w:tc>
          <w:tcPr>
            <w:tcW w:w="1382" w:type="dxa"/>
            <w:tcBorders>
              <w:top w:val="single" w:sz="8" w:space="0" w:color="auto"/>
              <w:left w:val="nil"/>
              <w:bottom w:val="single" w:sz="8" w:space="0" w:color="auto"/>
              <w:right w:val="single" w:sz="8" w:space="0" w:color="auto"/>
            </w:tcBorders>
            <w:shd w:val="clear" w:color="000000" w:fill="BFBFBF"/>
            <w:noWrap/>
            <w:vAlign w:val="center"/>
            <w:hideMark/>
          </w:tcPr>
          <w:p w14:paraId="29C8E64F" w14:textId="77777777" w:rsidR="004A66F0" w:rsidRPr="004A66F0" w:rsidRDefault="004A66F0" w:rsidP="008D7BB4">
            <w:pPr>
              <w:spacing w:line="276" w:lineRule="auto"/>
              <w:contextualSpacing/>
              <w:jc w:val="center"/>
              <w:rPr>
                <w:rFonts w:ascii="Times New Roman" w:eastAsia="Times New Roman" w:hAnsi="Times New Roman" w:cs="Times New Roman"/>
                <w:b/>
                <w:bCs/>
                <w:sz w:val="18"/>
                <w:szCs w:val="18"/>
                <w:lang w:eastAsia="es-GT"/>
              </w:rPr>
            </w:pPr>
            <w:r w:rsidRPr="004A66F0">
              <w:rPr>
                <w:rFonts w:ascii="Times New Roman" w:eastAsia="Times New Roman" w:hAnsi="Times New Roman" w:cs="Times New Roman"/>
                <w:b/>
                <w:bCs/>
                <w:sz w:val="18"/>
                <w:szCs w:val="18"/>
                <w:lang w:eastAsia="es-GT"/>
              </w:rPr>
              <w:t>923.3</w:t>
            </w:r>
          </w:p>
        </w:tc>
        <w:tc>
          <w:tcPr>
            <w:tcW w:w="1381" w:type="dxa"/>
            <w:tcBorders>
              <w:top w:val="single" w:sz="8" w:space="0" w:color="auto"/>
              <w:left w:val="nil"/>
              <w:bottom w:val="single" w:sz="8" w:space="0" w:color="auto"/>
              <w:right w:val="single" w:sz="8" w:space="0" w:color="auto"/>
            </w:tcBorders>
            <w:shd w:val="clear" w:color="000000" w:fill="BFBFBF"/>
            <w:noWrap/>
            <w:vAlign w:val="center"/>
            <w:hideMark/>
          </w:tcPr>
          <w:p w14:paraId="1B383D7E" w14:textId="77777777" w:rsidR="004A66F0" w:rsidRPr="004A66F0" w:rsidRDefault="004A66F0" w:rsidP="008D7BB4">
            <w:pPr>
              <w:spacing w:line="276" w:lineRule="auto"/>
              <w:contextualSpacing/>
              <w:jc w:val="center"/>
              <w:rPr>
                <w:rFonts w:ascii="Times New Roman" w:eastAsia="Times New Roman" w:hAnsi="Times New Roman" w:cs="Times New Roman"/>
                <w:b/>
                <w:bCs/>
                <w:sz w:val="18"/>
                <w:szCs w:val="18"/>
                <w:lang w:eastAsia="es-GT"/>
              </w:rPr>
            </w:pPr>
            <w:r w:rsidRPr="004A66F0">
              <w:rPr>
                <w:rFonts w:ascii="Times New Roman" w:eastAsia="Times New Roman" w:hAnsi="Times New Roman" w:cs="Times New Roman"/>
                <w:b/>
                <w:bCs/>
                <w:sz w:val="18"/>
                <w:szCs w:val="18"/>
                <w:lang w:eastAsia="es-GT"/>
              </w:rPr>
              <w:t>96.2</w:t>
            </w:r>
          </w:p>
        </w:tc>
      </w:tr>
      <w:tr w:rsidR="004A66F0" w:rsidRPr="004A66F0" w14:paraId="41B0C18F" w14:textId="77777777" w:rsidTr="001659B1">
        <w:trPr>
          <w:trHeight w:val="306"/>
          <w:jc w:val="center"/>
        </w:trPr>
        <w:tc>
          <w:tcPr>
            <w:tcW w:w="4689" w:type="dxa"/>
            <w:tcBorders>
              <w:top w:val="nil"/>
              <w:left w:val="single" w:sz="8" w:space="0" w:color="auto"/>
              <w:bottom w:val="nil"/>
              <w:right w:val="nil"/>
            </w:tcBorders>
            <w:vAlign w:val="center"/>
            <w:hideMark/>
          </w:tcPr>
          <w:p w14:paraId="0E45BEC2" w14:textId="77777777" w:rsidR="004A66F0" w:rsidRPr="004A66F0" w:rsidRDefault="004A66F0" w:rsidP="008D7BB4">
            <w:pPr>
              <w:spacing w:line="276" w:lineRule="auto"/>
              <w:ind w:firstLineChars="200" w:firstLine="360"/>
              <w:contextualSpacing/>
              <w:rPr>
                <w:rFonts w:ascii="Times New Roman" w:eastAsia="Times New Roman" w:hAnsi="Times New Roman" w:cs="Times New Roman"/>
                <w:sz w:val="18"/>
                <w:szCs w:val="18"/>
                <w:lang w:eastAsia="es-GT"/>
              </w:rPr>
            </w:pPr>
            <w:r w:rsidRPr="004A66F0">
              <w:rPr>
                <w:rFonts w:ascii="Times New Roman" w:eastAsia="Times New Roman" w:hAnsi="Times New Roman" w:cs="Times New Roman"/>
                <w:sz w:val="18"/>
                <w:szCs w:val="18"/>
                <w:lang w:eastAsia="es-GT"/>
              </w:rPr>
              <w:t>Ministerio de la Defensa Nacional</w:t>
            </w:r>
          </w:p>
        </w:tc>
        <w:tc>
          <w:tcPr>
            <w:tcW w:w="1519" w:type="dxa"/>
            <w:tcBorders>
              <w:top w:val="nil"/>
              <w:left w:val="single" w:sz="8" w:space="0" w:color="auto"/>
              <w:bottom w:val="nil"/>
              <w:right w:val="single" w:sz="8" w:space="0" w:color="auto"/>
            </w:tcBorders>
            <w:noWrap/>
            <w:vAlign w:val="center"/>
            <w:hideMark/>
          </w:tcPr>
          <w:p w14:paraId="24B3E175" w14:textId="77777777" w:rsidR="004A66F0" w:rsidRPr="004A66F0" w:rsidRDefault="004A66F0" w:rsidP="008D7BB4">
            <w:pPr>
              <w:spacing w:line="276" w:lineRule="auto"/>
              <w:contextualSpacing/>
              <w:jc w:val="center"/>
              <w:rPr>
                <w:rFonts w:ascii="Times New Roman" w:eastAsia="Times New Roman" w:hAnsi="Times New Roman" w:cs="Times New Roman"/>
                <w:sz w:val="18"/>
                <w:szCs w:val="18"/>
                <w:lang w:eastAsia="es-GT"/>
              </w:rPr>
            </w:pPr>
            <w:r w:rsidRPr="004A66F0">
              <w:rPr>
                <w:rFonts w:ascii="Times New Roman" w:eastAsia="Times New Roman" w:hAnsi="Times New Roman" w:cs="Times New Roman"/>
                <w:sz w:val="18"/>
                <w:szCs w:val="18"/>
                <w:lang w:eastAsia="es-GT"/>
              </w:rPr>
              <w:t>139.3</w:t>
            </w:r>
          </w:p>
        </w:tc>
        <w:tc>
          <w:tcPr>
            <w:tcW w:w="1382" w:type="dxa"/>
            <w:tcBorders>
              <w:top w:val="nil"/>
              <w:left w:val="nil"/>
              <w:bottom w:val="nil"/>
              <w:right w:val="single" w:sz="8" w:space="0" w:color="auto"/>
            </w:tcBorders>
            <w:noWrap/>
            <w:vAlign w:val="center"/>
            <w:hideMark/>
          </w:tcPr>
          <w:p w14:paraId="23DD1C33" w14:textId="77777777" w:rsidR="004A66F0" w:rsidRPr="004A66F0" w:rsidRDefault="004A66F0" w:rsidP="008D7BB4">
            <w:pPr>
              <w:spacing w:line="276" w:lineRule="auto"/>
              <w:contextualSpacing/>
              <w:jc w:val="center"/>
              <w:rPr>
                <w:rFonts w:ascii="Times New Roman" w:eastAsia="Times New Roman" w:hAnsi="Times New Roman" w:cs="Times New Roman"/>
                <w:sz w:val="18"/>
                <w:szCs w:val="18"/>
                <w:lang w:eastAsia="es-GT"/>
              </w:rPr>
            </w:pPr>
            <w:r w:rsidRPr="004A66F0">
              <w:rPr>
                <w:rFonts w:ascii="Times New Roman" w:eastAsia="Times New Roman" w:hAnsi="Times New Roman" w:cs="Times New Roman"/>
                <w:sz w:val="18"/>
                <w:szCs w:val="18"/>
                <w:lang w:eastAsia="es-GT"/>
              </w:rPr>
              <w:t>139.3</w:t>
            </w:r>
          </w:p>
        </w:tc>
        <w:tc>
          <w:tcPr>
            <w:tcW w:w="1381" w:type="dxa"/>
            <w:tcBorders>
              <w:top w:val="nil"/>
              <w:left w:val="nil"/>
              <w:bottom w:val="nil"/>
              <w:right w:val="single" w:sz="8" w:space="0" w:color="auto"/>
            </w:tcBorders>
            <w:noWrap/>
            <w:vAlign w:val="center"/>
            <w:hideMark/>
          </w:tcPr>
          <w:p w14:paraId="748F8A12" w14:textId="77777777" w:rsidR="004A66F0" w:rsidRPr="004A66F0" w:rsidRDefault="004A66F0" w:rsidP="008D7BB4">
            <w:pPr>
              <w:spacing w:line="276" w:lineRule="auto"/>
              <w:contextualSpacing/>
              <w:jc w:val="center"/>
              <w:rPr>
                <w:rFonts w:ascii="Times New Roman" w:eastAsia="Times New Roman" w:hAnsi="Times New Roman" w:cs="Times New Roman"/>
                <w:sz w:val="18"/>
                <w:szCs w:val="18"/>
                <w:lang w:eastAsia="es-GT"/>
              </w:rPr>
            </w:pPr>
            <w:r w:rsidRPr="004A66F0">
              <w:rPr>
                <w:rFonts w:ascii="Times New Roman" w:eastAsia="Times New Roman" w:hAnsi="Times New Roman" w:cs="Times New Roman"/>
                <w:sz w:val="18"/>
                <w:szCs w:val="18"/>
                <w:lang w:eastAsia="es-GT"/>
              </w:rPr>
              <w:t>100.0</w:t>
            </w:r>
          </w:p>
        </w:tc>
      </w:tr>
      <w:tr w:rsidR="004A66F0" w:rsidRPr="004A66F0" w14:paraId="01CE603A" w14:textId="77777777" w:rsidTr="001659B1">
        <w:trPr>
          <w:trHeight w:val="306"/>
          <w:jc w:val="center"/>
        </w:trPr>
        <w:tc>
          <w:tcPr>
            <w:tcW w:w="4689" w:type="dxa"/>
            <w:tcBorders>
              <w:top w:val="nil"/>
              <w:left w:val="single" w:sz="8" w:space="0" w:color="auto"/>
              <w:bottom w:val="nil"/>
              <w:right w:val="nil"/>
            </w:tcBorders>
            <w:vAlign w:val="center"/>
            <w:hideMark/>
          </w:tcPr>
          <w:p w14:paraId="34FE6FE1" w14:textId="77777777" w:rsidR="004A66F0" w:rsidRPr="004A66F0" w:rsidRDefault="004A66F0" w:rsidP="008D7BB4">
            <w:pPr>
              <w:spacing w:line="276" w:lineRule="auto"/>
              <w:ind w:firstLineChars="200" w:firstLine="360"/>
              <w:contextualSpacing/>
              <w:rPr>
                <w:rFonts w:ascii="Times New Roman" w:eastAsia="Times New Roman" w:hAnsi="Times New Roman" w:cs="Times New Roman"/>
                <w:sz w:val="18"/>
                <w:szCs w:val="18"/>
                <w:lang w:eastAsia="es-GT"/>
              </w:rPr>
            </w:pPr>
            <w:r w:rsidRPr="004A66F0">
              <w:rPr>
                <w:rFonts w:ascii="Times New Roman" w:eastAsia="Times New Roman" w:hAnsi="Times New Roman" w:cs="Times New Roman"/>
                <w:sz w:val="18"/>
                <w:szCs w:val="18"/>
                <w:lang w:eastAsia="es-GT"/>
              </w:rPr>
              <w:t>Ministerio de Educación</w:t>
            </w:r>
          </w:p>
        </w:tc>
        <w:tc>
          <w:tcPr>
            <w:tcW w:w="1519" w:type="dxa"/>
            <w:tcBorders>
              <w:top w:val="nil"/>
              <w:left w:val="single" w:sz="8" w:space="0" w:color="auto"/>
              <w:bottom w:val="nil"/>
              <w:right w:val="single" w:sz="8" w:space="0" w:color="auto"/>
            </w:tcBorders>
            <w:noWrap/>
            <w:vAlign w:val="center"/>
            <w:hideMark/>
          </w:tcPr>
          <w:p w14:paraId="2016D7EB" w14:textId="77777777" w:rsidR="004A66F0" w:rsidRPr="004A66F0" w:rsidRDefault="004A66F0" w:rsidP="008D7BB4">
            <w:pPr>
              <w:spacing w:line="276" w:lineRule="auto"/>
              <w:contextualSpacing/>
              <w:jc w:val="center"/>
              <w:rPr>
                <w:rFonts w:ascii="Times New Roman" w:eastAsia="Times New Roman" w:hAnsi="Times New Roman" w:cs="Times New Roman"/>
                <w:sz w:val="18"/>
                <w:szCs w:val="18"/>
                <w:lang w:eastAsia="es-GT"/>
              </w:rPr>
            </w:pPr>
            <w:r w:rsidRPr="004A66F0">
              <w:rPr>
                <w:rFonts w:ascii="Times New Roman" w:eastAsia="Times New Roman" w:hAnsi="Times New Roman" w:cs="Times New Roman"/>
                <w:sz w:val="18"/>
                <w:szCs w:val="18"/>
                <w:lang w:eastAsia="es-GT"/>
              </w:rPr>
              <w:t>9.2</w:t>
            </w:r>
          </w:p>
        </w:tc>
        <w:tc>
          <w:tcPr>
            <w:tcW w:w="1382" w:type="dxa"/>
            <w:tcBorders>
              <w:top w:val="nil"/>
              <w:left w:val="nil"/>
              <w:bottom w:val="nil"/>
              <w:right w:val="single" w:sz="8" w:space="0" w:color="auto"/>
            </w:tcBorders>
            <w:noWrap/>
            <w:vAlign w:val="center"/>
            <w:hideMark/>
          </w:tcPr>
          <w:p w14:paraId="2766094C" w14:textId="77777777" w:rsidR="004A66F0" w:rsidRPr="004A66F0" w:rsidRDefault="004A66F0" w:rsidP="008D7BB4">
            <w:pPr>
              <w:spacing w:line="276" w:lineRule="auto"/>
              <w:contextualSpacing/>
              <w:jc w:val="center"/>
              <w:rPr>
                <w:rFonts w:ascii="Times New Roman" w:eastAsia="Times New Roman" w:hAnsi="Times New Roman" w:cs="Times New Roman"/>
                <w:sz w:val="18"/>
                <w:szCs w:val="18"/>
                <w:lang w:eastAsia="es-GT"/>
              </w:rPr>
            </w:pPr>
            <w:r w:rsidRPr="004A66F0">
              <w:rPr>
                <w:rFonts w:ascii="Times New Roman" w:eastAsia="Times New Roman" w:hAnsi="Times New Roman" w:cs="Times New Roman"/>
                <w:sz w:val="18"/>
                <w:szCs w:val="18"/>
                <w:lang w:eastAsia="es-GT"/>
              </w:rPr>
              <w:t>9.0</w:t>
            </w:r>
          </w:p>
        </w:tc>
        <w:tc>
          <w:tcPr>
            <w:tcW w:w="1381" w:type="dxa"/>
            <w:tcBorders>
              <w:top w:val="nil"/>
              <w:left w:val="nil"/>
              <w:bottom w:val="nil"/>
              <w:right w:val="single" w:sz="8" w:space="0" w:color="auto"/>
            </w:tcBorders>
            <w:noWrap/>
            <w:vAlign w:val="center"/>
            <w:hideMark/>
          </w:tcPr>
          <w:p w14:paraId="107F618F" w14:textId="77777777" w:rsidR="004A66F0" w:rsidRPr="004A66F0" w:rsidRDefault="004A66F0" w:rsidP="008D7BB4">
            <w:pPr>
              <w:spacing w:line="276" w:lineRule="auto"/>
              <w:contextualSpacing/>
              <w:jc w:val="center"/>
              <w:rPr>
                <w:rFonts w:ascii="Times New Roman" w:eastAsia="Times New Roman" w:hAnsi="Times New Roman" w:cs="Times New Roman"/>
                <w:sz w:val="18"/>
                <w:szCs w:val="18"/>
                <w:lang w:eastAsia="es-GT"/>
              </w:rPr>
            </w:pPr>
            <w:r w:rsidRPr="004A66F0">
              <w:rPr>
                <w:rFonts w:ascii="Times New Roman" w:eastAsia="Times New Roman" w:hAnsi="Times New Roman" w:cs="Times New Roman"/>
                <w:sz w:val="18"/>
                <w:szCs w:val="18"/>
                <w:lang w:eastAsia="es-GT"/>
              </w:rPr>
              <w:t>98.0</w:t>
            </w:r>
          </w:p>
        </w:tc>
      </w:tr>
      <w:tr w:rsidR="004A66F0" w:rsidRPr="004A66F0" w14:paraId="79DEAE1A" w14:textId="77777777" w:rsidTr="001659B1">
        <w:trPr>
          <w:trHeight w:val="306"/>
          <w:jc w:val="center"/>
        </w:trPr>
        <w:tc>
          <w:tcPr>
            <w:tcW w:w="4689" w:type="dxa"/>
            <w:tcBorders>
              <w:top w:val="nil"/>
              <w:left w:val="single" w:sz="8" w:space="0" w:color="auto"/>
              <w:bottom w:val="nil"/>
              <w:right w:val="nil"/>
            </w:tcBorders>
            <w:vAlign w:val="center"/>
            <w:hideMark/>
          </w:tcPr>
          <w:p w14:paraId="654E4A2A" w14:textId="77777777" w:rsidR="004A66F0" w:rsidRPr="004A66F0" w:rsidRDefault="004A66F0" w:rsidP="008D7BB4">
            <w:pPr>
              <w:spacing w:line="276" w:lineRule="auto"/>
              <w:ind w:firstLineChars="200" w:firstLine="360"/>
              <w:contextualSpacing/>
              <w:rPr>
                <w:rFonts w:ascii="Times New Roman" w:eastAsia="Times New Roman" w:hAnsi="Times New Roman" w:cs="Times New Roman"/>
                <w:sz w:val="18"/>
                <w:szCs w:val="18"/>
                <w:lang w:eastAsia="es-GT"/>
              </w:rPr>
            </w:pPr>
            <w:r w:rsidRPr="004A66F0">
              <w:rPr>
                <w:rFonts w:ascii="Times New Roman" w:eastAsia="Times New Roman" w:hAnsi="Times New Roman" w:cs="Times New Roman"/>
                <w:sz w:val="18"/>
                <w:szCs w:val="18"/>
                <w:lang w:eastAsia="es-GT"/>
              </w:rPr>
              <w:t>Ministerio de Comunicaciones, Infraestructura y Vivienda</w:t>
            </w:r>
          </w:p>
        </w:tc>
        <w:tc>
          <w:tcPr>
            <w:tcW w:w="1519" w:type="dxa"/>
            <w:tcBorders>
              <w:top w:val="nil"/>
              <w:left w:val="single" w:sz="8" w:space="0" w:color="auto"/>
              <w:bottom w:val="nil"/>
              <w:right w:val="single" w:sz="8" w:space="0" w:color="auto"/>
            </w:tcBorders>
            <w:noWrap/>
            <w:vAlign w:val="center"/>
            <w:hideMark/>
          </w:tcPr>
          <w:p w14:paraId="078016D6" w14:textId="77777777" w:rsidR="004A66F0" w:rsidRPr="004A66F0" w:rsidRDefault="004A66F0" w:rsidP="008D7BB4">
            <w:pPr>
              <w:spacing w:line="276" w:lineRule="auto"/>
              <w:contextualSpacing/>
              <w:jc w:val="center"/>
              <w:rPr>
                <w:rFonts w:ascii="Times New Roman" w:eastAsia="Times New Roman" w:hAnsi="Times New Roman" w:cs="Times New Roman"/>
                <w:sz w:val="18"/>
                <w:szCs w:val="18"/>
                <w:lang w:eastAsia="es-GT"/>
              </w:rPr>
            </w:pPr>
            <w:r w:rsidRPr="004A66F0">
              <w:rPr>
                <w:rFonts w:ascii="Times New Roman" w:eastAsia="Times New Roman" w:hAnsi="Times New Roman" w:cs="Times New Roman"/>
                <w:sz w:val="18"/>
                <w:szCs w:val="18"/>
                <w:lang w:eastAsia="es-GT"/>
              </w:rPr>
              <w:t>752.9</w:t>
            </w:r>
          </w:p>
        </w:tc>
        <w:tc>
          <w:tcPr>
            <w:tcW w:w="1382" w:type="dxa"/>
            <w:tcBorders>
              <w:top w:val="nil"/>
              <w:left w:val="nil"/>
              <w:bottom w:val="nil"/>
              <w:right w:val="single" w:sz="8" w:space="0" w:color="auto"/>
            </w:tcBorders>
            <w:noWrap/>
            <w:vAlign w:val="center"/>
            <w:hideMark/>
          </w:tcPr>
          <w:p w14:paraId="57F8D799" w14:textId="77777777" w:rsidR="004A66F0" w:rsidRPr="004A66F0" w:rsidRDefault="004A66F0" w:rsidP="008D7BB4">
            <w:pPr>
              <w:spacing w:line="276" w:lineRule="auto"/>
              <w:contextualSpacing/>
              <w:jc w:val="center"/>
              <w:rPr>
                <w:rFonts w:ascii="Times New Roman" w:eastAsia="Times New Roman" w:hAnsi="Times New Roman" w:cs="Times New Roman"/>
                <w:sz w:val="18"/>
                <w:szCs w:val="18"/>
                <w:lang w:eastAsia="es-GT"/>
              </w:rPr>
            </w:pPr>
            <w:r w:rsidRPr="004A66F0">
              <w:rPr>
                <w:rFonts w:ascii="Times New Roman" w:eastAsia="Times New Roman" w:hAnsi="Times New Roman" w:cs="Times New Roman"/>
                <w:sz w:val="18"/>
                <w:szCs w:val="18"/>
                <w:lang w:eastAsia="es-GT"/>
              </w:rPr>
              <w:t>716.5</w:t>
            </w:r>
          </w:p>
        </w:tc>
        <w:tc>
          <w:tcPr>
            <w:tcW w:w="1381" w:type="dxa"/>
            <w:tcBorders>
              <w:top w:val="nil"/>
              <w:left w:val="nil"/>
              <w:bottom w:val="nil"/>
              <w:right w:val="single" w:sz="8" w:space="0" w:color="auto"/>
            </w:tcBorders>
            <w:noWrap/>
            <w:vAlign w:val="center"/>
            <w:hideMark/>
          </w:tcPr>
          <w:p w14:paraId="0073E9D8" w14:textId="77777777" w:rsidR="004A66F0" w:rsidRPr="004A66F0" w:rsidRDefault="004A66F0" w:rsidP="008D7BB4">
            <w:pPr>
              <w:spacing w:line="276" w:lineRule="auto"/>
              <w:contextualSpacing/>
              <w:jc w:val="center"/>
              <w:rPr>
                <w:rFonts w:ascii="Times New Roman" w:eastAsia="Times New Roman" w:hAnsi="Times New Roman" w:cs="Times New Roman"/>
                <w:sz w:val="18"/>
                <w:szCs w:val="18"/>
                <w:lang w:eastAsia="es-GT"/>
              </w:rPr>
            </w:pPr>
            <w:r w:rsidRPr="004A66F0">
              <w:rPr>
                <w:rFonts w:ascii="Times New Roman" w:eastAsia="Times New Roman" w:hAnsi="Times New Roman" w:cs="Times New Roman"/>
                <w:sz w:val="18"/>
                <w:szCs w:val="18"/>
                <w:lang w:eastAsia="es-GT"/>
              </w:rPr>
              <w:t>95.2</w:t>
            </w:r>
          </w:p>
        </w:tc>
      </w:tr>
      <w:tr w:rsidR="004A66F0" w:rsidRPr="004A66F0" w14:paraId="146CDD34" w14:textId="77777777" w:rsidTr="001659B1">
        <w:trPr>
          <w:trHeight w:val="306"/>
          <w:jc w:val="center"/>
        </w:trPr>
        <w:tc>
          <w:tcPr>
            <w:tcW w:w="4689" w:type="dxa"/>
            <w:tcBorders>
              <w:top w:val="nil"/>
              <w:left w:val="single" w:sz="8" w:space="0" w:color="auto"/>
              <w:bottom w:val="nil"/>
              <w:right w:val="nil"/>
            </w:tcBorders>
            <w:vAlign w:val="center"/>
            <w:hideMark/>
          </w:tcPr>
          <w:p w14:paraId="6ECA02D8" w14:textId="77777777" w:rsidR="004A66F0" w:rsidRPr="004A66F0" w:rsidRDefault="004A66F0" w:rsidP="008D7BB4">
            <w:pPr>
              <w:spacing w:line="276" w:lineRule="auto"/>
              <w:ind w:firstLineChars="200" w:firstLine="360"/>
              <w:contextualSpacing/>
              <w:rPr>
                <w:rFonts w:ascii="Times New Roman" w:eastAsia="Times New Roman" w:hAnsi="Times New Roman" w:cs="Times New Roman"/>
                <w:sz w:val="18"/>
                <w:szCs w:val="18"/>
                <w:lang w:eastAsia="es-GT"/>
              </w:rPr>
            </w:pPr>
            <w:r w:rsidRPr="004A66F0">
              <w:rPr>
                <w:rFonts w:ascii="Times New Roman" w:eastAsia="Times New Roman" w:hAnsi="Times New Roman" w:cs="Times New Roman"/>
                <w:sz w:val="18"/>
                <w:szCs w:val="18"/>
                <w:lang w:eastAsia="es-GT"/>
              </w:rPr>
              <w:t>Ministerio de Cultura y Deportes</w:t>
            </w:r>
          </w:p>
        </w:tc>
        <w:tc>
          <w:tcPr>
            <w:tcW w:w="1519" w:type="dxa"/>
            <w:tcBorders>
              <w:top w:val="nil"/>
              <w:left w:val="single" w:sz="8" w:space="0" w:color="auto"/>
              <w:bottom w:val="nil"/>
              <w:right w:val="single" w:sz="8" w:space="0" w:color="auto"/>
            </w:tcBorders>
            <w:noWrap/>
            <w:vAlign w:val="center"/>
            <w:hideMark/>
          </w:tcPr>
          <w:p w14:paraId="56DC1752" w14:textId="77777777" w:rsidR="004A66F0" w:rsidRPr="004A66F0" w:rsidRDefault="004A66F0" w:rsidP="008D7BB4">
            <w:pPr>
              <w:spacing w:line="276" w:lineRule="auto"/>
              <w:contextualSpacing/>
              <w:jc w:val="center"/>
              <w:rPr>
                <w:rFonts w:ascii="Times New Roman" w:eastAsia="Times New Roman" w:hAnsi="Times New Roman" w:cs="Times New Roman"/>
                <w:sz w:val="18"/>
                <w:szCs w:val="18"/>
                <w:lang w:eastAsia="es-GT"/>
              </w:rPr>
            </w:pPr>
            <w:r w:rsidRPr="004A66F0">
              <w:rPr>
                <w:rFonts w:ascii="Times New Roman" w:eastAsia="Times New Roman" w:hAnsi="Times New Roman" w:cs="Times New Roman"/>
                <w:sz w:val="18"/>
                <w:szCs w:val="18"/>
                <w:lang w:eastAsia="es-GT"/>
              </w:rPr>
              <w:t>2.5</w:t>
            </w:r>
          </w:p>
        </w:tc>
        <w:tc>
          <w:tcPr>
            <w:tcW w:w="1382" w:type="dxa"/>
            <w:tcBorders>
              <w:top w:val="nil"/>
              <w:left w:val="nil"/>
              <w:bottom w:val="nil"/>
              <w:right w:val="single" w:sz="8" w:space="0" w:color="auto"/>
            </w:tcBorders>
            <w:noWrap/>
            <w:vAlign w:val="center"/>
            <w:hideMark/>
          </w:tcPr>
          <w:p w14:paraId="5477928F" w14:textId="77777777" w:rsidR="004A66F0" w:rsidRPr="004A66F0" w:rsidRDefault="004A66F0" w:rsidP="008D7BB4">
            <w:pPr>
              <w:spacing w:line="276" w:lineRule="auto"/>
              <w:contextualSpacing/>
              <w:jc w:val="center"/>
              <w:rPr>
                <w:rFonts w:ascii="Times New Roman" w:eastAsia="Times New Roman" w:hAnsi="Times New Roman" w:cs="Times New Roman"/>
                <w:sz w:val="18"/>
                <w:szCs w:val="18"/>
                <w:lang w:eastAsia="es-GT"/>
              </w:rPr>
            </w:pPr>
            <w:r w:rsidRPr="004A66F0">
              <w:rPr>
                <w:rFonts w:ascii="Times New Roman" w:eastAsia="Times New Roman" w:hAnsi="Times New Roman" w:cs="Times New Roman"/>
                <w:sz w:val="18"/>
                <w:szCs w:val="18"/>
                <w:lang w:eastAsia="es-GT"/>
              </w:rPr>
              <w:t>2.5</w:t>
            </w:r>
          </w:p>
        </w:tc>
        <w:tc>
          <w:tcPr>
            <w:tcW w:w="1381" w:type="dxa"/>
            <w:tcBorders>
              <w:top w:val="nil"/>
              <w:left w:val="nil"/>
              <w:bottom w:val="nil"/>
              <w:right w:val="single" w:sz="8" w:space="0" w:color="auto"/>
            </w:tcBorders>
            <w:noWrap/>
            <w:vAlign w:val="center"/>
            <w:hideMark/>
          </w:tcPr>
          <w:p w14:paraId="0A3E55C3" w14:textId="77777777" w:rsidR="004A66F0" w:rsidRPr="004A66F0" w:rsidRDefault="004A66F0" w:rsidP="008D7BB4">
            <w:pPr>
              <w:spacing w:line="276" w:lineRule="auto"/>
              <w:contextualSpacing/>
              <w:jc w:val="center"/>
              <w:rPr>
                <w:rFonts w:ascii="Times New Roman" w:eastAsia="Times New Roman" w:hAnsi="Times New Roman" w:cs="Times New Roman"/>
                <w:sz w:val="18"/>
                <w:szCs w:val="18"/>
                <w:lang w:eastAsia="es-GT"/>
              </w:rPr>
            </w:pPr>
            <w:r w:rsidRPr="004A66F0">
              <w:rPr>
                <w:rFonts w:ascii="Times New Roman" w:eastAsia="Times New Roman" w:hAnsi="Times New Roman" w:cs="Times New Roman"/>
                <w:sz w:val="18"/>
                <w:szCs w:val="18"/>
                <w:lang w:eastAsia="es-GT"/>
              </w:rPr>
              <w:t>99.6</w:t>
            </w:r>
          </w:p>
        </w:tc>
      </w:tr>
      <w:tr w:rsidR="004A66F0" w:rsidRPr="004A66F0" w14:paraId="3F9AED3C" w14:textId="77777777" w:rsidTr="001659B1">
        <w:trPr>
          <w:trHeight w:val="306"/>
          <w:jc w:val="center"/>
        </w:trPr>
        <w:tc>
          <w:tcPr>
            <w:tcW w:w="4689" w:type="dxa"/>
            <w:tcBorders>
              <w:top w:val="nil"/>
              <w:left w:val="single" w:sz="8" w:space="0" w:color="auto"/>
              <w:bottom w:val="nil"/>
              <w:right w:val="nil"/>
            </w:tcBorders>
            <w:vAlign w:val="center"/>
            <w:hideMark/>
          </w:tcPr>
          <w:p w14:paraId="2F6ED2AF" w14:textId="77777777" w:rsidR="004A66F0" w:rsidRPr="004A66F0" w:rsidRDefault="004A66F0" w:rsidP="008D7BB4">
            <w:pPr>
              <w:spacing w:line="276" w:lineRule="auto"/>
              <w:ind w:firstLineChars="200" w:firstLine="360"/>
              <w:contextualSpacing/>
              <w:rPr>
                <w:rFonts w:ascii="Times New Roman" w:eastAsia="Times New Roman" w:hAnsi="Times New Roman" w:cs="Times New Roman"/>
                <w:sz w:val="18"/>
                <w:szCs w:val="18"/>
                <w:lang w:eastAsia="es-GT"/>
              </w:rPr>
            </w:pPr>
            <w:r w:rsidRPr="004A66F0">
              <w:rPr>
                <w:rFonts w:ascii="Times New Roman" w:eastAsia="Times New Roman" w:hAnsi="Times New Roman" w:cs="Times New Roman"/>
                <w:sz w:val="18"/>
                <w:szCs w:val="18"/>
                <w:lang w:eastAsia="es-GT"/>
              </w:rPr>
              <w:t xml:space="preserve">Secretarías y Otras Dependencias del Ejecutivo </w:t>
            </w:r>
          </w:p>
        </w:tc>
        <w:tc>
          <w:tcPr>
            <w:tcW w:w="1519" w:type="dxa"/>
            <w:tcBorders>
              <w:top w:val="nil"/>
              <w:left w:val="single" w:sz="8" w:space="0" w:color="auto"/>
              <w:bottom w:val="nil"/>
              <w:right w:val="single" w:sz="8" w:space="0" w:color="auto"/>
            </w:tcBorders>
            <w:noWrap/>
            <w:vAlign w:val="center"/>
            <w:hideMark/>
          </w:tcPr>
          <w:p w14:paraId="49953F4B" w14:textId="77777777" w:rsidR="004A66F0" w:rsidRPr="004A66F0" w:rsidRDefault="004A66F0" w:rsidP="008D7BB4">
            <w:pPr>
              <w:spacing w:line="276" w:lineRule="auto"/>
              <w:contextualSpacing/>
              <w:jc w:val="center"/>
              <w:rPr>
                <w:rFonts w:ascii="Times New Roman" w:eastAsia="Times New Roman" w:hAnsi="Times New Roman" w:cs="Times New Roman"/>
                <w:sz w:val="18"/>
                <w:szCs w:val="18"/>
                <w:lang w:eastAsia="es-GT"/>
              </w:rPr>
            </w:pPr>
            <w:r w:rsidRPr="004A66F0">
              <w:rPr>
                <w:rFonts w:ascii="Times New Roman" w:eastAsia="Times New Roman" w:hAnsi="Times New Roman" w:cs="Times New Roman"/>
                <w:sz w:val="18"/>
                <w:szCs w:val="18"/>
                <w:lang w:eastAsia="es-GT"/>
              </w:rPr>
              <w:t>1.5</w:t>
            </w:r>
          </w:p>
        </w:tc>
        <w:tc>
          <w:tcPr>
            <w:tcW w:w="1382" w:type="dxa"/>
            <w:tcBorders>
              <w:top w:val="nil"/>
              <w:left w:val="nil"/>
              <w:bottom w:val="nil"/>
              <w:right w:val="single" w:sz="8" w:space="0" w:color="auto"/>
            </w:tcBorders>
            <w:noWrap/>
            <w:vAlign w:val="center"/>
            <w:hideMark/>
          </w:tcPr>
          <w:p w14:paraId="7DA9F12A" w14:textId="77777777" w:rsidR="004A66F0" w:rsidRPr="004A66F0" w:rsidRDefault="004A66F0" w:rsidP="008D7BB4">
            <w:pPr>
              <w:spacing w:line="276" w:lineRule="auto"/>
              <w:contextualSpacing/>
              <w:jc w:val="center"/>
              <w:rPr>
                <w:rFonts w:ascii="Times New Roman" w:eastAsia="Times New Roman" w:hAnsi="Times New Roman" w:cs="Times New Roman"/>
                <w:sz w:val="18"/>
                <w:szCs w:val="18"/>
                <w:lang w:eastAsia="es-GT"/>
              </w:rPr>
            </w:pPr>
            <w:r w:rsidRPr="004A66F0">
              <w:rPr>
                <w:rFonts w:ascii="Times New Roman" w:eastAsia="Times New Roman" w:hAnsi="Times New Roman" w:cs="Times New Roman"/>
                <w:sz w:val="18"/>
                <w:szCs w:val="18"/>
                <w:lang w:eastAsia="es-GT"/>
              </w:rPr>
              <w:t>1.5</w:t>
            </w:r>
          </w:p>
        </w:tc>
        <w:tc>
          <w:tcPr>
            <w:tcW w:w="1381" w:type="dxa"/>
            <w:tcBorders>
              <w:top w:val="nil"/>
              <w:left w:val="nil"/>
              <w:bottom w:val="nil"/>
              <w:right w:val="single" w:sz="8" w:space="0" w:color="auto"/>
            </w:tcBorders>
            <w:noWrap/>
            <w:vAlign w:val="center"/>
            <w:hideMark/>
          </w:tcPr>
          <w:p w14:paraId="7B95DF0D" w14:textId="77777777" w:rsidR="004A66F0" w:rsidRPr="004A66F0" w:rsidRDefault="004A66F0" w:rsidP="008D7BB4">
            <w:pPr>
              <w:spacing w:line="276" w:lineRule="auto"/>
              <w:contextualSpacing/>
              <w:jc w:val="center"/>
              <w:rPr>
                <w:rFonts w:ascii="Times New Roman" w:eastAsia="Times New Roman" w:hAnsi="Times New Roman" w:cs="Times New Roman"/>
                <w:sz w:val="18"/>
                <w:szCs w:val="18"/>
                <w:lang w:eastAsia="es-GT"/>
              </w:rPr>
            </w:pPr>
            <w:r w:rsidRPr="004A66F0">
              <w:rPr>
                <w:rFonts w:ascii="Times New Roman" w:eastAsia="Times New Roman" w:hAnsi="Times New Roman" w:cs="Times New Roman"/>
                <w:sz w:val="18"/>
                <w:szCs w:val="18"/>
                <w:lang w:eastAsia="es-GT"/>
              </w:rPr>
              <w:t>100.0</w:t>
            </w:r>
          </w:p>
        </w:tc>
      </w:tr>
      <w:tr w:rsidR="004A66F0" w:rsidRPr="004A66F0" w14:paraId="18CC33A4" w14:textId="77777777" w:rsidTr="001659B1">
        <w:trPr>
          <w:trHeight w:val="306"/>
          <w:jc w:val="center"/>
        </w:trPr>
        <w:tc>
          <w:tcPr>
            <w:tcW w:w="4689" w:type="dxa"/>
            <w:tcBorders>
              <w:top w:val="nil"/>
              <w:left w:val="single" w:sz="8" w:space="0" w:color="auto"/>
              <w:bottom w:val="nil"/>
              <w:right w:val="nil"/>
            </w:tcBorders>
            <w:vAlign w:val="center"/>
            <w:hideMark/>
          </w:tcPr>
          <w:p w14:paraId="358BE5D9" w14:textId="77777777" w:rsidR="004A66F0" w:rsidRPr="004A66F0" w:rsidRDefault="004A66F0" w:rsidP="008D7BB4">
            <w:pPr>
              <w:spacing w:line="276" w:lineRule="auto"/>
              <w:ind w:firstLineChars="200" w:firstLine="360"/>
              <w:contextualSpacing/>
              <w:rPr>
                <w:rFonts w:ascii="Times New Roman" w:eastAsia="Times New Roman" w:hAnsi="Times New Roman" w:cs="Times New Roman"/>
                <w:sz w:val="18"/>
                <w:szCs w:val="18"/>
                <w:lang w:eastAsia="es-GT"/>
              </w:rPr>
            </w:pPr>
            <w:r w:rsidRPr="004A66F0">
              <w:rPr>
                <w:rFonts w:ascii="Times New Roman" w:eastAsia="Times New Roman" w:hAnsi="Times New Roman" w:cs="Times New Roman"/>
                <w:sz w:val="18"/>
                <w:szCs w:val="18"/>
                <w:lang w:eastAsia="es-GT"/>
              </w:rPr>
              <w:t>Ministerio de Desarrollo Social</w:t>
            </w:r>
          </w:p>
        </w:tc>
        <w:tc>
          <w:tcPr>
            <w:tcW w:w="1519" w:type="dxa"/>
            <w:tcBorders>
              <w:top w:val="nil"/>
              <w:left w:val="single" w:sz="8" w:space="0" w:color="auto"/>
              <w:bottom w:val="nil"/>
              <w:right w:val="single" w:sz="8" w:space="0" w:color="auto"/>
            </w:tcBorders>
            <w:noWrap/>
            <w:vAlign w:val="center"/>
            <w:hideMark/>
          </w:tcPr>
          <w:p w14:paraId="52FD8182" w14:textId="77777777" w:rsidR="004A66F0" w:rsidRPr="004A66F0" w:rsidRDefault="004A66F0" w:rsidP="008D7BB4">
            <w:pPr>
              <w:spacing w:line="276" w:lineRule="auto"/>
              <w:contextualSpacing/>
              <w:jc w:val="center"/>
              <w:rPr>
                <w:rFonts w:ascii="Times New Roman" w:eastAsia="Times New Roman" w:hAnsi="Times New Roman" w:cs="Times New Roman"/>
                <w:sz w:val="18"/>
                <w:szCs w:val="18"/>
                <w:lang w:eastAsia="es-GT"/>
              </w:rPr>
            </w:pPr>
            <w:r w:rsidRPr="004A66F0">
              <w:rPr>
                <w:rFonts w:ascii="Times New Roman" w:eastAsia="Times New Roman" w:hAnsi="Times New Roman" w:cs="Times New Roman"/>
                <w:sz w:val="18"/>
                <w:szCs w:val="18"/>
                <w:lang w:eastAsia="es-GT"/>
              </w:rPr>
              <w:t>54.7</w:t>
            </w:r>
          </w:p>
        </w:tc>
        <w:tc>
          <w:tcPr>
            <w:tcW w:w="1382" w:type="dxa"/>
            <w:tcBorders>
              <w:top w:val="nil"/>
              <w:left w:val="nil"/>
              <w:bottom w:val="nil"/>
              <w:right w:val="single" w:sz="8" w:space="0" w:color="auto"/>
            </w:tcBorders>
            <w:noWrap/>
            <w:vAlign w:val="center"/>
            <w:hideMark/>
          </w:tcPr>
          <w:p w14:paraId="625E4399" w14:textId="77777777" w:rsidR="004A66F0" w:rsidRPr="004A66F0" w:rsidRDefault="004A66F0" w:rsidP="008D7BB4">
            <w:pPr>
              <w:spacing w:line="276" w:lineRule="auto"/>
              <w:contextualSpacing/>
              <w:jc w:val="center"/>
              <w:rPr>
                <w:rFonts w:ascii="Times New Roman" w:eastAsia="Times New Roman" w:hAnsi="Times New Roman" w:cs="Times New Roman"/>
                <w:sz w:val="18"/>
                <w:szCs w:val="18"/>
                <w:lang w:eastAsia="es-GT"/>
              </w:rPr>
            </w:pPr>
            <w:r w:rsidRPr="004A66F0">
              <w:rPr>
                <w:rFonts w:ascii="Times New Roman" w:eastAsia="Times New Roman" w:hAnsi="Times New Roman" w:cs="Times New Roman"/>
                <w:sz w:val="18"/>
                <w:szCs w:val="18"/>
                <w:lang w:eastAsia="es-GT"/>
              </w:rPr>
              <w:t>54.7</w:t>
            </w:r>
          </w:p>
        </w:tc>
        <w:tc>
          <w:tcPr>
            <w:tcW w:w="1381" w:type="dxa"/>
            <w:tcBorders>
              <w:top w:val="nil"/>
              <w:left w:val="nil"/>
              <w:bottom w:val="nil"/>
              <w:right w:val="single" w:sz="8" w:space="0" w:color="auto"/>
            </w:tcBorders>
            <w:noWrap/>
            <w:vAlign w:val="center"/>
            <w:hideMark/>
          </w:tcPr>
          <w:p w14:paraId="55542996" w14:textId="77777777" w:rsidR="004A66F0" w:rsidRPr="004A66F0" w:rsidRDefault="004A66F0" w:rsidP="008D7BB4">
            <w:pPr>
              <w:spacing w:line="276" w:lineRule="auto"/>
              <w:contextualSpacing/>
              <w:jc w:val="center"/>
              <w:rPr>
                <w:rFonts w:ascii="Times New Roman" w:eastAsia="Times New Roman" w:hAnsi="Times New Roman" w:cs="Times New Roman"/>
                <w:sz w:val="18"/>
                <w:szCs w:val="18"/>
                <w:lang w:eastAsia="es-GT"/>
              </w:rPr>
            </w:pPr>
            <w:r w:rsidRPr="004A66F0">
              <w:rPr>
                <w:rFonts w:ascii="Times New Roman" w:eastAsia="Times New Roman" w:hAnsi="Times New Roman" w:cs="Times New Roman"/>
                <w:sz w:val="18"/>
                <w:szCs w:val="18"/>
                <w:lang w:eastAsia="es-GT"/>
              </w:rPr>
              <w:t>100.0</w:t>
            </w:r>
          </w:p>
        </w:tc>
      </w:tr>
      <w:tr w:rsidR="004A66F0" w:rsidRPr="004A66F0" w14:paraId="493801B2" w14:textId="77777777" w:rsidTr="001659B1">
        <w:trPr>
          <w:trHeight w:val="446"/>
          <w:jc w:val="center"/>
        </w:trPr>
        <w:tc>
          <w:tcPr>
            <w:tcW w:w="4689"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6CE5CD61" w14:textId="77777777" w:rsidR="004A66F0" w:rsidRPr="004A66F0" w:rsidRDefault="004A66F0" w:rsidP="008D7BB4">
            <w:pPr>
              <w:spacing w:line="276" w:lineRule="auto"/>
              <w:contextualSpacing/>
              <w:jc w:val="center"/>
              <w:rPr>
                <w:rFonts w:ascii="Times New Roman" w:eastAsia="Times New Roman" w:hAnsi="Times New Roman" w:cs="Times New Roman"/>
                <w:b/>
                <w:bCs/>
                <w:sz w:val="18"/>
                <w:szCs w:val="18"/>
                <w:lang w:eastAsia="es-GT"/>
              </w:rPr>
            </w:pPr>
            <w:r w:rsidRPr="004A66F0">
              <w:rPr>
                <w:rFonts w:ascii="Times New Roman" w:eastAsia="Times New Roman" w:hAnsi="Times New Roman" w:cs="Times New Roman"/>
                <w:b/>
                <w:bCs/>
                <w:sz w:val="18"/>
                <w:szCs w:val="18"/>
                <w:lang w:eastAsia="es-GT"/>
              </w:rPr>
              <w:t>Subprograma 15 Estado de Calamidad Pública por los efectos de la época lluviosa y el ciclón tropical Julia</w:t>
            </w:r>
          </w:p>
        </w:tc>
        <w:tc>
          <w:tcPr>
            <w:tcW w:w="1519" w:type="dxa"/>
            <w:tcBorders>
              <w:top w:val="single" w:sz="8" w:space="0" w:color="auto"/>
              <w:left w:val="nil"/>
              <w:bottom w:val="single" w:sz="8" w:space="0" w:color="auto"/>
              <w:right w:val="single" w:sz="8" w:space="0" w:color="auto"/>
            </w:tcBorders>
            <w:shd w:val="clear" w:color="000000" w:fill="BFBFBF"/>
            <w:noWrap/>
            <w:vAlign w:val="center"/>
            <w:hideMark/>
          </w:tcPr>
          <w:p w14:paraId="4704E1EC" w14:textId="77777777" w:rsidR="004A66F0" w:rsidRPr="004A66F0" w:rsidRDefault="004A66F0" w:rsidP="008D7BB4">
            <w:pPr>
              <w:spacing w:line="276" w:lineRule="auto"/>
              <w:contextualSpacing/>
              <w:jc w:val="center"/>
              <w:rPr>
                <w:rFonts w:ascii="Times New Roman" w:eastAsia="Times New Roman" w:hAnsi="Times New Roman" w:cs="Times New Roman"/>
                <w:b/>
                <w:bCs/>
                <w:sz w:val="18"/>
                <w:szCs w:val="18"/>
                <w:lang w:eastAsia="es-GT"/>
              </w:rPr>
            </w:pPr>
            <w:r w:rsidRPr="004A66F0">
              <w:rPr>
                <w:rFonts w:ascii="Times New Roman" w:eastAsia="Times New Roman" w:hAnsi="Times New Roman" w:cs="Times New Roman"/>
                <w:b/>
                <w:bCs/>
                <w:sz w:val="18"/>
                <w:szCs w:val="18"/>
                <w:lang w:eastAsia="es-GT"/>
              </w:rPr>
              <w:t>779.5</w:t>
            </w:r>
          </w:p>
        </w:tc>
        <w:tc>
          <w:tcPr>
            <w:tcW w:w="1382" w:type="dxa"/>
            <w:tcBorders>
              <w:top w:val="single" w:sz="8" w:space="0" w:color="auto"/>
              <w:left w:val="nil"/>
              <w:bottom w:val="single" w:sz="8" w:space="0" w:color="auto"/>
              <w:right w:val="single" w:sz="8" w:space="0" w:color="auto"/>
            </w:tcBorders>
            <w:shd w:val="clear" w:color="000000" w:fill="BFBFBF"/>
            <w:noWrap/>
            <w:vAlign w:val="center"/>
            <w:hideMark/>
          </w:tcPr>
          <w:p w14:paraId="215BF2ED" w14:textId="77777777" w:rsidR="004A66F0" w:rsidRPr="004A66F0" w:rsidRDefault="004A66F0" w:rsidP="008D7BB4">
            <w:pPr>
              <w:spacing w:line="276" w:lineRule="auto"/>
              <w:contextualSpacing/>
              <w:jc w:val="center"/>
              <w:rPr>
                <w:rFonts w:ascii="Times New Roman" w:eastAsia="Times New Roman" w:hAnsi="Times New Roman" w:cs="Times New Roman"/>
                <w:b/>
                <w:bCs/>
                <w:sz w:val="18"/>
                <w:szCs w:val="18"/>
                <w:lang w:eastAsia="es-GT"/>
              </w:rPr>
            </w:pPr>
            <w:r w:rsidRPr="004A66F0">
              <w:rPr>
                <w:rFonts w:ascii="Times New Roman" w:eastAsia="Times New Roman" w:hAnsi="Times New Roman" w:cs="Times New Roman"/>
                <w:b/>
                <w:bCs/>
                <w:sz w:val="18"/>
                <w:szCs w:val="18"/>
                <w:lang w:eastAsia="es-GT"/>
              </w:rPr>
              <w:t>733.2</w:t>
            </w:r>
          </w:p>
        </w:tc>
        <w:tc>
          <w:tcPr>
            <w:tcW w:w="1381" w:type="dxa"/>
            <w:tcBorders>
              <w:top w:val="single" w:sz="8" w:space="0" w:color="auto"/>
              <w:left w:val="nil"/>
              <w:bottom w:val="single" w:sz="8" w:space="0" w:color="auto"/>
              <w:right w:val="single" w:sz="8" w:space="0" w:color="auto"/>
            </w:tcBorders>
            <w:shd w:val="clear" w:color="000000" w:fill="BFBFBF"/>
            <w:noWrap/>
            <w:vAlign w:val="center"/>
            <w:hideMark/>
          </w:tcPr>
          <w:p w14:paraId="5F833FEB" w14:textId="77777777" w:rsidR="004A66F0" w:rsidRPr="004A66F0" w:rsidRDefault="004A66F0" w:rsidP="008D7BB4">
            <w:pPr>
              <w:spacing w:line="276" w:lineRule="auto"/>
              <w:contextualSpacing/>
              <w:jc w:val="center"/>
              <w:rPr>
                <w:rFonts w:ascii="Times New Roman" w:eastAsia="Times New Roman" w:hAnsi="Times New Roman" w:cs="Times New Roman"/>
                <w:b/>
                <w:bCs/>
                <w:sz w:val="18"/>
                <w:szCs w:val="18"/>
                <w:lang w:eastAsia="es-GT"/>
              </w:rPr>
            </w:pPr>
            <w:r w:rsidRPr="004A66F0">
              <w:rPr>
                <w:rFonts w:ascii="Times New Roman" w:eastAsia="Times New Roman" w:hAnsi="Times New Roman" w:cs="Times New Roman"/>
                <w:b/>
                <w:bCs/>
                <w:sz w:val="18"/>
                <w:szCs w:val="18"/>
                <w:lang w:eastAsia="es-GT"/>
              </w:rPr>
              <w:t>94.1</w:t>
            </w:r>
          </w:p>
        </w:tc>
      </w:tr>
      <w:tr w:rsidR="004A66F0" w:rsidRPr="004A66F0" w14:paraId="581BBE28" w14:textId="77777777" w:rsidTr="001659B1">
        <w:trPr>
          <w:trHeight w:val="306"/>
          <w:jc w:val="center"/>
        </w:trPr>
        <w:tc>
          <w:tcPr>
            <w:tcW w:w="4689" w:type="dxa"/>
            <w:tcBorders>
              <w:top w:val="nil"/>
              <w:left w:val="single" w:sz="8" w:space="0" w:color="auto"/>
              <w:bottom w:val="nil"/>
              <w:right w:val="single" w:sz="8" w:space="0" w:color="auto"/>
            </w:tcBorders>
            <w:vAlign w:val="center"/>
            <w:hideMark/>
          </w:tcPr>
          <w:p w14:paraId="04A5F604" w14:textId="77777777" w:rsidR="004A66F0" w:rsidRPr="004A66F0" w:rsidRDefault="004A66F0" w:rsidP="008D7BB4">
            <w:pPr>
              <w:spacing w:line="276" w:lineRule="auto"/>
              <w:ind w:firstLineChars="200" w:firstLine="360"/>
              <w:contextualSpacing/>
              <w:rPr>
                <w:rFonts w:ascii="Times New Roman" w:eastAsia="Times New Roman" w:hAnsi="Times New Roman" w:cs="Times New Roman"/>
                <w:sz w:val="18"/>
                <w:szCs w:val="18"/>
                <w:lang w:eastAsia="es-GT"/>
              </w:rPr>
            </w:pPr>
            <w:r w:rsidRPr="004A66F0">
              <w:rPr>
                <w:rFonts w:ascii="Times New Roman" w:eastAsia="Times New Roman" w:hAnsi="Times New Roman" w:cs="Times New Roman"/>
                <w:sz w:val="18"/>
                <w:szCs w:val="18"/>
                <w:lang w:eastAsia="es-GT"/>
              </w:rPr>
              <w:t>Ministerio de la Defensa Nacional</w:t>
            </w:r>
          </w:p>
        </w:tc>
        <w:tc>
          <w:tcPr>
            <w:tcW w:w="1519" w:type="dxa"/>
            <w:tcBorders>
              <w:top w:val="nil"/>
              <w:left w:val="nil"/>
              <w:bottom w:val="nil"/>
              <w:right w:val="single" w:sz="8" w:space="0" w:color="auto"/>
            </w:tcBorders>
            <w:noWrap/>
            <w:vAlign w:val="center"/>
            <w:hideMark/>
          </w:tcPr>
          <w:p w14:paraId="6DDB9D97" w14:textId="77777777" w:rsidR="004A66F0" w:rsidRPr="004A66F0" w:rsidRDefault="004A66F0" w:rsidP="008D7BB4">
            <w:pPr>
              <w:spacing w:line="276" w:lineRule="auto"/>
              <w:contextualSpacing/>
              <w:jc w:val="center"/>
              <w:rPr>
                <w:rFonts w:ascii="Times New Roman" w:eastAsia="Times New Roman" w:hAnsi="Times New Roman" w:cs="Times New Roman"/>
                <w:sz w:val="18"/>
                <w:szCs w:val="18"/>
                <w:lang w:eastAsia="es-GT"/>
              </w:rPr>
            </w:pPr>
            <w:r w:rsidRPr="004A66F0">
              <w:rPr>
                <w:rFonts w:ascii="Times New Roman" w:eastAsia="Times New Roman" w:hAnsi="Times New Roman" w:cs="Times New Roman"/>
                <w:sz w:val="18"/>
                <w:szCs w:val="18"/>
                <w:lang w:eastAsia="es-GT"/>
              </w:rPr>
              <w:t>2.9</w:t>
            </w:r>
          </w:p>
        </w:tc>
        <w:tc>
          <w:tcPr>
            <w:tcW w:w="1382" w:type="dxa"/>
            <w:tcBorders>
              <w:top w:val="nil"/>
              <w:left w:val="nil"/>
              <w:bottom w:val="nil"/>
              <w:right w:val="single" w:sz="8" w:space="0" w:color="auto"/>
            </w:tcBorders>
            <w:noWrap/>
            <w:vAlign w:val="center"/>
            <w:hideMark/>
          </w:tcPr>
          <w:p w14:paraId="1D399528" w14:textId="77777777" w:rsidR="004A66F0" w:rsidRPr="004A66F0" w:rsidRDefault="004A66F0" w:rsidP="008D7BB4">
            <w:pPr>
              <w:spacing w:line="276" w:lineRule="auto"/>
              <w:contextualSpacing/>
              <w:jc w:val="center"/>
              <w:rPr>
                <w:rFonts w:ascii="Times New Roman" w:eastAsia="Times New Roman" w:hAnsi="Times New Roman" w:cs="Times New Roman"/>
                <w:sz w:val="18"/>
                <w:szCs w:val="18"/>
                <w:lang w:eastAsia="es-GT"/>
              </w:rPr>
            </w:pPr>
            <w:r w:rsidRPr="004A66F0">
              <w:rPr>
                <w:rFonts w:ascii="Times New Roman" w:eastAsia="Times New Roman" w:hAnsi="Times New Roman" w:cs="Times New Roman"/>
                <w:sz w:val="18"/>
                <w:szCs w:val="18"/>
                <w:lang w:eastAsia="es-GT"/>
              </w:rPr>
              <w:t>2.9</w:t>
            </w:r>
          </w:p>
        </w:tc>
        <w:tc>
          <w:tcPr>
            <w:tcW w:w="1381" w:type="dxa"/>
            <w:tcBorders>
              <w:top w:val="nil"/>
              <w:left w:val="nil"/>
              <w:bottom w:val="nil"/>
              <w:right w:val="single" w:sz="8" w:space="0" w:color="auto"/>
            </w:tcBorders>
            <w:noWrap/>
            <w:vAlign w:val="center"/>
            <w:hideMark/>
          </w:tcPr>
          <w:p w14:paraId="451BD734" w14:textId="77777777" w:rsidR="004A66F0" w:rsidRPr="004A66F0" w:rsidRDefault="004A66F0" w:rsidP="008D7BB4">
            <w:pPr>
              <w:spacing w:line="276" w:lineRule="auto"/>
              <w:contextualSpacing/>
              <w:jc w:val="center"/>
              <w:rPr>
                <w:rFonts w:ascii="Times New Roman" w:eastAsia="Times New Roman" w:hAnsi="Times New Roman" w:cs="Times New Roman"/>
                <w:sz w:val="18"/>
                <w:szCs w:val="18"/>
                <w:lang w:eastAsia="es-GT"/>
              </w:rPr>
            </w:pPr>
            <w:r w:rsidRPr="004A66F0">
              <w:rPr>
                <w:rFonts w:ascii="Times New Roman" w:eastAsia="Times New Roman" w:hAnsi="Times New Roman" w:cs="Times New Roman"/>
                <w:sz w:val="18"/>
                <w:szCs w:val="18"/>
                <w:lang w:eastAsia="es-GT"/>
              </w:rPr>
              <w:t>100.0</w:t>
            </w:r>
          </w:p>
        </w:tc>
      </w:tr>
      <w:tr w:rsidR="004A66F0" w:rsidRPr="004A66F0" w14:paraId="2B904C18" w14:textId="77777777" w:rsidTr="001659B1">
        <w:trPr>
          <w:trHeight w:val="306"/>
          <w:jc w:val="center"/>
        </w:trPr>
        <w:tc>
          <w:tcPr>
            <w:tcW w:w="4689" w:type="dxa"/>
            <w:tcBorders>
              <w:top w:val="nil"/>
              <w:left w:val="single" w:sz="8" w:space="0" w:color="auto"/>
              <w:bottom w:val="nil"/>
              <w:right w:val="single" w:sz="8" w:space="0" w:color="auto"/>
            </w:tcBorders>
            <w:vAlign w:val="center"/>
            <w:hideMark/>
          </w:tcPr>
          <w:p w14:paraId="3B5ADD52" w14:textId="77777777" w:rsidR="004A66F0" w:rsidRPr="004A66F0" w:rsidRDefault="004A66F0" w:rsidP="008D7BB4">
            <w:pPr>
              <w:spacing w:line="276" w:lineRule="auto"/>
              <w:ind w:firstLineChars="200" w:firstLine="360"/>
              <w:contextualSpacing/>
              <w:rPr>
                <w:rFonts w:ascii="Times New Roman" w:eastAsia="Times New Roman" w:hAnsi="Times New Roman" w:cs="Times New Roman"/>
                <w:sz w:val="18"/>
                <w:szCs w:val="18"/>
                <w:lang w:eastAsia="es-GT"/>
              </w:rPr>
            </w:pPr>
            <w:r w:rsidRPr="004A66F0">
              <w:rPr>
                <w:rFonts w:ascii="Times New Roman" w:eastAsia="Times New Roman" w:hAnsi="Times New Roman" w:cs="Times New Roman"/>
                <w:sz w:val="18"/>
                <w:szCs w:val="18"/>
                <w:lang w:eastAsia="es-GT"/>
              </w:rPr>
              <w:t>Ministerio de Educación</w:t>
            </w:r>
          </w:p>
        </w:tc>
        <w:tc>
          <w:tcPr>
            <w:tcW w:w="1519" w:type="dxa"/>
            <w:tcBorders>
              <w:top w:val="nil"/>
              <w:left w:val="nil"/>
              <w:bottom w:val="nil"/>
              <w:right w:val="single" w:sz="8" w:space="0" w:color="auto"/>
            </w:tcBorders>
            <w:noWrap/>
            <w:vAlign w:val="center"/>
            <w:hideMark/>
          </w:tcPr>
          <w:p w14:paraId="27E975FF" w14:textId="77777777" w:rsidR="004A66F0" w:rsidRPr="004A66F0" w:rsidRDefault="004A66F0" w:rsidP="008D7BB4">
            <w:pPr>
              <w:spacing w:line="276" w:lineRule="auto"/>
              <w:contextualSpacing/>
              <w:jc w:val="center"/>
              <w:rPr>
                <w:rFonts w:ascii="Times New Roman" w:eastAsia="Times New Roman" w:hAnsi="Times New Roman" w:cs="Times New Roman"/>
                <w:sz w:val="18"/>
                <w:szCs w:val="18"/>
                <w:lang w:eastAsia="es-GT"/>
              </w:rPr>
            </w:pPr>
            <w:r w:rsidRPr="004A66F0">
              <w:rPr>
                <w:rFonts w:ascii="Times New Roman" w:eastAsia="Times New Roman" w:hAnsi="Times New Roman" w:cs="Times New Roman"/>
                <w:sz w:val="18"/>
                <w:szCs w:val="18"/>
                <w:lang w:eastAsia="es-GT"/>
              </w:rPr>
              <w:t>13.9</w:t>
            </w:r>
          </w:p>
        </w:tc>
        <w:tc>
          <w:tcPr>
            <w:tcW w:w="1382" w:type="dxa"/>
            <w:tcBorders>
              <w:top w:val="nil"/>
              <w:left w:val="nil"/>
              <w:bottom w:val="nil"/>
              <w:right w:val="single" w:sz="8" w:space="0" w:color="auto"/>
            </w:tcBorders>
            <w:noWrap/>
            <w:vAlign w:val="center"/>
            <w:hideMark/>
          </w:tcPr>
          <w:p w14:paraId="42607DFF" w14:textId="77777777" w:rsidR="004A66F0" w:rsidRPr="004A66F0" w:rsidRDefault="004A66F0" w:rsidP="008D7BB4">
            <w:pPr>
              <w:spacing w:line="276" w:lineRule="auto"/>
              <w:contextualSpacing/>
              <w:jc w:val="center"/>
              <w:rPr>
                <w:rFonts w:ascii="Times New Roman" w:eastAsia="Times New Roman" w:hAnsi="Times New Roman" w:cs="Times New Roman"/>
                <w:sz w:val="18"/>
                <w:szCs w:val="18"/>
                <w:lang w:eastAsia="es-GT"/>
              </w:rPr>
            </w:pPr>
            <w:r w:rsidRPr="004A66F0">
              <w:rPr>
                <w:rFonts w:ascii="Times New Roman" w:eastAsia="Times New Roman" w:hAnsi="Times New Roman" w:cs="Times New Roman"/>
                <w:sz w:val="18"/>
                <w:szCs w:val="18"/>
                <w:lang w:eastAsia="es-GT"/>
              </w:rPr>
              <w:t>13.6</w:t>
            </w:r>
          </w:p>
        </w:tc>
        <w:tc>
          <w:tcPr>
            <w:tcW w:w="1381" w:type="dxa"/>
            <w:tcBorders>
              <w:top w:val="nil"/>
              <w:left w:val="nil"/>
              <w:bottom w:val="nil"/>
              <w:right w:val="single" w:sz="8" w:space="0" w:color="auto"/>
            </w:tcBorders>
            <w:noWrap/>
            <w:vAlign w:val="center"/>
            <w:hideMark/>
          </w:tcPr>
          <w:p w14:paraId="0ACE689F" w14:textId="77777777" w:rsidR="004A66F0" w:rsidRPr="004A66F0" w:rsidRDefault="004A66F0" w:rsidP="008D7BB4">
            <w:pPr>
              <w:spacing w:line="276" w:lineRule="auto"/>
              <w:contextualSpacing/>
              <w:jc w:val="center"/>
              <w:rPr>
                <w:rFonts w:ascii="Times New Roman" w:eastAsia="Times New Roman" w:hAnsi="Times New Roman" w:cs="Times New Roman"/>
                <w:sz w:val="18"/>
                <w:szCs w:val="18"/>
                <w:lang w:eastAsia="es-GT"/>
              </w:rPr>
            </w:pPr>
            <w:r w:rsidRPr="004A66F0">
              <w:rPr>
                <w:rFonts w:ascii="Times New Roman" w:eastAsia="Times New Roman" w:hAnsi="Times New Roman" w:cs="Times New Roman"/>
                <w:sz w:val="18"/>
                <w:szCs w:val="18"/>
                <w:lang w:eastAsia="es-GT"/>
              </w:rPr>
              <w:t>98.1</w:t>
            </w:r>
          </w:p>
        </w:tc>
      </w:tr>
      <w:tr w:rsidR="004A66F0" w:rsidRPr="004A66F0" w14:paraId="23D52269" w14:textId="77777777" w:rsidTr="001659B1">
        <w:trPr>
          <w:trHeight w:val="306"/>
          <w:jc w:val="center"/>
        </w:trPr>
        <w:tc>
          <w:tcPr>
            <w:tcW w:w="4689" w:type="dxa"/>
            <w:tcBorders>
              <w:top w:val="nil"/>
              <w:left w:val="single" w:sz="8" w:space="0" w:color="auto"/>
              <w:bottom w:val="nil"/>
              <w:right w:val="single" w:sz="8" w:space="0" w:color="auto"/>
            </w:tcBorders>
            <w:vAlign w:val="center"/>
            <w:hideMark/>
          </w:tcPr>
          <w:p w14:paraId="59C3EE43" w14:textId="77777777" w:rsidR="004A66F0" w:rsidRPr="004A66F0" w:rsidRDefault="004A66F0" w:rsidP="008D7BB4">
            <w:pPr>
              <w:spacing w:line="276" w:lineRule="auto"/>
              <w:ind w:firstLineChars="200" w:firstLine="360"/>
              <w:contextualSpacing/>
              <w:rPr>
                <w:rFonts w:ascii="Times New Roman" w:eastAsia="Times New Roman" w:hAnsi="Times New Roman" w:cs="Times New Roman"/>
                <w:sz w:val="18"/>
                <w:szCs w:val="18"/>
                <w:lang w:eastAsia="es-GT"/>
              </w:rPr>
            </w:pPr>
            <w:r w:rsidRPr="004A66F0">
              <w:rPr>
                <w:rFonts w:ascii="Times New Roman" w:eastAsia="Times New Roman" w:hAnsi="Times New Roman" w:cs="Times New Roman"/>
                <w:sz w:val="18"/>
                <w:szCs w:val="18"/>
                <w:lang w:eastAsia="es-GT"/>
              </w:rPr>
              <w:t>Ministerio de Salud Pública y Asistencia Social</w:t>
            </w:r>
          </w:p>
        </w:tc>
        <w:tc>
          <w:tcPr>
            <w:tcW w:w="1519" w:type="dxa"/>
            <w:tcBorders>
              <w:top w:val="nil"/>
              <w:left w:val="nil"/>
              <w:bottom w:val="nil"/>
              <w:right w:val="single" w:sz="8" w:space="0" w:color="auto"/>
            </w:tcBorders>
            <w:noWrap/>
            <w:vAlign w:val="center"/>
            <w:hideMark/>
          </w:tcPr>
          <w:p w14:paraId="4C986D5C" w14:textId="77777777" w:rsidR="004A66F0" w:rsidRPr="004A66F0" w:rsidRDefault="004A66F0" w:rsidP="008D7BB4">
            <w:pPr>
              <w:spacing w:line="276" w:lineRule="auto"/>
              <w:contextualSpacing/>
              <w:jc w:val="center"/>
              <w:rPr>
                <w:rFonts w:ascii="Times New Roman" w:eastAsia="Times New Roman" w:hAnsi="Times New Roman" w:cs="Times New Roman"/>
                <w:sz w:val="18"/>
                <w:szCs w:val="18"/>
                <w:lang w:eastAsia="es-GT"/>
              </w:rPr>
            </w:pPr>
            <w:r w:rsidRPr="004A66F0">
              <w:rPr>
                <w:rFonts w:ascii="Times New Roman" w:eastAsia="Times New Roman" w:hAnsi="Times New Roman" w:cs="Times New Roman"/>
                <w:sz w:val="18"/>
                <w:szCs w:val="18"/>
                <w:lang w:eastAsia="es-GT"/>
              </w:rPr>
              <w:t>9.4</w:t>
            </w:r>
          </w:p>
        </w:tc>
        <w:tc>
          <w:tcPr>
            <w:tcW w:w="1382" w:type="dxa"/>
            <w:tcBorders>
              <w:top w:val="nil"/>
              <w:left w:val="nil"/>
              <w:bottom w:val="nil"/>
              <w:right w:val="single" w:sz="8" w:space="0" w:color="auto"/>
            </w:tcBorders>
            <w:noWrap/>
            <w:vAlign w:val="center"/>
            <w:hideMark/>
          </w:tcPr>
          <w:p w14:paraId="0EA84747" w14:textId="77777777" w:rsidR="004A66F0" w:rsidRPr="004A66F0" w:rsidRDefault="004A66F0" w:rsidP="008D7BB4">
            <w:pPr>
              <w:spacing w:line="276" w:lineRule="auto"/>
              <w:contextualSpacing/>
              <w:jc w:val="center"/>
              <w:rPr>
                <w:rFonts w:ascii="Times New Roman" w:eastAsia="Times New Roman" w:hAnsi="Times New Roman" w:cs="Times New Roman"/>
                <w:sz w:val="18"/>
                <w:szCs w:val="18"/>
                <w:lang w:eastAsia="es-GT"/>
              </w:rPr>
            </w:pPr>
            <w:r w:rsidRPr="004A66F0">
              <w:rPr>
                <w:rFonts w:ascii="Times New Roman" w:eastAsia="Times New Roman" w:hAnsi="Times New Roman" w:cs="Times New Roman"/>
                <w:sz w:val="18"/>
                <w:szCs w:val="18"/>
                <w:lang w:eastAsia="es-GT"/>
              </w:rPr>
              <w:t>6.8</w:t>
            </w:r>
          </w:p>
        </w:tc>
        <w:tc>
          <w:tcPr>
            <w:tcW w:w="1381" w:type="dxa"/>
            <w:tcBorders>
              <w:top w:val="nil"/>
              <w:left w:val="nil"/>
              <w:bottom w:val="nil"/>
              <w:right w:val="single" w:sz="8" w:space="0" w:color="auto"/>
            </w:tcBorders>
            <w:noWrap/>
            <w:vAlign w:val="center"/>
            <w:hideMark/>
          </w:tcPr>
          <w:p w14:paraId="68C33500" w14:textId="77777777" w:rsidR="004A66F0" w:rsidRPr="004A66F0" w:rsidRDefault="004A66F0" w:rsidP="008D7BB4">
            <w:pPr>
              <w:spacing w:line="276" w:lineRule="auto"/>
              <w:contextualSpacing/>
              <w:jc w:val="center"/>
              <w:rPr>
                <w:rFonts w:ascii="Times New Roman" w:eastAsia="Times New Roman" w:hAnsi="Times New Roman" w:cs="Times New Roman"/>
                <w:sz w:val="18"/>
                <w:szCs w:val="18"/>
                <w:lang w:eastAsia="es-GT"/>
              </w:rPr>
            </w:pPr>
            <w:r w:rsidRPr="004A66F0">
              <w:rPr>
                <w:rFonts w:ascii="Times New Roman" w:eastAsia="Times New Roman" w:hAnsi="Times New Roman" w:cs="Times New Roman"/>
                <w:sz w:val="18"/>
                <w:szCs w:val="18"/>
                <w:lang w:eastAsia="es-GT"/>
              </w:rPr>
              <w:t>71.5</w:t>
            </w:r>
          </w:p>
        </w:tc>
      </w:tr>
      <w:tr w:rsidR="004A66F0" w:rsidRPr="004A66F0" w14:paraId="6ED61798" w14:textId="77777777" w:rsidTr="001659B1">
        <w:trPr>
          <w:trHeight w:val="306"/>
          <w:jc w:val="center"/>
        </w:trPr>
        <w:tc>
          <w:tcPr>
            <w:tcW w:w="4689" w:type="dxa"/>
            <w:tcBorders>
              <w:top w:val="nil"/>
              <w:left w:val="single" w:sz="8" w:space="0" w:color="auto"/>
              <w:bottom w:val="nil"/>
              <w:right w:val="single" w:sz="8" w:space="0" w:color="auto"/>
            </w:tcBorders>
            <w:vAlign w:val="center"/>
            <w:hideMark/>
          </w:tcPr>
          <w:p w14:paraId="4295CEB7" w14:textId="77777777" w:rsidR="004A66F0" w:rsidRPr="004A66F0" w:rsidRDefault="004A66F0" w:rsidP="008D7BB4">
            <w:pPr>
              <w:spacing w:line="276" w:lineRule="auto"/>
              <w:ind w:firstLineChars="200" w:firstLine="360"/>
              <w:contextualSpacing/>
              <w:rPr>
                <w:rFonts w:ascii="Times New Roman" w:eastAsia="Times New Roman" w:hAnsi="Times New Roman" w:cs="Times New Roman"/>
                <w:sz w:val="18"/>
                <w:szCs w:val="18"/>
                <w:lang w:eastAsia="es-GT"/>
              </w:rPr>
            </w:pPr>
            <w:r w:rsidRPr="004A66F0">
              <w:rPr>
                <w:rFonts w:ascii="Times New Roman" w:eastAsia="Times New Roman" w:hAnsi="Times New Roman" w:cs="Times New Roman"/>
                <w:sz w:val="18"/>
                <w:szCs w:val="18"/>
                <w:lang w:eastAsia="es-GT"/>
              </w:rPr>
              <w:t>Ministerio de Agricultura, Ganadería y Alimentación</w:t>
            </w:r>
          </w:p>
        </w:tc>
        <w:tc>
          <w:tcPr>
            <w:tcW w:w="1519" w:type="dxa"/>
            <w:tcBorders>
              <w:top w:val="nil"/>
              <w:left w:val="nil"/>
              <w:bottom w:val="nil"/>
              <w:right w:val="single" w:sz="8" w:space="0" w:color="auto"/>
            </w:tcBorders>
            <w:noWrap/>
            <w:vAlign w:val="center"/>
            <w:hideMark/>
          </w:tcPr>
          <w:p w14:paraId="082821A5" w14:textId="77777777" w:rsidR="004A66F0" w:rsidRPr="004A66F0" w:rsidRDefault="004A66F0" w:rsidP="008D7BB4">
            <w:pPr>
              <w:spacing w:line="276" w:lineRule="auto"/>
              <w:contextualSpacing/>
              <w:jc w:val="center"/>
              <w:rPr>
                <w:rFonts w:ascii="Times New Roman" w:eastAsia="Times New Roman" w:hAnsi="Times New Roman" w:cs="Times New Roman"/>
                <w:sz w:val="18"/>
                <w:szCs w:val="18"/>
                <w:lang w:eastAsia="es-GT"/>
              </w:rPr>
            </w:pPr>
            <w:r w:rsidRPr="004A66F0">
              <w:rPr>
                <w:rFonts w:ascii="Times New Roman" w:eastAsia="Times New Roman" w:hAnsi="Times New Roman" w:cs="Times New Roman"/>
                <w:sz w:val="18"/>
                <w:szCs w:val="18"/>
                <w:lang w:eastAsia="es-GT"/>
              </w:rPr>
              <w:t>78.7</w:t>
            </w:r>
          </w:p>
        </w:tc>
        <w:tc>
          <w:tcPr>
            <w:tcW w:w="1382" w:type="dxa"/>
            <w:tcBorders>
              <w:top w:val="nil"/>
              <w:left w:val="nil"/>
              <w:bottom w:val="nil"/>
              <w:right w:val="single" w:sz="8" w:space="0" w:color="auto"/>
            </w:tcBorders>
            <w:noWrap/>
            <w:vAlign w:val="center"/>
            <w:hideMark/>
          </w:tcPr>
          <w:p w14:paraId="069F5E48" w14:textId="77777777" w:rsidR="004A66F0" w:rsidRPr="004A66F0" w:rsidRDefault="004A66F0" w:rsidP="008D7BB4">
            <w:pPr>
              <w:spacing w:line="276" w:lineRule="auto"/>
              <w:contextualSpacing/>
              <w:jc w:val="center"/>
              <w:rPr>
                <w:rFonts w:ascii="Times New Roman" w:eastAsia="Times New Roman" w:hAnsi="Times New Roman" w:cs="Times New Roman"/>
                <w:sz w:val="18"/>
                <w:szCs w:val="18"/>
                <w:lang w:eastAsia="es-GT"/>
              </w:rPr>
            </w:pPr>
            <w:r w:rsidRPr="004A66F0">
              <w:rPr>
                <w:rFonts w:ascii="Times New Roman" w:eastAsia="Times New Roman" w:hAnsi="Times New Roman" w:cs="Times New Roman"/>
                <w:sz w:val="18"/>
                <w:szCs w:val="18"/>
                <w:lang w:eastAsia="es-GT"/>
              </w:rPr>
              <w:t>46.0</w:t>
            </w:r>
          </w:p>
        </w:tc>
        <w:tc>
          <w:tcPr>
            <w:tcW w:w="1381" w:type="dxa"/>
            <w:tcBorders>
              <w:top w:val="nil"/>
              <w:left w:val="nil"/>
              <w:bottom w:val="nil"/>
              <w:right w:val="single" w:sz="8" w:space="0" w:color="auto"/>
            </w:tcBorders>
            <w:noWrap/>
            <w:vAlign w:val="center"/>
            <w:hideMark/>
          </w:tcPr>
          <w:p w14:paraId="2AF0B17F" w14:textId="77777777" w:rsidR="004A66F0" w:rsidRPr="004A66F0" w:rsidRDefault="004A66F0" w:rsidP="008D7BB4">
            <w:pPr>
              <w:spacing w:line="276" w:lineRule="auto"/>
              <w:contextualSpacing/>
              <w:jc w:val="center"/>
              <w:rPr>
                <w:rFonts w:ascii="Times New Roman" w:eastAsia="Times New Roman" w:hAnsi="Times New Roman" w:cs="Times New Roman"/>
                <w:sz w:val="18"/>
                <w:szCs w:val="18"/>
                <w:lang w:eastAsia="es-GT"/>
              </w:rPr>
            </w:pPr>
            <w:r w:rsidRPr="004A66F0">
              <w:rPr>
                <w:rFonts w:ascii="Times New Roman" w:eastAsia="Times New Roman" w:hAnsi="Times New Roman" w:cs="Times New Roman"/>
                <w:sz w:val="18"/>
                <w:szCs w:val="18"/>
                <w:lang w:eastAsia="es-GT"/>
              </w:rPr>
              <w:t>58.4</w:t>
            </w:r>
          </w:p>
        </w:tc>
      </w:tr>
      <w:tr w:rsidR="004A66F0" w:rsidRPr="004A66F0" w14:paraId="7608200B" w14:textId="77777777" w:rsidTr="001659B1">
        <w:trPr>
          <w:trHeight w:val="306"/>
          <w:jc w:val="center"/>
        </w:trPr>
        <w:tc>
          <w:tcPr>
            <w:tcW w:w="4689" w:type="dxa"/>
            <w:tcBorders>
              <w:top w:val="nil"/>
              <w:left w:val="single" w:sz="8" w:space="0" w:color="auto"/>
              <w:bottom w:val="nil"/>
              <w:right w:val="single" w:sz="8" w:space="0" w:color="auto"/>
            </w:tcBorders>
            <w:vAlign w:val="center"/>
            <w:hideMark/>
          </w:tcPr>
          <w:p w14:paraId="265426D8" w14:textId="77777777" w:rsidR="004A66F0" w:rsidRPr="004A66F0" w:rsidRDefault="004A66F0" w:rsidP="008D7BB4">
            <w:pPr>
              <w:spacing w:line="276" w:lineRule="auto"/>
              <w:ind w:firstLineChars="200" w:firstLine="360"/>
              <w:contextualSpacing/>
              <w:rPr>
                <w:rFonts w:ascii="Times New Roman" w:eastAsia="Times New Roman" w:hAnsi="Times New Roman" w:cs="Times New Roman"/>
                <w:sz w:val="18"/>
                <w:szCs w:val="18"/>
                <w:lang w:eastAsia="es-GT"/>
              </w:rPr>
            </w:pPr>
            <w:r w:rsidRPr="004A66F0">
              <w:rPr>
                <w:rFonts w:ascii="Times New Roman" w:eastAsia="Times New Roman" w:hAnsi="Times New Roman" w:cs="Times New Roman"/>
                <w:sz w:val="18"/>
                <w:szCs w:val="18"/>
                <w:lang w:eastAsia="es-GT"/>
              </w:rPr>
              <w:t>Ministerio de Comunicaciones, Infraestructura y Vivienda</w:t>
            </w:r>
          </w:p>
        </w:tc>
        <w:tc>
          <w:tcPr>
            <w:tcW w:w="1519" w:type="dxa"/>
            <w:tcBorders>
              <w:top w:val="nil"/>
              <w:left w:val="nil"/>
              <w:bottom w:val="nil"/>
              <w:right w:val="single" w:sz="8" w:space="0" w:color="auto"/>
            </w:tcBorders>
            <w:noWrap/>
            <w:vAlign w:val="center"/>
            <w:hideMark/>
          </w:tcPr>
          <w:p w14:paraId="0562F36E" w14:textId="77777777" w:rsidR="004A66F0" w:rsidRPr="004A66F0" w:rsidRDefault="004A66F0" w:rsidP="008D7BB4">
            <w:pPr>
              <w:spacing w:line="276" w:lineRule="auto"/>
              <w:contextualSpacing/>
              <w:jc w:val="center"/>
              <w:rPr>
                <w:rFonts w:ascii="Times New Roman" w:eastAsia="Times New Roman" w:hAnsi="Times New Roman" w:cs="Times New Roman"/>
                <w:sz w:val="18"/>
                <w:szCs w:val="18"/>
                <w:lang w:eastAsia="es-GT"/>
              </w:rPr>
            </w:pPr>
            <w:r w:rsidRPr="004A66F0">
              <w:rPr>
                <w:rFonts w:ascii="Times New Roman" w:eastAsia="Times New Roman" w:hAnsi="Times New Roman" w:cs="Times New Roman"/>
                <w:sz w:val="18"/>
                <w:szCs w:val="18"/>
                <w:lang w:eastAsia="es-GT"/>
              </w:rPr>
              <w:t>635.4</w:t>
            </w:r>
          </w:p>
        </w:tc>
        <w:tc>
          <w:tcPr>
            <w:tcW w:w="1382" w:type="dxa"/>
            <w:tcBorders>
              <w:top w:val="nil"/>
              <w:left w:val="nil"/>
              <w:bottom w:val="nil"/>
              <w:right w:val="single" w:sz="8" w:space="0" w:color="auto"/>
            </w:tcBorders>
            <w:noWrap/>
            <w:vAlign w:val="center"/>
            <w:hideMark/>
          </w:tcPr>
          <w:p w14:paraId="402176F6" w14:textId="77777777" w:rsidR="004A66F0" w:rsidRPr="004A66F0" w:rsidRDefault="004A66F0" w:rsidP="008D7BB4">
            <w:pPr>
              <w:spacing w:line="276" w:lineRule="auto"/>
              <w:contextualSpacing/>
              <w:jc w:val="center"/>
              <w:rPr>
                <w:rFonts w:ascii="Times New Roman" w:eastAsia="Times New Roman" w:hAnsi="Times New Roman" w:cs="Times New Roman"/>
                <w:sz w:val="18"/>
                <w:szCs w:val="18"/>
                <w:lang w:eastAsia="es-GT"/>
              </w:rPr>
            </w:pPr>
            <w:r w:rsidRPr="004A66F0">
              <w:rPr>
                <w:rFonts w:ascii="Times New Roman" w:eastAsia="Times New Roman" w:hAnsi="Times New Roman" w:cs="Times New Roman"/>
                <w:sz w:val="18"/>
                <w:szCs w:val="18"/>
                <w:lang w:eastAsia="es-GT"/>
              </w:rPr>
              <w:t>624.9</w:t>
            </w:r>
          </w:p>
        </w:tc>
        <w:tc>
          <w:tcPr>
            <w:tcW w:w="1381" w:type="dxa"/>
            <w:tcBorders>
              <w:top w:val="nil"/>
              <w:left w:val="nil"/>
              <w:bottom w:val="nil"/>
              <w:right w:val="single" w:sz="8" w:space="0" w:color="auto"/>
            </w:tcBorders>
            <w:noWrap/>
            <w:vAlign w:val="center"/>
            <w:hideMark/>
          </w:tcPr>
          <w:p w14:paraId="5EDD9774" w14:textId="77777777" w:rsidR="004A66F0" w:rsidRPr="004A66F0" w:rsidRDefault="004A66F0" w:rsidP="008D7BB4">
            <w:pPr>
              <w:spacing w:line="276" w:lineRule="auto"/>
              <w:contextualSpacing/>
              <w:jc w:val="center"/>
              <w:rPr>
                <w:rFonts w:ascii="Times New Roman" w:eastAsia="Times New Roman" w:hAnsi="Times New Roman" w:cs="Times New Roman"/>
                <w:sz w:val="18"/>
                <w:szCs w:val="18"/>
                <w:lang w:eastAsia="es-GT"/>
              </w:rPr>
            </w:pPr>
            <w:r w:rsidRPr="004A66F0">
              <w:rPr>
                <w:rFonts w:ascii="Times New Roman" w:eastAsia="Times New Roman" w:hAnsi="Times New Roman" w:cs="Times New Roman"/>
                <w:sz w:val="18"/>
                <w:szCs w:val="18"/>
                <w:lang w:eastAsia="es-GT"/>
              </w:rPr>
              <w:t>98.3</w:t>
            </w:r>
          </w:p>
        </w:tc>
      </w:tr>
      <w:tr w:rsidR="004A66F0" w:rsidRPr="004A66F0" w14:paraId="28F57F42" w14:textId="77777777" w:rsidTr="001659B1">
        <w:trPr>
          <w:trHeight w:val="306"/>
          <w:jc w:val="center"/>
        </w:trPr>
        <w:tc>
          <w:tcPr>
            <w:tcW w:w="4689" w:type="dxa"/>
            <w:tcBorders>
              <w:top w:val="nil"/>
              <w:left w:val="single" w:sz="8" w:space="0" w:color="auto"/>
              <w:bottom w:val="single" w:sz="8" w:space="0" w:color="auto"/>
              <w:right w:val="single" w:sz="8" w:space="0" w:color="auto"/>
            </w:tcBorders>
            <w:vAlign w:val="center"/>
            <w:hideMark/>
          </w:tcPr>
          <w:p w14:paraId="30C23D35" w14:textId="77777777" w:rsidR="004A66F0" w:rsidRPr="004A66F0" w:rsidRDefault="004A66F0" w:rsidP="008D7BB4">
            <w:pPr>
              <w:spacing w:line="276" w:lineRule="auto"/>
              <w:ind w:firstLineChars="200" w:firstLine="360"/>
              <w:contextualSpacing/>
              <w:rPr>
                <w:rFonts w:ascii="Times New Roman" w:eastAsia="Times New Roman" w:hAnsi="Times New Roman" w:cs="Times New Roman"/>
                <w:sz w:val="18"/>
                <w:szCs w:val="18"/>
                <w:lang w:eastAsia="es-GT"/>
              </w:rPr>
            </w:pPr>
            <w:r w:rsidRPr="004A66F0">
              <w:rPr>
                <w:rFonts w:ascii="Times New Roman" w:eastAsia="Times New Roman" w:hAnsi="Times New Roman" w:cs="Times New Roman"/>
                <w:sz w:val="18"/>
                <w:szCs w:val="18"/>
                <w:lang w:eastAsia="es-GT"/>
              </w:rPr>
              <w:t>Ministerio de Desarrollo Social</w:t>
            </w:r>
          </w:p>
        </w:tc>
        <w:tc>
          <w:tcPr>
            <w:tcW w:w="1519" w:type="dxa"/>
            <w:tcBorders>
              <w:top w:val="nil"/>
              <w:left w:val="nil"/>
              <w:bottom w:val="single" w:sz="8" w:space="0" w:color="auto"/>
              <w:right w:val="single" w:sz="8" w:space="0" w:color="auto"/>
            </w:tcBorders>
            <w:noWrap/>
            <w:vAlign w:val="center"/>
            <w:hideMark/>
          </w:tcPr>
          <w:p w14:paraId="26B2F3CC" w14:textId="77777777" w:rsidR="004A66F0" w:rsidRPr="004A66F0" w:rsidRDefault="004A66F0" w:rsidP="008D7BB4">
            <w:pPr>
              <w:spacing w:line="276" w:lineRule="auto"/>
              <w:contextualSpacing/>
              <w:jc w:val="center"/>
              <w:rPr>
                <w:rFonts w:ascii="Times New Roman" w:eastAsia="Times New Roman" w:hAnsi="Times New Roman" w:cs="Times New Roman"/>
                <w:sz w:val="18"/>
                <w:szCs w:val="18"/>
                <w:lang w:eastAsia="es-GT"/>
              </w:rPr>
            </w:pPr>
            <w:r w:rsidRPr="004A66F0">
              <w:rPr>
                <w:rFonts w:ascii="Times New Roman" w:eastAsia="Times New Roman" w:hAnsi="Times New Roman" w:cs="Times New Roman"/>
                <w:sz w:val="18"/>
                <w:szCs w:val="18"/>
                <w:lang w:eastAsia="es-GT"/>
              </w:rPr>
              <w:t>39.1</w:t>
            </w:r>
          </w:p>
        </w:tc>
        <w:tc>
          <w:tcPr>
            <w:tcW w:w="1382" w:type="dxa"/>
            <w:tcBorders>
              <w:top w:val="nil"/>
              <w:left w:val="nil"/>
              <w:bottom w:val="single" w:sz="8" w:space="0" w:color="auto"/>
              <w:right w:val="single" w:sz="8" w:space="0" w:color="auto"/>
            </w:tcBorders>
            <w:noWrap/>
            <w:vAlign w:val="center"/>
            <w:hideMark/>
          </w:tcPr>
          <w:p w14:paraId="3A3F8EE9" w14:textId="77777777" w:rsidR="004A66F0" w:rsidRPr="004A66F0" w:rsidRDefault="004A66F0" w:rsidP="008D7BB4">
            <w:pPr>
              <w:spacing w:line="276" w:lineRule="auto"/>
              <w:contextualSpacing/>
              <w:jc w:val="center"/>
              <w:rPr>
                <w:rFonts w:ascii="Times New Roman" w:eastAsia="Times New Roman" w:hAnsi="Times New Roman" w:cs="Times New Roman"/>
                <w:sz w:val="18"/>
                <w:szCs w:val="18"/>
                <w:lang w:eastAsia="es-GT"/>
              </w:rPr>
            </w:pPr>
            <w:r w:rsidRPr="004A66F0">
              <w:rPr>
                <w:rFonts w:ascii="Times New Roman" w:eastAsia="Times New Roman" w:hAnsi="Times New Roman" w:cs="Times New Roman"/>
                <w:sz w:val="18"/>
                <w:szCs w:val="18"/>
                <w:lang w:eastAsia="es-GT"/>
              </w:rPr>
              <w:t>39.1</w:t>
            </w:r>
          </w:p>
        </w:tc>
        <w:tc>
          <w:tcPr>
            <w:tcW w:w="1381" w:type="dxa"/>
            <w:tcBorders>
              <w:top w:val="nil"/>
              <w:left w:val="nil"/>
              <w:bottom w:val="single" w:sz="8" w:space="0" w:color="auto"/>
              <w:right w:val="single" w:sz="8" w:space="0" w:color="auto"/>
            </w:tcBorders>
            <w:noWrap/>
            <w:vAlign w:val="center"/>
            <w:hideMark/>
          </w:tcPr>
          <w:p w14:paraId="335A4428" w14:textId="77777777" w:rsidR="004A66F0" w:rsidRPr="004A66F0" w:rsidRDefault="004A66F0" w:rsidP="008D7BB4">
            <w:pPr>
              <w:spacing w:line="276" w:lineRule="auto"/>
              <w:contextualSpacing/>
              <w:jc w:val="center"/>
              <w:rPr>
                <w:rFonts w:ascii="Times New Roman" w:eastAsia="Times New Roman" w:hAnsi="Times New Roman" w:cs="Times New Roman"/>
                <w:sz w:val="18"/>
                <w:szCs w:val="18"/>
                <w:lang w:eastAsia="es-GT"/>
              </w:rPr>
            </w:pPr>
            <w:r w:rsidRPr="004A66F0">
              <w:rPr>
                <w:rFonts w:ascii="Times New Roman" w:eastAsia="Times New Roman" w:hAnsi="Times New Roman" w:cs="Times New Roman"/>
                <w:sz w:val="18"/>
                <w:szCs w:val="18"/>
                <w:lang w:eastAsia="es-GT"/>
              </w:rPr>
              <w:t>100.0</w:t>
            </w:r>
          </w:p>
        </w:tc>
      </w:tr>
    </w:tbl>
    <w:p w14:paraId="77B8A77F" w14:textId="688817C4" w:rsidR="004A66F0" w:rsidRDefault="004A66F0" w:rsidP="008D7BB4">
      <w:pPr>
        <w:spacing w:line="276" w:lineRule="auto"/>
        <w:contextualSpacing/>
        <w:rPr>
          <w:rFonts w:ascii="Times New Roman" w:eastAsia="Times New Roman" w:hAnsi="Times New Roman" w:cs="Times New Roman"/>
          <w:sz w:val="18"/>
          <w:szCs w:val="18"/>
          <w:lang w:val="es-MX" w:eastAsia="es-ES"/>
        </w:rPr>
      </w:pPr>
      <w:r w:rsidRPr="004A66F0">
        <w:rPr>
          <w:rFonts w:ascii="Times New Roman" w:eastAsia="Times New Roman" w:hAnsi="Times New Roman" w:cs="Times New Roman"/>
          <w:sz w:val="18"/>
          <w:szCs w:val="18"/>
          <w:lang w:val="es-MX" w:eastAsia="es-ES"/>
        </w:rPr>
        <w:t xml:space="preserve">           Fuente: SICOI</w:t>
      </w:r>
      <w:r w:rsidR="001659B1">
        <w:rPr>
          <w:rFonts w:ascii="Times New Roman" w:eastAsia="Times New Roman" w:hAnsi="Times New Roman" w:cs="Times New Roman"/>
          <w:sz w:val="18"/>
          <w:szCs w:val="18"/>
          <w:lang w:val="es-MX" w:eastAsia="es-ES"/>
        </w:rPr>
        <w:t>N</w:t>
      </w:r>
    </w:p>
    <w:p w14:paraId="48049F5B" w14:textId="77777777" w:rsidR="004142A0" w:rsidRPr="001659B1" w:rsidRDefault="004142A0" w:rsidP="008D7BB4">
      <w:pPr>
        <w:spacing w:line="276" w:lineRule="auto"/>
        <w:contextualSpacing/>
        <w:rPr>
          <w:rFonts w:ascii="Times New Roman" w:eastAsia="Times New Roman" w:hAnsi="Times New Roman" w:cs="Times New Roman"/>
          <w:sz w:val="18"/>
          <w:szCs w:val="18"/>
          <w:lang w:val="es-MX" w:eastAsia="es-ES"/>
        </w:rPr>
      </w:pPr>
    </w:p>
    <w:p w14:paraId="01FEA3FC" w14:textId="5E195346" w:rsidR="004A66F0" w:rsidRDefault="004A66F0" w:rsidP="008D7BB4">
      <w:pPr>
        <w:pStyle w:val="Prrafodelista"/>
        <w:numPr>
          <w:ilvl w:val="0"/>
          <w:numId w:val="20"/>
        </w:numPr>
        <w:spacing w:line="276" w:lineRule="auto"/>
        <w:ind w:left="284" w:hanging="284"/>
        <w:jc w:val="both"/>
        <w:outlineLvl w:val="0"/>
        <w:rPr>
          <w:rFonts w:ascii="Times New Roman" w:eastAsiaTheme="majorEastAsia" w:hAnsi="Times New Roman" w:cs="Times New Roman"/>
          <w:b/>
          <w:bCs/>
          <w:sz w:val="26"/>
          <w:szCs w:val="26"/>
          <w:lang w:val="es-ES_tradnl" w:eastAsia="es-ES"/>
        </w:rPr>
      </w:pPr>
      <w:bookmarkStart w:id="53" w:name="_Toc125723289"/>
      <w:r w:rsidRPr="00CD72A1">
        <w:rPr>
          <w:rFonts w:ascii="Times New Roman" w:eastAsiaTheme="majorEastAsia" w:hAnsi="Times New Roman" w:cs="Times New Roman"/>
          <w:b/>
          <w:bCs/>
          <w:sz w:val="26"/>
          <w:szCs w:val="26"/>
          <w:lang w:val="es-ES_tradnl" w:eastAsia="es-ES"/>
        </w:rPr>
        <w:t>Resultado Fiscal y Financiamiento</w:t>
      </w:r>
      <w:bookmarkEnd w:id="53"/>
    </w:p>
    <w:p w14:paraId="0A54CCCC" w14:textId="77777777" w:rsidR="00B72147" w:rsidRPr="00A02621" w:rsidRDefault="00B72147" w:rsidP="00D32A4D">
      <w:pPr>
        <w:keepNext/>
        <w:keepLines/>
        <w:spacing w:line="276" w:lineRule="auto"/>
        <w:contextualSpacing/>
        <w:outlineLvl w:val="1"/>
        <w:rPr>
          <w:rFonts w:ascii="Times New Roman" w:eastAsiaTheme="majorEastAsia" w:hAnsi="Times New Roman" w:cs="Calibri"/>
          <w:b/>
          <w:bCs/>
          <w:vanish/>
          <w:szCs w:val="26"/>
          <w:lang w:val="es-ES_tradnl" w:eastAsia="es-ES"/>
        </w:rPr>
      </w:pPr>
      <w:bookmarkStart w:id="54" w:name="_Toc31624513"/>
      <w:bookmarkStart w:id="55" w:name="_Toc62724073"/>
      <w:bookmarkStart w:id="56" w:name="_Toc62724136"/>
      <w:bookmarkStart w:id="57" w:name="_Toc62724220"/>
      <w:bookmarkStart w:id="58" w:name="_Toc62724294"/>
      <w:bookmarkStart w:id="59" w:name="_Toc94250359"/>
      <w:bookmarkStart w:id="60" w:name="_Toc94250427"/>
      <w:bookmarkStart w:id="61" w:name="_Toc94251067"/>
      <w:bookmarkStart w:id="62" w:name="_Toc94257729"/>
      <w:bookmarkStart w:id="63" w:name="_Toc94259645"/>
      <w:bookmarkStart w:id="64" w:name="_Toc125451207"/>
      <w:bookmarkStart w:id="65" w:name="_Toc125451320"/>
      <w:bookmarkStart w:id="66" w:name="_Toc125451637"/>
      <w:bookmarkStart w:id="67" w:name="_Toc125451665"/>
      <w:bookmarkStart w:id="68" w:name="_Toc125451699"/>
      <w:bookmarkStart w:id="69" w:name="_Toc125451739"/>
      <w:bookmarkStart w:id="70" w:name="_Toc125451773"/>
      <w:bookmarkStart w:id="71" w:name="_Toc125458267"/>
      <w:bookmarkStart w:id="72" w:name="_Toc125458355"/>
      <w:bookmarkStart w:id="73" w:name="_Toc125458268"/>
      <w:bookmarkStart w:id="74" w:name="_Toc125458356"/>
      <w:bookmarkStart w:id="75" w:name="_Toc94259646"/>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79686583" w14:textId="74624823" w:rsidR="004A66F0" w:rsidRPr="00A36506" w:rsidRDefault="004A66F0" w:rsidP="008D7BB4">
      <w:pPr>
        <w:pStyle w:val="Prrafodelista"/>
        <w:keepNext/>
        <w:keepLines/>
        <w:numPr>
          <w:ilvl w:val="1"/>
          <w:numId w:val="20"/>
        </w:numPr>
        <w:tabs>
          <w:tab w:val="left" w:pos="1134"/>
        </w:tabs>
        <w:spacing w:line="276" w:lineRule="auto"/>
        <w:jc w:val="both"/>
        <w:outlineLvl w:val="1"/>
        <w:rPr>
          <w:rFonts w:ascii="Times New Roman" w:eastAsiaTheme="majorEastAsia" w:hAnsi="Times New Roman" w:cs="Times New Roman"/>
          <w:b/>
          <w:bCs/>
        </w:rPr>
      </w:pPr>
      <w:bookmarkStart w:id="76" w:name="_Toc125723290"/>
      <w:r w:rsidRPr="00A36506">
        <w:rPr>
          <w:rFonts w:ascii="Times New Roman" w:eastAsiaTheme="majorEastAsia" w:hAnsi="Times New Roman" w:cs="Times New Roman"/>
          <w:b/>
          <w:bCs/>
        </w:rPr>
        <w:t>Importante crecimiento de ingresos tributarios</w:t>
      </w:r>
      <w:bookmarkEnd w:id="75"/>
      <w:r w:rsidRPr="00A36506">
        <w:rPr>
          <w:rFonts w:ascii="Times New Roman" w:eastAsiaTheme="majorEastAsia" w:hAnsi="Times New Roman" w:cs="Times New Roman"/>
          <w:b/>
          <w:bCs/>
        </w:rPr>
        <w:t xml:space="preserve"> mantiene el déficit fiscal en nivel bajo</w:t>
      </w:r>
      <w:r w:rsidR="004142A0">
        <w:rPr>
          <w:rFonts w:ascii="Times New Roman" w:eastAsiaTheme="majorEastAsia" w:hAnsi="Times New Roman" w:cs="Times New Roman"/>
          <w:b/>
          <w:bCs/>
        </w:rPr>
        <w:t>.</w:t>
      </w:r>
      <w:bookmarkEnd w:id="76"/>
    </w:p>
    <w:p w14:paraId="350B5BC9" w14:textId="77777777" w:rsidR="004A66F0" w:rsidRPr="004A66F0" w:rsidRDefault="004A66F0" w:rsidP="008D7BB4">
      <w:pPr>
        <w:spacing w:line="276" w:lineRule="auto"/>
        <w:contextualSpacing/>
        <w:jc w:val="both"/>
        <w:rPr>
          <w:rFonts w:cs="Times New Roman"/>
          <w:lang w:val="es-ES_tradnl" w:eastAsia="es-ES"/>
        </w:rPr>
      </w:pPr>
    </w:p>
    <w:p w14:paraId="0FCCF7FA" w14:textId="7007823C" w:rsidR="004A66F0" w:rsidRPr="004A66F0" w:rsidRDefault="004A66F0" w:rsidP="008D7BB4">
      <w:pPr>
        <w:spacing w:line="276" w:lineRule="auto"/>
        <w:contextualSpacing/>
        <w:jc w:val="both"/>
        <w:rPr>
          <w:rFonts w:ascii="Times New Roman" w:eastAsia="Times New Roman" w:hAnsi="Times New Roman" w:cs="Times New Roman"/>
        </w:rPr>
      </w:pPr>
      <w:r w:rsidRPr="004A66F0">
        <w:rPr>
          <w:rFonts w:ascii="Times New Roman" w:eastAsia="Times New Roman" w:hAnsi="Times New Roman" w:cs="Times New Roman"/>
          <w:lang w:val="es-ES_tradnl"/>
        </w:rPr>
        <w:t xml:space="preserve">A lo largo del 2022, se </w:t>
      </w:r>
      <w:r w:rsidRPr="004A66F0">
        <w:rPr>
          <w:rFonts w:ascii="Times New Roman" w:eastAsia="Times New Roman" w:hAnsi="Times New Roman" w:cs="Times New Roman"/>
        </w:rPr>
        <w:t>observó un comportamiento acelerado en la recaudación tributaria</w:t>
      </w:r>
      <w:r w:rsidR="004142A0">
        <w:rPr>
          <w:rFonts w:ascii="Times New Roman" w:eastAsia="Times New Roman" w:hAnsi="Times New Roman" w:cs="Times New Roman"/>
        </w:rPr>
        <w:t>.</w:t>
      </w:r>
      <w:r w:rsidRPr="004A66F0">
        <w:rPr>
          <w:rFonts w:ascii="Times New Roman" w:eastAsia="Times New Roman" w:hAnsi="Times New Roman" w:cs="Times New Roman"/>
        </w:rPr>
        <w:t xml:space="preserve"> </w:t>
      </w:r>
      <w:r w:rsidR="004142A0">
        <w:rPr>
          <w:rFonts w:ascii="Times New Roman" w:eastAsia="Times New Roman" w:hAnsi="Times New Roman" w:cs="Times New Roman"/>
        </w:rPr>
        <w:t>D</w:t>
      </w:r>
      <w:r w:rsidRPr="004A66F0">
        <w:rPr>
          <w:rFonts w:ascii="Times New Roman" w:eastAsia="Times New Roman" w:hAnsi="Times New Roman" w:cs="Times New Roman"/>
        </w:rPr>
        <w:t xml:space="preserve">urante los 12 meses del año la brecha respecto a la meta fue positiva y mes a mes fue ampliándose, debido a la influencia que ejerció el comportamiento volátil en los precios de los </w:t>
      </w:r>
      <w:r w:rsidRPr="004142A0">
        <w:rPr>
          <w:rFonts w:ascii="Times New Roman" w:eastAsia="Times New Roman" w:hAnsi="Times New Roman" w:cs="Times New Roman"/>
          <w:i/>
          <w:iCs/>
        </w:rPr>
        <w:t>commodities</w:t>
      </w:r>
      <w:r w:rsidRPr="004A66F0">
        <w:rPr>
          <w:rFonts w:ascii="Times New Roman" w:eastAsia="Times New Roman" w:hAnsi="Times New Roman" w:cs="Times New Roman"/>
        </w:rPr>
        <w:t xml:space="preserve"> en el mercado internacional y las medidas administrativas adoptadas por la SAT que apuntalaron el nivel de recaudación, permitiendo que los impuestos con mejor desempeño fueran el IVA importaciones, el ISR y el IVA doméstico.</w:t>
      </w:r>
    </w:p>
    <w:p w14:paraId="4551F003" w14:textId="77777777" w:rsidR="004A66F0" w:rsidRPr="004A66F0" w:rsidRDefault="004A66F0" w:rsidP="008D7BB4">
      <w:pPr>
        <w:spacing w:line="276" w:lineRule="auto"/>
        <w:contextualSpacing/>
        <w:jc w:val="both"/>
        <w:rPr>
          <w:rFonts w:ascii="Times New Roman" w:eastAsia="Times New Roman" w:hAnsi="Times New Roman" w:cs="Times New Roman"/>
        </w:rPr>
      </w:pPr>
    </w:p>
    <w:p w14:paraId="737173C9" w14:textId="6B1C1D9F" w:rsidR="004A66F0" w:rsidRPr="004A66F0" w:rsidRDefault="004A66F0" w:rsidP="008D7BB4">
      <w:pPr>
        <w:spacing w:line="276" w:lineRule="auto"/>
        <w:contextualSpacing/>
        <w:jc w:val="both"/>
        <w:rPr>
          <w:rFonts w:ascii="Times New Roman" w:eastAsia="Times New Roman" w:hAnsi="Times New Roman" w:cs="Times New Roman"/>
        </w:rPr>
      </w:pPr>
      <w:r w:rsidRPr="004A66F0">
        <w:rPr>
          <w:rFonts w:ascii="Times New Roman" w:eastAsia="Times New Roman" w:hAnsi="Times New Roman" w:cs="Times New Roman"/>
        </w:rPr>
        <w:lastRenderedPageBreak/>
        <w:t>De esa cuenta, a pesar del alto dinamismo del gasto público, con el mayor nivel de ejecución de los últimos 10 años, el déficit fiscal se ubicó en Q12,570.7 millones, equivalente a 1.7% del PIB.</w:t>
      </w:r>
    </w:p>
    <w:p w14:paraId="6273D7E9" w14:textId="77777777" w:rsidR="004A66F0" w:rsidRPr="004A66F0" w:rsidRDefault="004A66F0" w:rsidP="008D7BB4">
      <w:pPr>
        <w:spacing w:line="276" w:lineRule="auto"/>
        <w:contextualSpacing/>
        <w:jc w:val="both"/>
        <w:rPr>
          <w:rFonts w:ascii="Times New Roman" w:eastAsia="Times New Roman" w:hAnsi="Times New Roman" w:cs="Times New Roman"/>
        </w:rPr>
      </w:pPr>
    </w:p>
    <w:p w14:paraId="4ECA6383" w14:textId="772EDE38" w:rsidR="004A66F0" w:rsidRPr="004A66F0" w:rsidRDefault="004A66F0" w:rsidP="008D7BB4">
      <w:pPr>
        <w:spacing w:line="276" w:lineRule="auto"/>
        <w:contextualSpacing/>
        <w:jc w:val="both"/>
        <w:rPr>
          <w:rFonts w:ascii="Times New Roman" w:eastAsia="Times New Roman" w:hAnsi="Times New Roman" w:cs="Times New Roman"/>
        </w:rPr>
      </w:pPr>
      <w:r w:rsidRPr="004A66F0">
        <w:rPr>
          <w:rFonts w:ascii="Times New Roman" w:eastAsia="Times New Roman" w:hAnsi="Times New Roman" w:cs="Times New Roman"/>
        </w:rPr>
        <w:t xml:space="preserve">Este déficit fiscal si bien es cinco </w:t>
      </w:r>
      <w:proofErr w:type="gramStart"/>
      <w:r w:rsidRPr="004A66F0">
        <w:rPr>
          <w:rFonts w:ascii="Times New Roman" w:eastAsia="Times New Roman" w:hAnsi="Times New Roman" w:cs="Times New Roman"/>
        </w:rPr>
        <w:t>décimas superior</w:t>
      </w:r>
      <w:proofErr w:type="gramEnd"/>
      <w:r w:rsidRPr="004A66F0">
        <w:rPr>
          <w:rFonts w:ascii="Times New Roman" w:eastAsia="Times New Roman" w:hAnsi="Times New Roman" w:cs="Times New Roman"/>
        </w:rPr>
        <w:t xml:space="preserve"> al cierre de 2021 (1.2%), se considera que se mantiene en niveles sostenibles y es significativamente menor al considerado en el presupuesto vigente (3.9%), dado que en este no se consideraba una recaudación como la observada. Con esto se continúa con el proceso de consolidación fiscal que inici</w:t>
      </w:r>
      <w:r w:rsidR="00135705">
        <w:rPr>
          <w:rFonts w:ascii="Times New Roman" w:eastAsia="Times New Roman" w:hAnsi="Times New Roman" w:cs="Times New Roman"/>
        </w:rPr>
        <w:t>ó</w:t>
      </w:r>
      <w:r w:rsidRPr="004A66F0">
        <w:rPr>
          <w:rFonts w:ascii="Times New Roman" w:eastAsia="Times New Roman" w:hAnsi="Times New Roman" w:cs="Times New Roman"/>
        </w:rPr>
        <w:t xml:space="preserve"> en 2021, luego de la crisis del COVID-19 de 2020, lo cual coadyuvó a preservar el espacio fiscal para afrontar el shock externo ocasionado por la subida de los precios y la incertidumbre en torno a la economía.</w:t>
      </w:r>
    </w:p>
    <w:p w14:paraId="45586BFC" w14:textId="4923ADB2" w:rsidR="004A66F0" w:rsidRPr="003832FD" w:rsidRDefault="00FE0B42" w:rsidP="008D7BB4">
      <w:pPr>
        <w:spacing w:line="276" w:lineRule="auto"/>
        <w:contextualSpacing/>
        <w:jc w:val="center"/>
        <w:rPr>
          <w:rFonts w:ascii="Times New Roman" w:eastAsia="Times New Roman" w:hAnsi="Times New Roman" w:cs="Times New Roman"/>
          <w:b/>
          <w:sz w:val="22"/>
          <w:szCs w:val="22"/>
        </w:rPr>
      </w:pPr>
      <w:bookmarkStart w:id="77" w:name="_Toc125534812"/>
      <w:r w:rsidRPr="003832FD">
        <w:rPr>
          <w:rFonts w:ascii="Times New Roman" w:hAnsi="Times New Roman" w:cs="Times New Roman"/>
          <w:b/>
          <w:bCs/>
          <w:sz w:val="22"/>
          <w:szCs w:val="22"/>
        </w:rPr>
        <w:t xml:space="preserve">Tabla </w:t>
      </w:r>
      <w:r w:rsidRPr="003832FD">
        <w:rPr>
          <w:rFonts w:ascii="Times New Roman" w:hAnsi="Times New Roman" w:cs="Times New Roman"/>
          <w:b/>
          <w:bCs/>
          <w:sz w:val="22"/>
          <w:szCs w:val="22"/>
        </w:rPr>
        <w:fldChar w:fldCharType="begin"/>
      </w:r>
      <w:r w:rsidRPr="003832FD">
        <w:rPr>
          <w:rFonts w:ascii="Times New Roman" w:hAnsi="Times New Roman" w:cs="Times New Roman"/>
          <w:b/>
          <w:bCs/>
          <w:sz w:val="22"/>
          <w:szCs w:val="22"/>
        </w:rPr>
        <w:instrText xml:space="preserve"> SEQ Tabla \* ARABIC </w:instrText>
      </w:r>
      <w:r w:rsidRPr="003832FD">
        <w:rPr>
          <w:rFonts w:ascii="Times New Roman" w:hAnsi="Times New Roman" w:cs="Times New Roman"/>
          <w:b/>
          <w:bCs/>
          <w:sz w:val="22"/>
          <w:szCs w:val="22"/>
        </w:rPr>
        <w:fldChar w:fldCharType="separate"/>
      </w:r>
      <w:r w:rsidR="006F4BE5">
        <w:rPr>
          <w:rFonts w:ascii="Times New Roman" w:hAnsi="Times New Roman" w:cs="Times New Roman"/>
          <w:b/>
          <w:bCs/>
          <w:noProof/>
          <w:sz w:val="22"/>
          <w:szCs w:val="22"/>
        </w:rPr>
        <w:t>3</w:t>
      </w:r>
      <w:r w:rsidRPr="003832FD">
        <w:rPr>
          <w:rFonts w:ascii="Times New Roman" w:hAnsi="Times New Roman" w:cs="Times New Roman"/>
          <w:b/>
          <w:bCs/>
          <w:sz w:val="22"/>
          <w:szCs w:val="22"/>
        </w:rPr>
        <w:fldChar w:fldCharType="end"/>
      </w:r>
      <w:r w:rsidRPr="003832FD">
        <w:rPr>
          <w:rFonts w:ascii="Times New Roman" w:hAnsi="Times New Roman" w:cs="Times New Roman"/>
          <w:b/>
          <w:bCs/>
          <w:sz w:val="22"/>
          <w:szCs w:val="22"/>
        </w:rPr>
        <w:t>.</w:t>
      </w:r>
      <w:r w:rsidRPr="003832FD">
        <w:rPr>
          <w:sz w:val="22"/>
          <w:szCs w:val="22"/>
        </w:rPr>
        <w:t xml:space="preserve"> </w:t>
      </w:r>
      <w:r w:rsidR="004A66F0" w:rsidRPr="003832FD">
        <w:rPr>
          <w:rFonts w:ascii="Times New Roman" w:eastAsia="Times New Roman" w:hAnsi="Times New Roman" w:cs="Times New Roman"/>
          <w:b/>
          <w:sz w:val="22"/>
          <w:szCs w:val="22"/>
        </w:rPr>
        <w:t>Situación Financiera Resumida</w:t>
      </w:r>
      <w:bookmarkEnd w:id="77"/>
    </w:p>
    <w:p w14:paraId="6C3382C1" w14:textId="77777777" w:rsidR="004A66F0" w:rsidRPr="004A66F0" w:rsidRDefault="004A66F0" w:rsidP="008D7BB4">
      <w:pPr>
        <w:spacing w:line="276" w:lineRule="auto"/>
        <w:contextualSpacing/>
        <w:jc w:val="center"/>
        <w:rPr>
          <w:rFonts w:ascii="Times New Roman" w:eastAsia="Times New Roman" w:hAnsi="Times New Roman" w:cs="Times New Roman"/>
        </w:rPr>
      </w:pPr>
      <w:r w:rsidRPr="004A66F0">
        <w:rPr>
          <w:rFonts w:ascii="Times New Roman" w:eastAsia="Times New Roman" w:hAnsi="Times New Roman" w:cs="Times New Roman"/>
        </w:rPr>
        <w:t>Observado 2021, presupuesto y ejecución 2022</w:t>
      </w:r>
    </w:p>
    <w:p w14:paraId="0F2C08A6" w14:textId="77777777" w:rsidR="004A66F0" w:rsidRPr="004A66F0" w:rsidRDefault="004A66F0" w:rsidP="008D7BB4">
      <w:pPr>
        <w:spacing w:line="276" w:lineRule="auto"/>
        <w:contextualSpacing/>
        <w:jc w:val="center"/>
        <w:rPr>
          <w:rFonts w:ascii="Times New Roman" w:eastAsia="Times New Roman" w:hAnsi="Times New Roman" w:cs="Calibri"/>
          <w:sz w:val="22"/>
          <w:szCs w:val="22"/>
        </w:rPr>
      </w:pPr>
      <w:r w:rsidRPr="004A66F0">
        <w:rPr>
          <w:rFonts w:ascii="Times New Roman" w:eastAsia="Times New Roman" w:hAnsi="Times New Roman" w:cs="Calibri"/>
          <w:sz w:val="22"/>
          <w:szCs w:val="22"/>
        </w:rPr>
        <w:t>Millones de quetzales y porcentajes</w:t>
      </w:r>
    </w:p>
    <w:tbl>
      <w:tblPr>
        <w:tblW w:w="7855" w:type="dxa"/>
        <w:jc w:val="center"/>
        <w:tblCellMar>
          <w:left w:w="70" w:type="dxa"/>
          <w:right w:w="70" w:type="dxa"/>
        </w:tblCellMar>
        <w:tblLook w:val="04A0" w:firstRow="1" w:lastRow="0" w:firstColumn="1" w:lastColumn="0" w:noHBand="0" w:noVBand="1"/>
      </w:tblPr>
      <w:tblGrid>
        <w:gridCol w:w="2747"/>
        <w:gridCol w:w="1277"/>
        <w:gridCol w:w="1277"/>
        <w:gridCol w:w="1277"/>
        <w:gridCol w:w="1277"/>
      </w:tblGrid>
      <w:tr w:rsidR="004A66F0" w:rsidRPr="004A66F0" w14:paraId="4CED05CA" w14:textId="77777777" w:rsidTr="004E298C">
        <w:trPr>
          <w:trHeight w:val="347"/>
          <w:jc w:val="center"/>
        </w:trPr>
        <w:tc>
          <w:tcPr>
            <w:tcW w:w="2747" w:type="dxa"/>
            <w:tcBorders>
              <w:top w:val="single" w:sz="8" w:space="0" w:color="auto"/>
              <w:left w:val="single" w:sz="8" w:space="0" w:color="auto"/>
              <w:bottom w:val="single" w:sz="8" w:space="0" w:color="000000"/>
              <w:right w:val="nil"/>
            </w:tcBorders>
            <w:shd w:val="clear" w:color="000000" w:fill="1F4E78"/>
            <w:vAlign w:val="center"/>
            <w:hideMark/>
          </w:tcPr>
          <w:p w14:paraId="27547663" w14:textId="77777777" w:rsidR="004A66F0" w:rsidRPr="004A66F0" w:rsidRDefault="004A66F0" w:rsidP="008D7BB4">
            <w:pPr>
              <w:spacing w:line="276" w:lineRule="auto"/>
              <w:contextualSpacing/>
              <w:rPr>
                <w:rFonts w:ascii="Times New Roman" w:eastAsia="Times New Roman" w:hAnsi="Times New Roman" w:cs="Times New Roman"/>
                <w:b/>
                <w:bCs/>
                <w:color w:val="FFFFFF"/>
                <w:sz w:val="16"/>
                <w:szCs w:val="16"/>
                <w:lang w:eastAsia="es-GT"/>
              </w:rPr>
            </w:pPr>
            <w:r w:rsidRPr="004A66F0">
              <w:rPr>
                <w:rFonts w:ascii="Times New Roman" w:eastAsia="Times New Roman" w:hAnsi="Times New Roman" w:cs="Times New Roman"/>
                <w:b/>
                <w:bCs/>
                <w:color w:val="FFFFFF"/>
                <w:sz w:val="16"/>
                <w:szCs w:val="16"/>
                <w:lang w:eastAsia="es-GT"/>
              </w:rPr>
              <w:t>Descripción</w:t>
            </w:r>
          </w:p>
        </w:tc>
        <w:tc>
          <w:tcPr>
            <w:tcW w:w="1277" w:type="dxa"/>
            <w:tcBorders>
              <w:top w:val="single" w:sz="8" w:space="0" w:color="auto"/>
              <w:left w:val="single" w:sz="8" w:space="0" w:color="auto"/>
              <w:bottom w:val="single" w:sz="8" w:space="0" w:color="000000"/>
              <w:right w:val="single" w:sz="8" w:space="0" w:color="auto"/>
            </w:tcBorders>
            <w:shd w:val="clear" w:color="000000" w:fill="1F4E78"/>
            <w:vAlign w:val="center"/>
            <w:hideMark/>
          </w:tcPr>
          <w:p w14:paraId="6E4E82A3" w14:textId="77777777" w:rsidR="004A66F0" w:rsidRPr="004A66F0" w:rsidRDefault="004A66F0" w:rsidP="008D7BB4">
            <w:pPr>
              <w:spacing w:line="276" w:lineRule="auto"/>
              <w:contextualSpacing/>
              <w:jc w:val="center"/>
              <w:rPr>
                <w:rFonts w:ascii="Times New Roman" w:eastAsia="Times New Roman" w:hAnsi="Times New Roman" w:cs="Times New Roman"/>
                <w:b/>
                <w:bCs/>
                <w:color w:val="FFFFFF"/>
                <w:sz w:val="16"/>
                <w:szCs w:val="16"/>
                <w:lang w:eastAsia="es-GT"/>
              </w:rPr>
            </w:pPr>
            <w:r w:rsidRPr="004A66F0">
              <w:rPr>
                <w:rFonts w:ascii="Times New Roman" w:eastAsia="Times New Roman" w:hAnsi="Times New Roman" w:cs="Times New Roman"/>
                <w:b/>
                <w:bCs/>
                <w:color w:val="FFFFFF"/>
                <w:sz w:val="16"/>
                <w:szCs w:val="16"/>
                <w:lang w:eastAsia="es-GT"/>
              </w:rPr>
              <w:t>2021</w:t>
            </w:r>
          </w:p>
        </w:tc>
        <w:tc>
          <w:tcPr>
            <w:tcW w:w="1277" w:type="dxa"/>
            <w:tcBorders>
              <w:top w:val="single" w:sz="8" w:space="0" w:color="auto"/>
              <w:left w:val="nil"/>
              <w:bottom w:val="single" w:sz="8" w:space="0" w:color="000000"/>
              <w:right w:val="nil"/>
            </w:tcBorders>
            <w:shd w:val="clear" w:color="000000" w:fill="1F4E78"/>
            <w:vAlign w:val="center"/>
            <w:hideMark/>
          </w:tcPr>
          <w:p w14:paraId="54F69CC7" w14:textId="77777777" w:rsidR="004A66F0" w:rsidRPr="004A66F0" w:rsidRDefault="004A66F0" w:rsidP="008D7BB4">
            <w:pPr>
              <w:spacing w:line="276" w:lineRule="auto"/>
              <w:contextualSpacing/>
              <w:jc w:val="center"/>
              <w:rPr>
                <w:rFonts w:ascii="Times New Roman" w:eastAsia="Times New Roman" w:hAnsi="Times New Roman" w:cs="Times New Roman"/>
                <w:b/>
                <w:bCs/>
                <w:color w:val="FFFFFF"/>
                <w:sz w:val="16"/>
                <w:szCs w:val="16"/>
                <w:lang w:eastAsia="es-GT"/>
              </w:rPr>
            </w:pPr>
            <w:r w:rsidRPr="004A66F0">
              <w:rPr>
                <w:rFonts w:ascii="Times New Roman" w:eastAsia="Times New Roman" w:hAnsi="Times New Roman" w:cs="Times New Roman"/>
                <w:b/>
                <w:bCs/>
                <w:color w:val="FFFFFF"/>
                <w:sz w:val="16"/>
                <w:szCs w:val="16"/>
                <w:lang w:eastAsia="es-GT"/>
              </w:rPr>
              <w:t xml:space="preserve">Presupuesto Vigente </w:t>
            </w:r>
          </w:p>
        </w:tc>
        <w:tc>
          <w:tcPr>
            <w:tcW w:w="1277" w:type="dxa"/>
            <w:tcBorders>
              <w:top w:val="single" w:sz="8" w:space="0" w:color="auto"/>
              <w:left w:val="nil"/>
              <w:bottom w:val="single" w:sz="8" w:space="0" w:color="000000"/>
              <w:right w:val="nil"/>
            </w:tcBorders>
            <w:shd w:val="clear" w:color="000000" w:fill="1F4E78"/>
            <w:vAlign w:val="center"/>
            <w:hideMark/>
          </w:tcPr>
          <w:p w14:paraId="13E957FC" w14:textId="77777777" w:rsidR="004A66F0" w:rsidRPr="004A66F0" w:rsidRDefault="004A66F0" w:rsidP="008D7BB4">
            <w:pPr>
              <w:spacing w:line="276" w:lineRule="auto"/>
              <w:contextualSpacing/>
              <w:jc w:val="center"/>
              <w:rPr>
                <w:rFonts w:ascii="Times New Roman" w:eastAsia="Times New Roman" w:hAnsi="Times New Roman" w:cs="Times New Roman"/>
                <w:b/>
                <w:bCs/>
                <w:color w:val="FFFFFF"/>
                <w:sz w:val="16"/>
                <w:szCs w:val="16"/>
                <w:lang w:eastAsia="es-GT"/>
              </w:rPr>
            </w:pPr>
            <w:r w:rsidRPr="004A66F0">
              <w:rPr>
                <w:rFonts w:ascii="Times New Roman" w:eastAsia="Times New Roman" w:hAnsi="Times New Roman" w:cs="Times New Roman"/>
                <w:b/>
                <w:bCs/>
                <w:color w:val="FFFFFF"/>
                <w:sz w:val="16"/>
                <w:szCs w:val="16"/>
                <w:lang w:eastAsia="es-GT"/>
              </w:rPr>
              <w:t>31/12/2022</w:t>
            </w:r>
          </w:p>
        </w:tc>
        <w:tc>
          <w:tcPr>
            <w:tcW w:w="1277" w:type="dxa"/>
            <w:tcBorders>
              <w:top w:val="single" w:sz="8" w:space="0" w:color="auto"/>
              <w:left w:val="nil"/>
              <w:bottom w:val="single" w:sz="8" w:space="0" w:color="000000"/>
              <w:right w:val="single" w:sz="8" w:space="0" w:color="auto"/>
            </w:tcBorders>
            <w:shd w:val="clear" w:color="000000" w:fill="1F4E78"/>
            <w:vAlign w:val="center"/>
            <w:hideMark/>
          </w:tcPr>
          <w:p w14:paraId="79E12247" w14:textId="77777777" w:rsidR="004A66F0" w:rsidRPr="004A66F0" w:rsidRDefault="004A66F0" w:rsidP="008D7BB4">
            <w:pPr>
              <w:spacing w:line="276" w:lineRule="auto"/>
              <w:contextualSpacing/>
              <w:jc w:val="center"/>
              <w:rPr>
                <w:rFonts w:ascii="Times New Roman" w:eastAsia="Times New Roman" w:hAnsi="Times New Roman" w:cs="Times New Roman"/>
                <w:b/>
                <w:bCs/>
                <w:color w:val="FFFFFF"/>
                <w:sz w:val="16"/>
                <w:szCs w:val="16"/>
                <w:lang w:eastAsia="es-GT"/>
              </w:rPr>
            </w:pPr>
            <w:r w:rsidRPr="004A66F0">
              <w:rPr>
                <w:rFonts w:ascii="Times New Roman" w:eastAsia="Times New Roman" w:hAnsi="Times New Roman" w:cs="Times New Roman"/>
                <w:b/>
                <w:bCs/>
                <w:color w:val="FFFFFF"/>
                <w:sz w:val="16"/>
                <w:szCs w:val="16"/>
                <w:lang w:eastAsia="es-GT"/>
              </w:rPr>
              <w:t>% del PIB</w:t>
            </w:r>
          </w:p>
        </w:tc>
      </w:tr>
      <w:tr w:rsidR="004A66F0" w:rsidRPr="004A66F0" w14:paraId="1DECC303" w14:textId="77777777" w:rsidTr="004E298C">
        <w:trPr>
          <w:trHeight w:val="396"/>
          <w:jc w:val="center"/>
        </w:trPr>
        <w:tc>
          <w:tcPr>
            <w:tcW w:w="2747" w:type="dxa"/>
            <w:tcBorders>
              <w:top w:val="nil"/>
              <w:left w:val="single" w:sz="8" w:space="0" w:color="auto"/>
              <w:bottom w:val="nil"/>
              <w:right w:val="nil"/>
            </w:tcBorders>
            <w:shd w:val="clear" w:color="000000" w:fill="FFFFFF"/>
            <w:vAlign w:val="center"/>
            <w:hideMark/>
          </w:tcPr>
          <w:p w14:paraId="3C03E3EF" w14:textId="77777777" w:rsidR="004A66F0" w:rsidRPr="004A66F0" w:rsidRDefault="004A66F0" w:rsidP="008D7BB4">
            <w:pPr>
              <w:spacing w:line="276" w:lineRule="auto"/>
              <w:contextualSpacing/>
              <w:rPr>
                <w:rFonts w:ascii="Times New Roman" w:eastAsia="Times New Roman" w:hAnsi="Times New Roman" w:cs="Times New Roman"/>
                <w:color w:val="000000"/>
                <w:sz w:val="16"/>
                <w:szCs w:val="16"/>
                <w:lang w:eastAsia="es-GT"/>
              </w:rPr>
            </w:pPr>
            <w:r w:rsidRPr="004A66F0">
              <w:rPr>
                <w:rFonts w:ascii="Times New Roman" w:eastAsia="Times New Roman" w:hAnsi="Times New Roman" w:cs="Times New Roman"/>
                <w:color w:val="000000"/>
                <w:sz w:val="16"/>
                <w:szCs w:val="16"/>
                <w:lang w:eastAsia="es-GT"/>
              </w:rPr>
              <w:t>Ingresos Totales</w:t>
            </w:r>
          </w:p>
        </w:tc>
        <w:tc>
          <w:tcPr>
            <w:tcW w:w="1277" w:type="dxa"/>
            <w:tcBorders>
              <w:top w:val="nil"/>
              <w:left w:val="single" w:sz="8" w:space="0" w:color="auto"/>
              <w:bottom w:val="nil"/>
              <w:right w:val="single" w:sz="8" w:space="0" w:color="auto"/>
            </w:tcBorders>
            <w:shd w:val="clear" w:color="000000" w:fill="FFFFFF"/>
            <w:vAlign w:val="center"/>
            <w:hideMark/>
          </w:tcPr>
          <w:p w14:paraId="7C4C2196" w14:textId="77777777" w:rsidR="004A66F0" w:rsidRPr="004A66F0" w:rsidRDefault="004A66F0" w:rsidP="008D7BB4">
            <w:pPr>
              <w:spacing w:line="276" w:lineRule="auto"/>
              <w:contextualSpacing/>
              <w:jc w:val="center"/>
              <w:rPr>
                <w:rFonts w:ascii="Times New Roman" w:eastAsia="Times New Roman" w:hAnsi="Times New Roman" w:cs="Times New Roman"/>
                <w:color w:val="000000"/>
                <w:sz w:val="16"/>
                <w:szCs w:val="16"/>
                <w:lang w:eastAsia="es-GT"/>
              </w:rPr>
            </w:pPr>
            <w:r w:rsidRPr="004A66F0">
              <w:rPr>
                <w:rFonts w:ascii="Times New Roman" w:eastAsia="Times New Roman" w:hAnsi="Times New Roman" w:cs="Times New Roman"/>
                <w:color w:val="000000"/>
                <w:sz w:val="16"/>
                <w:szCs w:val="16"/>
                <w:lang w:eastAsia="es-GT"/>
              </w:rPr>
              <w:t>82,295.0</w:t>
            </w:r>
          </w:p>
        </w:tc>
        <w:tc>
          <w:tcPr>
            <w:tcW w:w="1277" w:type="dxa"/>
            <w:tcBorders>
              <w:top w:val="nil"/>
              <w:left w:val="nil"/>
              <w:bottom w:val="nil"/>
              <w:right w:val="nil"/>
            </w:tcBorders>
            <w:shd w:val="clear" w:color="000000" w:fill="FFFFFF"/>
            <w:vAlign w:val="center"/>
            <w:hideMark/>
          </w:tcPr>
          <w:p w14:paraId="0FB16890" w14:textId="77777777" w:rsidR="004A66F0" w:rsidRPr="004A66F0" w:rsidRDefault="004A66F0" w:rsidP="008D7BB4">
            <w:pPr>
              <w:spacing w:line="276" w:lineRule="auto"/>
              <w:contextualSpacing/>
              <w:jc w:val="center"/>
              <w:rPr>
                <w:rFonts w:ascii="Times New Roman" w:eastAsia="Times New Roman" w:hAnsi="Times New Roman" w:cs="Times New Roman"/>
                <w:color w:val="000000"/>
                <w:sz w:val="16"/>
                <w:szCs w:val="16"/>
                <w:lang w:eastAsia="es-GT"/>
              </w:rPr>
            </w:pPr>
            <w:r w:rsidRPr="004A66F0">
              <w:rPr>
                <w:rFonts w:ascii="Times New Roman" w:eastAsia="Times New Roman" w:hAnsi="Times New Roman" w:cs="Times New Roman"/>
                <w:color w:val="000000"/>
                <w:sz w:val="16"/>
                <w:szCs w:val="16"/>
                <w:lang w:eastAsia="es-GT"/>
              </w:rPr>
              <w:t>81,689.0</w:t>
            </w:r>
          </w:p>
        </w:tc>
        <w:tc>
          <w:tcPr>
            <w:tcW w:w="1277" w:type="dxa"/>
            <w:tcBorders>
              <w:top w:val="nil"/>
              <w:left w:val="nil"/>
              <w:bottom w:val="nil"/>
              <w:right w:val="nil"/>
            </w:tcBorders>
            <w:shd w:val="clear" w:color="000000" w:fill="FFFFFF"/>
            <w:vAlign w:val="center"/>
            <w:hideMark/>
          </w:tcPr>
          <w:p w14:paraId="24051389" w14:textId="77777777" w:rsidR="004A66F0" w:rsidRPr="004A66F0" w:rsidRDefault="004A66F0" w:rsidP="008D7BB4">
            <w:pPr>
              <w:spacing w:line="276" w:lineRule="auto"/>
              <w:contextualSpacing/>
              <w:jc w:val="center"/>
              <w:rPr>
                <w:rFonts w:ascii="Times New Roman" w:eastAsia="Times New Roman" w:hAnsi="Times New Roman" w:cs="Times New Roman"/>
                <w:color w:val="000000"/>
                <w:sz w:val="16"/>
                <w:szCs w:val="16"/>
                <w:lang w:eastAsia="es-GT"/>
              </w:rPr>
            </w:pPr>
            <w:r w:rsidRPr="004A66F0">
              <w:rPr>
                <w:rFonts w:ascii="Times New Roman" w:eastAsia="Times New Roman" w:hAnsi="Times New Roman" w:cs="Times New Roman"/>
                <w:color w:val="000000"/>
                <w:sz w:val="16"/>
                <w:szCs w:val="16"/>
                <w:lang w:eastAsia="es-GT"/>
              </w:rPr>
              <w:t>93,155.1</w:t>
            </w:r>
          </w:p>
        </w:tc>
        <w:tc>
          <w:tcPr>
            <w:tcW w:w="1277" w:type="dxa"/>
            <w:tcBorders>
              <w:top w:val="nil"/>
              <w:left w:val="nil"/>
              <w:bottom w:val="nil"/>
              <w:right w:val="single" w:sz="8" w:space="0" w:color="auto"/>
            </w:tcBorders>
            <w:shd w:val="clear" w:color="000000" w:fill="FFFFFF"/>
            <w:vAlign w:val="center"/>
            <w:hideMark/>
          </w:tcPr>
          <w:p w14:paraId="71CB4396" w14:textId="77777777" w:rsidR="004A66F0" w:rsidRPr="004A66F0" w:rsidRDefault="004A66F0" w:rsidP="008D7BB4">
            <w:pPr>
              <w:spacing w:line="276" w:lineRule="auto"/>
              <w:contextualSpacing/>
              <w:jc w:val="center"/>
              <w:rPr>
                <w:rFonts w:ascii="Times New Roman" w:eastAsia="Times New Roman" w:hAnsi="Times New Roman" w:cs="Times New Roman"/>
                <w:color w:val="000000"/>
                <w:sz w:val="16"/>
                <w:szCs w:val="16"/>
                <w:lang w:eastAsia="es-GT"/>
              </w:rPr>
            </w:pPr>
            <w:r w:rsidRPr="004A66F0">
              <w:rPr>
                <w:rFonts w:ascii="Times New Roman" w:eastAsia="Times New Roman" w:hAnsi="Times New Roman" w:cs="Times New Roman"/>
                <w:color w:val="000000"/>
                <w:sz w:val="16"/>
                <w:szCs w:val="16"/>
                <w:lang w:eastAsia="es-GT"/>
              </w:rPr>
              <w:t>12.7</w:t>
            </w:r>
          </w:p>
        </w:tc>
      </w:tr>
      <w:tr w:rsidR="004A66F0" w:rsidRPr="004A66F0" w14:paraId="58514743" w14:textId="77777777" w:rsidTr="004E298C">
        <w:trPr>
          <w:trHeight w:val="396"/>
          <w:jc w:val="center"/>
        </w:trPr>
        <w:tc>
          <w:tcPr>
            <w:tcW w:w="2747" w:type="dxa"/>
            <w:tcBorders>
              <w:top w:val="nil"/>
              <w:left w:val="single" w:sz="8" w:space="0" w:color="auto"/>
              <w:bottom w:val="nil"/>
              <w:right w:val="nil"/>
            </w:tcBorders>
            <w:vAlign w:val="center"/>
            <w:hideMark/>
          </w:tcPr>
          <w:p w14:paraId="1F0204C3" w14:textId="77777777" w:rsidR="004A66F0" w:rsidRPr="004A66F0" w:rsidRDefault="004A66F0" w:rsidP="008D7BB4">
            <w:pPr>
              <w:spacing w:line="276" w:lineRule="auto"/>
              <w:contextualSpacing/>
              <w:rPr>
                <w:rFonts w:ascii="Times New Roman" w:eastAsia="Times New Roman" w:hAnsi="Times New Roman" w:cs="Times New Roman"/>
                <w:sz w:val="16"/>
                <w:szCs w:val="16"/>
                <w:lang w:eastAsia="es-GT"/>
              </w:rPr>
            </w:pPr>
            <w:r w:rsidRPr="004A66F0">
              <w:rPr>
                <w:rFonts w:ascii="Times New Roman" w:eastAsia="Times New Roman" w:hAnsi="Times New Roman" w:cs="Times New Roman"/>
                <w:sz w:val="16"/>
                <w:szCs w:val="16"/>
                <w:lang w:eastAsia="es-GT"/>
              </w:rPr>
              <w:t xml:space="preserve">    Ingresos Tributarios </w:t>
            </w:r>
          </w:p>
        </w:tc>
        <w:tc>
          <w:tcPr>
            <w:tcW w:w="1277" w:type="dxa"/>
            <w:tcBorders>
              <w:top w:val="nil"/>
              <w:left w:val="single" w:sz="8" w:space="0" w:color="auto"/>
              <w:bottom w:val="nil"/>
              <w:right w:val="single" w:sz="8" w:space="0" w:color="auto"/>
            </w:tcBorders>
            <w:vAlign w:val="center"/>
            <w:hideMark/>
          </w:tcPr>
          <w:p w14:paraId="2B7D68EF" w14:textId="77777777" w:rsidR="004A66F0" w:rsidRPr="004A66F0" w:rsidRDefault="004A66F0" w:rsidP="008D7BB4">
            <w:pPr>
              <w:spacing w:line="276" w:lineRule="auto"/>
              <w:contextualSpacing/>
              <w:jc w:val="center"/>
              <w:rPr>
                <w:rFonts w:ascii="Times New Roman" w:eastAsia="Times New Roman" w:hAnsi="Times New Roman" w:cs="Times New Roman"/>
                <w:sz w:val="16"/>
                <w:szCs w:val="16"/>
                <w:lang w:eastAsia="es-GT"/>
              </w:rPr>
            </w:pPr>
            <w:r w:rsidRPr="004A66F0">
              <w:rPr>
                <w:rFonts w:ascii="Times New Roman" w:eastAsia="Times New Roman" w:hAnsi="Times New Roman" w:cs="Times New Roman"/>
                <w:sz w:val="16"/>
                <w:szCs w:val="16"/>
                <w:lang w:eastAsia="es-GT"/>
              </w:rPr>
              <w:t>78,019.1</w:t>
            </w:r>
          </w:p>
        </w:tc>
        <w:tc>
          <w:tcPr>
            <w:tcW w:w="1277" w:type="dxa"/>
            <w:tcBorders>
              <w:top w:val="nil"/>
              <w:left w:val="nil"/>
              <w:bottom w:val="nil"/>
              <w:right w:val="nil"/>
            </w:tcBorders>
            <w:vAlign w:val="center"/>
            <w:hideMark/>
          </w:tcPr>
          <w:p w14:paraId="052F663B" w14:textId="77777777" w:rsidR="004A66F0" w:rsidRPr="004A66F0" w:rsidRDefault="004A66F0" w:rsidP="008D7BB4">
            <w:pPr>
              <w:spacing w:line="276" w:lineRule="auto"/>
              <w:contextualSpacing/>
              <w:jc w:val="center"/>
              <w:rPr>
                <w:rFonts w:ascii="Times New Roman" w:eastAsia="Times New Roman" w:hAnsi="Times New Roman" w:cs="Times New Roman"/>
                <w:sz w:val="16"/>
                <w:szCs w:val="16"/>
                <w:lang w:eastAsia="es-GT"/>
              </w:rPr>
            </w:pPr>
            <w:r w:rsidRPr="004A66F0">
              <w:rPr>
                <w:rFonts w:ascii="Times New Roman" w:eastAsia="Times New Roman" w:hAnsi="Times New Roman" w:cs="Times New Roman"/>
                <w:sz w:val="16"/>
                <w:szCs w:val="16"/>
                <w:lang w:eastAsia="es-GT"/>
              </w:rPr>
              <w:t>76,315.0</w:t>
            </w:r>
          </w:p>
        </w:tc>
        <w:tc>
          <w:tcPr>
            <w:tcW w:w="1277" w:type="dxa"/>
            <w:tcBorders>
              <w:top w:val="nil"/>
              <w:left w:val="nil"/>
              <w:bottom w:val="nil"/>
              <w:right w:val="nil"/>
            </w:tcBorders>
            <w:vAlign w:val="center"/>
            <w:hideMark/>
          </w:tcPr>
          <w:p w14:paraId="06718AE7" w14:textId="77777777" w:rsidR="004A66F0" w:rsidRPr="004A66F0" w:rsidRDefault="004A66F0" w:rsidP="008D7BB4">
            <w:pPr>
              <w:spacing w:line="276" w:lineRule="auto"/>
              <w:contextualSpacing/>
              <w:jc w:val="center"/>
              <w:rPr>
                <w:rFonts w:ascii="Times New Roman" w:eastAsia="Times New Roman" w:hAnsi="Times New Roman" w:cs="Times New Roman"/>
                <w:sz w:val="16"/>
                <w:szCs w:val="16"/>
                <w:lang w:eastAsia="es-GT"/>
              </w:rPr>
            </w:pPr>
            <w:r w:rsidRPr="004A66F0">
              <w:rPr>
                <w:rFonts w:ascii="Times New Roman" w:eastAsia="Times New Roman" w:hAnsi="Times New Roman" w:cs="Times New Roman"/>
                <w:sz w:val="16"/>
                <w:szCs w:val="16"/>
                <w:lang w:eastAsia="es-GT"/>
              </w:rPr>
              <w:t>88,574.0</w:t>
            </w:r>
          </w:p>
        </w:tc>
        <w:tc>
          <w:tcPr>
            <w:tcW w:w="1277" w:type="dxa"/>
            <w:tcBorders>
              <w:top w:val="nil"/>
              <w:left w:val="nil"/>
              <w:bottom w:val="nil"/>
              <w:right w:val="single" w:sz="8" w:space="0" w:color="auto"/>
            </w:tcBorders>
            <w:shd w:val="clear" w:color="000000" w:fill="FFFFFF"/>
            <w:vAlign w:val="center"/>
            <w:hideMark/>
          </w:tcPr>
          <w:p w14:paraId="4CEA6C80" w14:textId="77777777" w:rsidR="004A66F0" w:rsidRPr="004A66F0" w:rsidRDefault="004A66F0" w:rsidP="008D7BB4">
            <w:pPr>
              <w:spacing w:line="276" w:lineRule="auto"/>
              <w:contextualSpacing/>
              <w:jc w:val="center"/>
              <w:rPr>
                <w:rFonts w:ascii="Times New Roman" w:eastAsia="Times New Roman" w:hAnsi="Times New Roman" w:cs="Times New Roman"/>
                <w:color w:val="000000"/>
                <w:sz w:val="16"/>
                <w:szCs w:val="16"/>
                <w:lang w:eastAsia="es-GT"/>
              </w:rPr>
            </w:pPr>
            <w:r w:rsidRPr="004A66F0">
              <w:rPr>
                <w:rFonts w:ascii="Times New Roman" w:eastAsia="Times New Roman" w:hAnsi="Times New Roman" w:cs="Times New Roman"/>
                <w:color w:val="000000"/>
                <w:sz w:val="16"/>
                <w:szCs w:val="16"/>
                <w:lang w:eastAsia="es-GT"/>
              </w:rPr>
              <w:t>12.1</w:t>
            </w:r>
          </w:p>
        </w:tc>
      </w:tr>
      <w:tr w:rsidR="004A66F0" w:rsidRPr="004A66F0" w14:paraId="68AB6A81" w14:textId="77777777" w:rsidTr="004E298C">
        <w:trPr>
          <w:trHeight w:val="396"/>
          <w:jc w:val="center"/>
        </w:trPr>
        <w:tc>
          <w:tcPr>
            <w:tcW w:w="2747" w:type="dxa"/>
            <w:tcBorders>
              <w:top w:val="nil"/>
              <w:left w:val="single" w:sz="8" w:space="0" w:color="auto"/>
              <w:bottom w:val="nil"/>
              <w:right w:val="nil"/>
            </w:tcBorders>
            <w:vAlign w:val="center"/>
            <w:hideMark/>
          </w:tcPr>
          <w:p w14:paraId="4127AA3C" w14:textId="77777777" w:rsidR="004A66F0" w:rsidRPr="004A66F0" w:rsidRDefault="004A66F0" w:rsidP="008D7BB4">
            <w:pPr>
              <w:spacing w:line="276" w:lineRule="auto"/>
              <w:contextualSpacing/>
              <w:rPr>
                <w:rFonts w:ascii="Times New Roman" w:eastAsia="Times New Roman" w:hAnsi="Times New Roman" w:cs="Times New Roman"/>
                <w:sz w:val="16"/>
                <w:szCs w:val="16"/>
                <w:lang w:eastAsia="es-GT"/>
              </w:rPr>
            </w:pPr>
            <w:r w:rsidRPr="004A66F0">
              <w:rPr>
                <w:rFonts w:ascii="Times New Roman" w:eastAsia="Times New Roman" w:hAnsi="Times New Roman" w:cs="Times New Roman"/>
                <w:sz w:val="16"/>
                <w:szCs w:val="16"/>
                <w:lang w:eastAsia="es-GT"/>
              </w:rPr>
              <w:t>Gastos Totales</w:t>
            </w:r>
          </w:p>
        </w:tc>
        <w:tc>
          <w:tcPr>
            <w:tcW w:w="1277" w:type="dxa"/>
            <w:tcBorders>
              <w:top w:val="nil"/>
              <w:left w:val="single" w:sz="8" w:space="0" w:color="auto"/>
              <w:bottom w:val="nil"/>
              <w:right w:val="single" w:sz="8" w:space="0" w:color="auto"/>
            </w:tcBorders>
            <w:vAlign w:val="center"/>
            <w:hideMark/>
          </w:tcPr>
          <w:p w14:paraId="29BA91EC" w14:textId="77777777" w:rsidR="004A66F0" w:rsidRPr="004A66F0" w:rsidRDefault="004A66F0" w:rsidP="008D7BB4">
            <w:pPr>
              <w:spacing w:line="276" w:lineRule="auto"/>
              <w:contextualSpacing/>
              <w:jc w:val="center"/>
              <w:rPr>
                <w:rFonts w:ascii="Times New Roman" w:eastAsia="Times New Roman" w:hAnsi="Times New Roman" w:cs="Times New Roman"/>
                <w:sz w:val="16"/>
                <w:szCs w:val="16"/>
                <w:lang w:eastAsia="es-GT"/>
              </w:rPr>
            </w:pPr>
            <w:r w:rsidRPr="004A66F0">
              <w:rPr>
                <w:rFonts w:ascii="Times New Roman" w:eastAsia="Times New Roman" w:hAnsi="Times New Roman" w:cs="Times New Roman"/>
                <w:sz w:val="16"/>
                <w:szCs w:val="16"/>
                <w:lang w:eastAsia="es-GT"/>
              </w:rPr>
              <w:t>90,065.8</w:t>
            </w:r>
          </w:p>
        </w:tc>
        <w:tc>
          <w:tcPr>
            <w:tcW w:w="1277" w:type="dxa"/>
            <w:tcBorders>
              <w:top w:val="nil"/>
              <w:left w:val="nil"/>
              <w:bottom w:val="nil"/>
              <w:right w:val="nil"/>
            </w:tcBorders>
            <w:vAlign w:val="center"/>
            <w:hideMark/>
          </w:tcPr>
          <w:p w14:paraId="757CC134" w14:textId="77777777" w:rsidR="004A66F0" w:rsidRPr="004A66F0" w:rsidRDefault="004A66F0" w:rsidP="008D7BB4">
            <w:pPr>
              <w:spacing w:line="276" w:lineRule="auto"/>
              <w:contextualSpacing/>
              <w:jc w:val="center"/>
              <w:rPr>
                <w:rFonts w:ascii="Times New Roman" w:eastAsia="Times New Roman" w:hAnsi="Times New Roman" w:cs="Times New Roman"/>
                <w:sz w:val="16"/>
                <w:szCs w:val="16"/>
                <w:lang w:eastAsia="es-GT"/>
              </w:rPr>
            </w:pPr>
            <w:r w:rsidRPr="004A66F0">
              <w:rPr>
                <w:rFonts w:ascii="Times New Roman" w:eastAsia="Times New Roman" w:hAnsi="Times New Roman" w:cs="Times New Roman"/>
                <w:sz w:val="16"/>
                <w:szCs w:val="16"/>
                <w:lang w:eastAsia="es-GT"/>
              </w:rPr>
              <w:t>109,976.0</w:t>
            </w:r>
          </w:p>
        </w:tc>
        <w:tc>
          <w:tcPr>
            <w:tcW w:w="1277" w:type="dxa"/>
            <w:tcBorders>
              <w:top w:val="nil"/>
              <w:left w:val="nil"/>
              <w:bottom w:val="nil"/>
              <w:right w:val="nil"/>
            </w:tcBorders>
            <w:vAlign w:val="center"/>
            <w:hideMark/>
          </w:tcPr>
          <w:p w14:paraId="4E0CEA1E" w14:textId="77777777" w:rsidR="004A66F0" w:rsidRPr="004A66F0" w:rsidRDefault="004A66F0" w:rsidP="008D7BB4">
            <w:pPr>
              <w:spacing w:line="276" w:lineRule="auto"/>
              <w:contextualSpacing/>
              <w:jc w:val="center"/>
              <w:rPr>
                <w:rFonts w:ascii="Times New Roman" w:eastAsia="Times New Roman" w:hAnsi="Times New Roman" w:cs="Times New Roman"/>
                <w:sz w:val="16"/>
                <w:szCs w:val="16"/>
                <w:lang w:eastAsia="es-GT"/>
              </w:rPr>
            </w:pPr>
            <w:r w:rsidRPr="004A66F0">
              <w:rPr>
                <w:rFonts w:ascii="Times New Roman" w:eastAsia="Times New Roman" w:hAnsi="Times New Roman" w:cs="Times New Roman"/>
                <w:sz w:val="16"/>
                <w:szCs w:val="16"/>
                <w:lang w:eastAsia="es-GT"/>
              </w:rPr>
              <w:t>105,725.8</w:t>
            </w:r>
          </w:p>
        </w:tc>
        <w:tc>
          <w:tcPr>
            <w:tcW w:w="1277" w:type="dxa"/>
            <w:tcBorders>
              <w:top w:val="nil"/>
              <w:left w:val="nil"/>
              <w:bottom w:val="nil"/>
              <w:right w:val="single" w:sz="8" w:space="0" w:color="auto"/>
            </w:tcBorders>
            <w:shd w:val="clear" w:color="000000" w:fill="FFFFFF"/>
            <w:vAlign w:val="center"/>
            <w:hideMark/>
          </w:tcPr>
          <w:p w14:paraId="607E4F0C" w14:textId="77777777" w:rsidR="004A66F0" w:rsidRPr="004A66F0" w:rsidRDefault="004A66F0" w:rsidP="008D7BB4">
            <w:pPr>
              <w:spacing w:line="276" w:lineRule="auto"/>
              <w:contextualSpacing/>
              <w:jc w:val="center"/>
              <w:rPr>
                <w:rFonts w:ascii="Times New Roman" w:eastAsia="Times New Roman" w:hAnsi="Times New Roman" w:cs="Times New Roman"/>
                <w:color w:val="000000"/>
                <w:sz w:val="16"/>
                <w:szCs w:val="16"/>
                <w:lang w:eastAsia="es-GT"/>
              </w:rPr>
            </w:pPr>
            <w:r w:rsidRPr="004A66F0">
              <w:rPr>
                <w:rFonts w:ascii="Times New Roman" w:eastAsia="Times New Roman" w:hAnsi="Times New Roman" w:cs="Times New Roman"/>
                <w:color w:val="000000"/>
                <w:sz w:val="16"/>
                <w:szCs w:val="16"/>
                <w:lang w:eastAsia="es-GT"/>
              </w:rPr>
              <w:t>14.4</w:t>
            </w:r>
          </w:p>
        </w:tc>
      </w:tr>
      <w:tr w:rsidR="004A66F0" w:rsidRPr="004A66F0" w14:paraId="284091E8" w14:textId="77777777" w:rsidTr="004E298C">
        <w:trPr>
          <w:trHeight w:val="396"/>
          <w:jc w:val="center"/>
        </w:trPr>
        <w:tc>
          <w:tcPr>
            <w:tcW w:w="2747" w:type="dxa"/>
            <w:tcBorders>
              <w:top w:val="nil"/>
              <w:left w:val="single" w:sz="8" w:space="0" w:color="auto"/>
              <w:bottom w:val="nil"/>
              <w:right w:val="nil"/>
            </w:tcBorders>
            <w:shd w:val="clear" w:color="000000" w:fill="FFFFFF"/>
            <w:vAlign w:val="center"/>
            <w:hideMark/>
          </w:tcPr>
          <w:p w14:paraId="1321CD54" w14:textId="77777777" w:rsidR="004A66F0" w:rsidRPr="004A66F0" w:rsidRDefault="004A66F0" w:rsidP="008D7BB4">
            <w:pPr>
              <w:spacing w:line="276" w:lineRule="auto"/>
              <w:ind w:firstLineChars="100" w:firstLine="160"/>
              <w:contextualSpacing/>
              <w:rPr>
                <w:rFonts w:ascii="Times New Roman" w:eastAsia="Times New Roman" w:hAnsi="Times New Roman" w:cs="Times New Roman"/>
                <w:color w:val="000000"/>
                <w:sz w:val="16"/>
                <w:szCs w:val="16"/>
                <w:lang w:eastAsia="es-GT"/>
              </w:rPr>
            </w:pPr>
            <w:r w:rsidRPr="004A66F0">
              <w:rPr>
                <w:rFonts w:ascii="Times New Roman" w:eastAsia="Times New Roman" w:hAnsi="Times New Roman" w:cs="Times New Roman"/>
                <w:color w:val="000000"/>
                <w:sz w:val="16"/>
                <w:szCs w:val="16"/>
                <w:lang w:eastAsia="es-GT"/>
              </w:rPr>
              <w:t>Gastos Corrientes</w:t>
            </w:r>
          </w:p>
        </w:tc>
        <w:tc>
          <w:tcPr>
            <w:tcW w:w="1277" w:type="dxa"/>
            <w:tcBorders>
              <w:top w:val="nil"/>
              <w:left w:val="single" w:sz="8" w:space="0" w:color="auto"/>
              <w:bottom w:val="nil"/>
              <w:right w:val="single" w:sz="8" w:space="0" w:color="auto"/>
            </w:tcBorders>
            <w:shd w:val="clear" w:color="000000" w:fill="FFFFFF"/>
            <w:vAlign w:val="center"/>
            <w:hideMark/>
          </w:tcPr>
          <w:p w14:paraId="12CEC9AA" w14:textId="77777777" w:rsidR="004A66F0" w:rsidRPr="004A66F0" w:rsidRDefault="004A66F0" w:rsidP="008D7BB4">
            <w:pPr>
              <w:spacing w:line="276" w:lineRule="auto"/>
              <w:contextualSpacing/>
              <w:jc w:val="center"/>
              <w:rPr>
                <w:rFonts w:ascii="Times New Roman" w:eastAsia="Times New Roman" w:hAnsi="Times New Roman" w:cs="Times New Roman"/>
                <w:color w:val="000000"/>
                <w:sz w:val="16"/>
                <w:szCs w:val="16"/>
                <w:lang w:eastAsia="es-GT"/>
              </w:rPr>
            </w:pPr>
            <w:r w:rsidRPr="004A66F0">
              <w:rPr>
                <w:rFonts w:ascii="Times New Roman" w:eastAsia="Times New Roman" w:hAnsi="Times New Roman" w:cs="Times New Roman"/>
                <w:color w:val="000000"/>
                <w:sz w:val="16"/>
                <w:szCs w:val="16"/>
                <w:lang w:eastAsia="es-GT"/>
              </w:rPr>
              <w:t>74,258.4</w:t>
            </w:r>
          </w:p>
        </w:tc>
        <w:tc>
          <w:tcPr>
            <w:tcW w:w="1277" w:type="dxa"/>
            <w:tcBorders>
              <w:top w:val="nil"/>
              <w:left w:val="nil"/>
              <w:bottom w:val="nil"/>
              <w:right w:val="nil"/>
            </w:tcBorders>
            <w:shd w:val="clear" w:color="000000" w:fill="FFFFFF"/>
            <w:vAlign w:val="center"/>
            <w:hideMark/>
          </w:tcPr>
          <w:p w14:paraId="221B3070" w14:textId="77777777" w:rsidR="004A66F0" w:rsidRPr="004A66F0" w:rsidRDefault="004A66F0" w:rsidP="008D7BB4">
            <w:pPr>
              <w:spacing w:line="276" w:lineRule="auto"/>
              <w:contextualSpacing/>
              <w:jc w:val="center"/>
              <w:rPr>
                <w:rFonts w:ascii="Times New Roman" w:eastAsia="Times New Roman" w:hAnsi="Times New Roman" w:cs="Times New Roman"/>
                <w:color w:val="000000"/>
                <w:sz w:val="16"/>
                <w:szCs w:val="16"/>
                <w:lang w:eastAsia="es-GT"/>
              </w:rPr>
            </w:pPr>
            <w:r w:rsidRPr="004A66F0">
              <w:rPr>
                <w:rFonts w:ascii="Times New Roman" w:eastAsia="Times New Roman" w:hAnsi="Times New Roman" w:cs="Times New Roman"/>
                <w:color w:val="000000"/>
                <w:sz w:val="16"/>
                <w:szCs w:val="16"/>
                <w:lang w:eastAsia="es-GT"/>
              </w:rPr>
              <w:t>89,350.2</w:t>
            </w:r>
          </w:p>
        </w:tc>
        <w:tc>
          <w:tcPr>
            <w:tcW w:w="1277" w:type="dxa"/>
            <w:tcBorders>
              <w:top w:val="nil"/>
              <w:left w:val="nil"/>
              <w:bottom w:val="nil"/>
              <w:right w:val="nil"/>
            </w:tcBorders>
            <w:shd w:val="clear" w:color="000000" w:fill="FFFFFF"/>
            <w:vAlign w:val="center"/>
            <w:hideMark/>
          </w:tcPr>
          <w:p w14:paraId="081DFC94" w14:textId="77777777" w:rsidR="004A66F0" w:rsidRPr="004A66F0" w:rsidRDefault="004A66F0" w:rsidP="008D7BB4">
            <w:pPr>
              <w:spacing w:line="276" w:lineRule="auto"/>
              <w:contextualSpacing/>
              <w:jc w:val="center"/>
              <w:rPr>
                <w:rFonts w:ascii="Times New Roman" w:eastAsia="Times New Roman" w:hAnsi="Times New Roman" w:cs="Times New Roman"/>
                <w:color w:val="000000"/>
                <w:sz w:val="16"/>
                <w:szCs w:val="16"/>
                <w:lang w:eastAsia="es-GT"/>
              </w:rPr>
            </w:pPr>
            <w:r w:rsidRPr="004A66F0">
              <w:rPr>
                <w:rFonts w:ascii="Times New Roman" w:eastAsia="Times New Roman" w:hAnsi="Times New Roman" w:cs="Times New Roman"/>
                <w:color w:val="000000"/>
                <w:sz w:val="16"/>
                <w:szCs w:val="16"/>
                <w:lang w:eastAsia="es-GT"/>
              </w:rPr>
              <w:t>87,280.5</w:t>
            </w:r>
          </w:p>
        </w:tc>
        <w:tc>
          <w:tcPr>
            <w:tcW w:w="1277" w:type="dxa"/>
            <w:tcBorders>
              <w:top w:val="nil"/>
              <w:left w:val="nil"/>
              <w:bottom w:val="nil"/>
              <w:right w:val="single" w:sz="8" w:space="0" w:color="auto"/>
            </w:tcBorders>
            <w:shd w:val="clear" w:color="000000" w:fill="FFFFFF"/>
            <w:vAlign w:val="center"/>
            <w:hideMark/>
          </w:tcPr>
          <w:p w14:paraId="016F5C9D" w14:textId="77777777" w:rsidR="004A66F0" w:rsidRPr="004A66F0" w:rsidRDefault="004A66F0" w:rsidP="008D7BB4">
            <w:pPr>
              <w:spacing w:line="276" w:lineRule="auto"/>
              <w:contextualSpacing/>
              <w:jc w:val="center"/>
              <w:rPr>
                <w:rFonts w:ascii="Times New Roman" w:eastAsia="Times New Roman" w:hAnsi="Times New Roman" w:cs="Times New Roman"/>
                <w:color w:val="000000"/>
                <w:sz w:val="16"/>
                <w:szCs w:val="16"/>
                <w:lang w:eastAsia="es-GT"/>
              </w:rPr>
            </w:pPr>
            <w:r w:rsidRPr="004A66F0">
              <w:rPr>
                <w:rFonts w:ascii="Times New Roman" w:eastAsia="Times New Roman" w:hAnsi="Times New Roman" w:cs="Times New Roman"/>
                <w:color w:val="000000"/>
                <w:sz w:val="16"/>
                <w:szCs w:val="16"/>
                <w:lang w:eastAsia="es-GT"/>
              </w:rPr>
              <w:t>11.9</w:t>
            </w:r>
          </w:p>
        </w:tc>
      </w:tr>
      <w:tr w:rsidR="004A66F0" w:rsidRPr="004A66F0" w14:paraId="09BAD78F" w14:textId="77777777" w:rsidTr="004E298C">
        <w:trPr>
          <w:trHeight w:val="396"/>
          <w:jc w:val="center"/>
        </w:trPr>
        <w:tc>
          <w:tcPr>
            <w:tcW w:w="2747" w:type="dxa"/>
            <w:tcBorders>
              <w:top w:val="nil"/>
              <w:left w:val="single" w:sz="8" w:space="0" w:color="auto"/>
              <w:bottom w:val="nil"/>
              <w:right w:val="nil"/>
            </w:tcBorders>
            <w:shd w:val="clear" w:color="000000" w:fill="FFFFFF"/>
            <w:vAlign w:val="center"/>
            <w:hideMark/>
          </w:tcPr>
          <w:p w14:paraId="502A44D4" w14:textId="77777777" w:rsidR="004A66F0" w:rsidRPr="004A66F0" w:rsidRDefault="004A66F0" w:rsidP="008D7BB4">
            <w:pPr>
              <w:spacing w:line="276" w:lineRule="auto"/>
              <w:ind w:firstLineChars="100" w:firstLine="160"/>
              <w:contextualSpacing/>
              <w:rPr>
                <w:rFonts w:ascii="Times New Roman" w:eastAsia="Times New Roman" w:hAnsi="Times New Roman" w:cs="Times New Roman"/>
                <w:color w:val="000000"/>
                <w:sz w:val="16"/>
                <w:szCs w:val="16"/>
                <w:lang w:eastAsia="es-GT"/>
              </w:rPr>
            </w:pPr>
            <w:r w:rsidRPr="004A66F0">
              <w:rPr>
                <w:rFonts w:ascii="Times New Roman" w:eastAsia="Times New Roman" w:hAnsi="Times New Roman" w:cs="Times New Roman"/>
                <w:color w:val="000000"/>
                <w:sz w:val="16"/>
                <w:szCs w:val="16"/>
                <w:lang w:eastAsia="es-GT"/>
              </w:rPr>
              <w:t xml:space="preserve">Gastos de Capital </w:t>
            </w:r>
          </w:p>
        </w:tc>
        <w:tc>
          <w:tcPr>
            <w:tcW w:w="1277" w:type="dxa"/>
            <w:tcBorders>
              <w:top w:val="nil"/>
              <w:left w:val="single" w:sz="8" w:space="0" w:color="auto"/>
              <w:bottom w:val="nil"/>
              <w:right w:val="single" w:sz="8" w:space="0" w:color="auto"/>
            </w:tcBorders>
            <w:shd w:val="clear" w:color="000000" w:fill="FFFFFF"/>
            <w:vAlign w:val="center"/>
            <w:hideMark/>
          </w:tcPr>
          <w:p w14:paraId="009F4C4D" w14:textId="77777777" w:rsidR="004A66F0" w:rsidRPr="004A66F0" w:rsidRDefault="004A66F0" w:rsidP="008D7BB4">
            <w:pPr>
              <w:spacing w:line="276" w:lineRule="auto"/>
              <w:contextualSpacing/>
              <w:jc w:val="center"/>
              <w:rPr>
                <w:rFonts w:ascii="Times New Roman" w:eastAsia="Times New Roman" w:hAnsi="Times New Roman" w:cs="Times New Roman"/>
                <w:color w:val="000000"/>
                <w:sz w:val="16"/>
                <w:szCs w:val="16"/>
                <w:lang w:eastAsia="es-GT"/>
              </w:rPr>
            </w:pPr>
            <w:r w:rsidRPr="004A66F0">
              <w:rPr>
                <w:rFonts w:ascii="Times New Roman" w:eastAsia="Times New Roman" w:hAnsi="Times New Roman" w:cs="Times New Roman"/>
                <w:color w:val="000000"/>
                <w:sz w:val="16"/>
                <w:szCs w:val="16"/>
                <w:lang w:eastAsia="es-GT"/>
              </w:rPr>
              <w:t>15,807.4</w:t>
            </w:r>
          </w:p>
        </w:tc>
        <w:tc>
          <w:tcPr>
            <w:tcW w:w="1277" w:type="dxa"/>
            <w:tcBorders>
              <w:top w:val="nil"/>
              <w:left w:val="nil"/>
              <w:bottom w:val="nil"/>
              <w:right w:val="nil"/>
            </w:tcBorders>
            <w:shd w:val="clear" w:color="000000" w:fill="FFFFFF"/>
            <w:vAlign w:val="center"/>
            <w:hideMark/>
          </w:tcPr>
          <w:p w14:paraId="7A3EE881" w14:textId="77777777" w:rsidR="004A66F0" w:rsidRPr="004A66F0" w:rsidRDefault="004A66F0" w:rsidP="008D7BB4">
            <w:pPr>
              <w:spacing w:line="276" w:lineRule="auto"/>
              <w:contextualSpacing/>
              <w:jc w:val="center"/>
              <w:rPr>
                <w:rFonts w:ascii="Times New Roman" w:eastAsia="Times New Roman" w:hAnsi="Times New Roman" w:cs="Times New Roman"/>
                <w:color w:val="000000"/>
                <w:sz w:val="16"/>
                <w:szCs w:val="16"/>
                <w:lang w:eastAsia="es-GT"/>
              </w:rPr>
            </w:pPr>
            <w:r w:rsidRPr="004A66F0">
              <w:rPr>
                <w:rFonts w:ascii="Times New Roman" w:eastAsia="Times New Roman" w:hAnsi="Times New Roman" w:cs="Times New Roman"/>
                <w:color w:val="000000"/>
                <w:sz w:val="16"/>
                <w:szCs w:val="16"/>
                <w:lang w:eastAsia="es-GT"/>
              </w:rPr>
              <w:t>20,625.8</w:t>
            </w:r>
          </w:p>
        </w:tc>
        <w:tc>
          <w:tcPr>
            <w:tcW w:w="1277" w:type="dxa"/>
            <w:tcBorders>
              <w:top w:val="nil"/>
              <w:left w:val="nil"/>
              <w:bottom w:val="nil"/>
              <w:right w:val="nil"/>
            </w:tcBorders>
            <w:shd w:val="clear" w:color="000000" w:fill="FFFFFF"/>
            <w:vAlign w:val="center"/>
            <w:hideMark/>
          </w:tcPr>
          <w:p w14:paraId="5A6AA874" w14:textId="77777777" w:rsidR="004A66F0" w:rsidRPr="004A66F0" w:rsidRDefault="004A66F0" w:rsidP="008D7BB4">
            <w:pPr>
              <w:spacing w:line="276" w:lineRule="auto"/>
              <w:contextualSpacing/>
              <w:jc w:val="center"/>
              <w:rPr>
                <w:rFonts w:ascii="Times New Roman" w:eastAsia="Times New Roman" w:hAnsi="Times New Roman" w:cs="Times New Roman"/>
                <w:color w:val="000000"/>
                <w:sz w:val="16"/>
                <w:szCs w:val="16"/>
                <w:lang w:eastAsia="es-GT"/>
              </w:rPr>
            </w:pPr>
            <w:r w:rsidRPr="004A66F0">
              <w:rPr>
                <w:rFonts w:ascii="Times New Roman" w:eastAsia="Times New Roman" w:hAnsi="Times New Roman" w:cs="Times New Roman"/>
                <w:color w:val="000000"/>
                <w:sz w:val="16"/>
                <w:szCs w:val="16"/>
                <w:lang w:eastAsia="es-GT"/>
              </w:rPr>
              <w:t>18,445.3</w:t>
            </w:r>
          </w:p>
        </w:tc>
        <w:tc>
          <w:tcPr>
            <w:tcW w:w="1277" w:type="dxa"/>
            <w:tcBorders>
              <w:top w:val="nil"/>
              <w:left w:val="nil"/>
              <w:bottom w:val="nil"/>
              <w:right w:val="single" w:sz="8" w:space="0" w:color="auto"/>
            </w:tcBorders>
            <w:shd w:val="clear" w:color="000000" w:fill="FFFFFF"/>
            <w:vAlign w:val="center"/>
            <w:hideMark/>
          </w:tcPr>
          <w:p w14:paraId="48CD5ECE" w14:textId="77777777" w:rsidR="004A66F0" w:rsidRPr="004A66F0" w:rsidRDefault="004A66F0" w:rsidP="008D7BB4">
            <w:pPr>
              <w:spacing w:line="276" w:lineRule="auto"/>
              <w:contextualSpacing/>
              <w:jc w:val="center"/>
              <w:rPr>
                <w:rFonts w:ascii="Times New Roman" w:eastAsia="Times New Roman" w:hAnsi="Times New Roman" w:cs="Times New Roman"/>
                <w:color w:val="000000"/>
                <w:sz w:val="16"/>
                <w:szCs w:val="16"/>
                <w:lang w:eastAsia="es-GT"/>
              </w:rPr>
            </w:pPr>
            <w:r w:rsidRPr="004A66F0">
              <w:rPr>
                <w:rFonts w:ascii="Times New Roman" w:eastAsia="Times New Roman" w:hAnsi="Times New Roman" w:cs="Times New Roman"/>
                <w:color w:val="000000"/>
                <w:sz w:val="16"/>
                <w:szCs w:val="16"/>
                <w:lang w:eastAsia="es-GT"/>
              </w:rPr>
              <w:t>2.5</w:t>
            </w:r>
          </w:p>
        </w:tc>
      </w:tr>
      <w:tr w:rsidR="004A66F0" w:rsidRPr="004A66F0" w14:paraId="532D0877" w14:textId="77777777" w:rsidTr="004E298C">
        <w:trPr>
          <w:trHeight w:val="396"/>
          <w:jc w:val="center"/>
        </w:trPr>
        <w:tc>
          <w:tcPr>
            <w:tcW w:w="2747" w:type="dxa"/>
            <w:tcBorders>
              <w:top w:val="single" w:sz="8" w:space="0" w:color="auto"/>
              <w:left w:val="single" w:sz="8" w:space="0" w:color="auto"/>
              <w:bottom w:val="single" w:sz="8" w:space="0" w:color="auto"/>
              <w:right w:val="nil"/>
            </w:tcBorders>
            <w:shd w:val="clear" w:color="000000" w:fill="D9D9D9"/>
            <w:vAlign w:val="center"/>
            <w:hideMark/>
          </w:tcPr>
          <w:p w14:paraId="5FEC50CE" w14:textId="3A59D055" w:rsidR="004A66F0" w:rsidRPr="004A66F0" w:rsidRDefault="004E298C" w:rsidP="008D7BB4">
            <w:pPr>
              <w:spacing w:line="276" w:lineRule="auto"/>
              <w:contextualSpacing/>
              <w:rPr>
                <w:rFonts w:ascii="Times New Roman" w:eastAsia="Times New Roman" w:hAnsi="Times New Roman" w:cs="Times New Roman"/>
                <w:b/>
                <w:bCs/>
                <w:sz w:val="16"/>
                <w:szCs w:val="16"/>
                <w:lang w:eastAsia="es-GT"/>
              </w:rPr>
            </w:pPr>
            <w:r w:rsidRPr="004A66F0">
              <w:rPr>
                <w:rFonts w:ascii="Times New Roman" w:eastAsia="Times New Roman" w:hAnsi="Times New Roman" w:cs="Times New Roman"/>
                <w:b/>
                <w:bCs/>
                <w:sz w:val="16"/>
                <w:szCs w:val="16"/>
                <w:lang w:eastAsia="es-GT"/>
              </w:rPr>
              <w:t>Balance Presupuestal</w:t>
            </w:r>
          </w:p>
        </w:tc>
        <w:tc>
          <w:tcPr>
            <w:tcW w:w="1277"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07E4D019" w14:textId="77777777" w:rsidR="004A66F0" w:rsidRPr="004A66F0" w:rsidRDefault="004A66F0" w:rsidP="008D7BB4">
            <w:pPr>
              <w:spacing w:line="276" w:lineRule="auto"/>
              <w:contextualSpacing/>
              <w:jc w:val="center"/>
              <w:rPr>
                <w:rFonts w:ascii="Times New Roman" w:eastAsia="Times New Roman" w:hAnsi="Times New Roman" w:cs="Times New Roman"/>
                <w:b/>
                <w:bCs/>
                <w:sz w:val="16"/>
                <w:szCs w:val="16"/>
                <w:lang w:eastAsia="es-GT"/>
              </w:rPr>
            </w:pPr>
            <w:r w:rsidRPr="004A66F0">
              <w:rPr>
                <w:rFonts w:ascii="Times New Roman" w:eastAsia="Times New Roman" w:hAnsi="Times New Roman" w:cs="Times New Roman"/>
                <w:b/>
                <w:bCs/>
                <w:sz w:val="16"/>
                <w:szCs w:val="16"/>
                <w:lang w:eastAsia="es-GT"/>
              </w:rPr>
              <w:t>-7,770.8</w:t>
            </w:r>
          </w:p>
        </w:tc>
        <w:tc>
          <w:tcPr>
            <w:tcW w:w="1277" w:type="dxa"/>
            <w:tcBorders>
              <w:top w:val="single" w:sz="8" w:space="0" w:color="auto"/>
              <w:left w:val="nil"/>
              <w:bottom w:val="single" w:sz="8" w:space="0" w:color="auto"/>
              <w:right w:val="nil"/>
            </w:tcBorders>
            <w:shd w:val="clear" w:color="000000" w:fill="D9D9D9"/>
            <w:vAlign w:val="center"/>
            <w:hideMark/>
          </w:tcPr>
          <w:p w14:paraId="700FF9B7" w14:textId="77777777" w:rsidR="004A66F0" w:rsidRPr="004A66F0" w:rsidRDefault="004A66F0" w:rsidP="008D7BB4">
            <w:pPr>
              <w:spacing w:line="276" w:lineRule="auto"/>
              <w:contextualSpacing/>
              <w:jc w:val="center"/>
              <w:rPr>
                <w:rFonts w:ascii="Times New Roman" w:eastAsia="Times New Roman" w:hAnsi="Times New Roman" w:cs="Times New Roman"/>
                <w:b/>
                <w:bCs/>
                <w:sz w:val="16"/>
                <w:szCs w:val="16"/>
                <w:lang w:eastAsia="es-GT"/>
              </w:rPr>
            </w:pPr>
            <w:r w:rsidRPr="004A66F0">
              <w:rPr>
                <w:rFonts w:ascii="Times New Roman" w:eastAsia="Times New Roman" w:hAnsi="Times New Roman" w:cs="Times New Roman"/>
                <w:b/>
                <w:bCs/>
                <w:sz w:val="16"/>
                <w:szCs w:val="16"/>
                <w:lang w:eastAsia="es-GT"/>
              </w:rPr>
              <w:t>-28,287.0</w:t>
            </w:r>
          </w:p>
        </w:tc>
        <w:tc>
          <w:tcPr>
            <w:tcW w:w="1277" w:type="dxa"/>
            <w:tcBorders>
              <w:top w:val="single" w:sz="8" w:space="0" w:color="auto"/>
              <w:left w:val="nil"/>
              <w:bottom w:val="single" w:sz="8" w:space="0" w:color="auto"/>
              <w:right w:val="nil"/>
            </w:tcBorders>
            <w:shd w:val="clear" w:color="000000" w:fill="D9D9D9"/>
            <w:vAlign w:val="center"/>
            <w:hideMark/>
          </w:tcPr>
          <w:p w14:paraId="2FEBC8E2" w14:textId="77777777" w:rsidR="004A66F0" w:rsidRPr="004A66F0" w:rsidRDefault="004A66F0" w:rsidP="008D7BB4">
            <w:pPr>
              <w:spacing w:line="276" w:lineRule="auto"/>
              <w:contextualSpacing/>
              <w:jc w:val="center"/>
              <w:rPr>
                <w:rFonts w:ascii="Times New Roman" w:eastAsia="Times New Roman" w:hAnsi="Times New Roman" w:cs="Times New Roman"/>
                <w:b/>
                <w:bCs/>
                <w:sz w:val="16"/>
                <w:szCs w:val="16"/>
                <w:lang w:eastAsia="es-GT"/>
              </w:rPr>
            </w:pPr>
            <w:r w:rsidRPr="004A66F0">
              <w:rPr>
                <w:rFonts w:ascii="Times New Roman" w:eastAsia="Times New Roman" w:hAnsi="Times New Roman" w:cs="Times New Roman"/>
                <w:b/>
                <w:bCs/>
                <w:sz w:val="16"/>
                <w:szCs w:val="16"/>
                <w:lang w:eastAsia="es-GT"/>
              </w:rPr>
              <w:t>-12,570.7</w:t>
            </w:r>
          </w:p>
        </w:tc>
        <w:tc>
          <w:tcPr>
            <w:tcW w:w="1277" w:type="dxa"/>
            <w:tcBorders>
              <w:top w:val="single" w:sz="8" w:space="0" w:color="auto"/>
              <w:left w:val="nil"/>
              <w:bottom w:val="single" w:sz="8" w:space="0" w:color="auto"/>
              <w:right w:val="single" w:sz="8" w:space="0" w:color="auto"/>
            </w:tcBorders>
            <w:shd w:val="clear" w:color="000000" w:fill="D9D9D9"/>
            <w:vAlign w:val="center"/>
            <w:hideMark/>
          </w:tcPr>
          <w:p w14:paraId="0386530F" w14:textId="77777777" w:rsidR="004A66F0" w:rsidRPr="004A66F0" w:rsidRDefault="004A66F0" w:rsidP="008D7BB4">
            <w:pPr>
              <w:spacing w:line="276" w:lineRule="auto"/>
              <w:contextualSpacing/>
              <w:jc w:val="center"/>
              <w:rPr>
                <w:rFonts w:ascii="Times New Roman" w:eastAsia="Times New Roman" w:hAnsi="Times New Roman" w:cs="Times New Roman"/>
                <w:b/>
                <w:bCs/>
                <w:sz w:val="16"/>
                <w:szCs w:val="16"/>
                <w:lang w:eastAsia="es-GT"/>
              </w:rPr>
            </w:pPr>
            <w:r w:rsidRPr="004A66F0">
              <w:rPr>
                <w:rFonts w:ascii="Times New Roman" w:eastAsia="Times New Roman" w:hAnsi="Times New Roman" w:cs="Times New Roman"/>
                <w:b/>
                <w:bCs/>
                <w:sz w:val="16"/>
                <w:szCs w:val="16"/>
                <w:lang w:eastAsia="es-GT"/>
              </w:rPr>
              <w:t>-1.7</w:t>
            </w:r>
          </w:p>
        </w:tc>
      </w:tr>
      <w:tr w:rsidR="004A66F0" w:rsidRPr="004A66F0" w14:paraId="6F31C795" w14:textId="77777777" w:rsidTr="004E298C">
        <w:trPr>
          <w:trHeight w:val="204"/>
          <w:jc w:val="center"/>
        </w:trPr>
        <w:tc>
          <w:tcPr>
            <w:tcW w:w="2747" w:type="dxa"/>
            <w:tcBorders>
              <w:top w:val="nil"/>
              <w:left w:val="single" w:sz="8" w:space="0" w:color="auto"/>
              <w:bottom w:val="nil"/>
              <w:right w:val="nil"/>
            </w:tcBorders>
            <w:shd w:val="clear" w:color="000000" w:fill="FFFFFF"/>
            <w:vAlign w:val="center"/>
            <w:hideMark/>
          </w:tcPr>
          <w:p w14:paraId="01AAA8E8" w14:textId="77777777" w:rsidR="004A66F0" w:rsidRPr="004A66F0" w:rsidRDefault="004A66F0" w:rsidP="008D7BB4">
            <w:pPr>
              <w:spacing w:line="276" w:lineRule="auto"/>
              <w:contextualSpacing/>
              <w:rPr>
                <w:rFonts w:ascii="Times New Roman" w:eastAsia="Times New Roman" w:hAnsi="Times New Roman" w:cs="Times New Roman"/>
                <w:color w:val="000000"/>
                <w:sz w:val="16"/>
                <w:szCs w:val="16"/>
                <w:lang w:eastAsia="es-GT"/>
              </w:rPr>
            </w:pPr>
            <w:r w:rsidRPr="004A66F0">
              <w:rPr>
                <w:rFonts w:ascii="Times New Roman" w:eastAsia="Times New Roman" w:hAnsi="Times New Roman" w:cs="Times New Roman"/>
                <w:color w:val="000000"/>
                <w:sz w:val="16"/>
                <w:szCs w:val="16"/>
                <w:lang w:eastAsia="es-GT"/>
              </w:rPr>
              <w:t> </w:t>
            </w:r>
          </w:p>
        </w:tc>
        <w:tc>
          <w:tcPr>
            <w:tcW w:w="1277" w:type="dxa"/>
            <w:tcBorders>
              <w:top w:val="nil"/>
              <w:left w:val="single" w:sz="8" w:space="0" w:color="auto"/>
              <w:bottom w:val="nil"/>
              <w:right w:val="single" w:sz="8" w:space="0" w:color="auto"/>
            </w:tcBorders>
            <w:shd w:val="clear" w:color="000000" w:fill="FFFFFF"/>
            <w:vAlign w:val="center"/>
            <w:hideMark/>
          </w:tcPr>
          <w:p w14:paraId="0B1E806F" w14:textId="77777777" w:rsidR="004A66F0" w:rsidRPr="004A66F0" w:rsidRDefault="004A66F0" w:rsidP="008D7BB4">
            <w:pPr>
              <w:spacing w:line="276" w:lineRule="auto"/>
              <w:contextualSpacing/>
              <w:jc w:val="center"/>
              <w:rPr>
                <w:rFonts w:ascii="Times New Roman" w:eastAsia="Times New Roman" w:hAnsi="Times New Roman" w:cs="Times New Roman"/>
                <w:color w:val="000000"/>
                <w:sz w:val="16"/>
                <w:szCs w:val="16"/>
                <w:lang w:eastAsia="es-GT"/>
              </w:rPr>
            </w:pPr>
            <w:r w:rsidRPr="004A66F0">
              <w:rPr>
                <w:rFonts w:ascii="Times New Roman" w:eastAsia="Times New Roman" w:hAnsi="Times New Roman" w:cs="Times New Roman"/>
                <w:color w:val="000000"/>
                <w:sz w:val="16"/>
                <w:szCs w:val="16"/>
                <w:lang w:eastAsia="es-GT"/>
              </w:rPr>
              <w:t> </w:t>
            </w:r>
          </w:p>
        </w:tc>
        <w:tc>
          <w:tcPr>
            <w:tcW w:w="1277" w:type="dxa"/>
            <w:tcBorders>
              <w:top w:val="nil"/>
              <w:left w:val="nil"/>
              <w:bottom w:val="nil"/>
              <w:right w:val="nil"/>
            </w:tcBorders>
            <w:shd w:val="clear" w:color="000000" w:fill="FFFFFF"/>
            <w:vAlign w:val="center"/>
            <w:hideMark/>
          </w:tcPr>
          <w:p w14:paraId="2C31E5FD" w14:textId="77777777" w:rsidR="004A66F0" w:rsidRPr="004A66F0" w:rsidRDefault="004A66F0" w:rsidP="008D7BB4">
            <w:pPr>
              <w:spacing w:line="276" w:lineRule="auto"/>
              <w:contextualSpacing/>
              <w:jc w:val="center"/>
              <w:rPr>
                <w:rFonts w:ascii="Times New Roman" w:eastAsia="Times New Roman" w:hAnsi="Times New Roman" w:cs="Times New Roman"/>
                <w:color w:val="000000"/>
                <w:sz w:val="16"/>
                <w:szCs w:val="16"/>
                <w:lang w:eastAsia="es-GT"/>
              </w:rPr>
            </w:pPr>
            <w:r w:rsidRPr="004A66F0">
              <w:rPr>
                <w:rFonts w:ascii="Times New Roman" w:eastAsia="Times New Roman" w:hAnsi="Times New Roman" w:cs="Times New Roman"/>
                <w:color w:val="000000"/>
                <w:sz w:val="16"/>
                <w:szCs w:val="16"/>
                <w:lang w:eastAsia="es-GT"/>
              </w:rPr>
              <w:t> </w:t>
            </w:r>
          </w:p>
        </w:tc>
        <w:tc>
          <w:tcPr>
            <w:tcW w:w="1277" w:type="dxa"/>
            <w:tcBorders>
              <w:top w:val="nil"/>
              <w:left w:val="nil"/>
              <w:bottom w:val="nil"/>
              <w:right w:val="nil"/>
            </w:tcBorders>
            <w:shd w:val="clear" w:color="000000" w:fill="FFFFFF"/>
            <w:vAlign w:val="center"/>
            <w:hideMark/>
          </w:tcPr>
          <w:p w14:paraId="1150E635" w14:textId="77777777" w:rsidR="004A66F0" w:rsidRPr="004A66F0" w:rsidRDefault="004A66F0" w:rsidP="008D7BB4">
            <w:pPr>
              <w:spacing w:line="276" w:lineRule="auto"/>
              <w:contextualSpacing/>
              <w:jc w:val="center"/>
              <w:rPr>
                <w:rFonts w:ascii="Times New Roman" w:eastAsia="Times New Roman" w:hAnsi="Times New Roman" w:cs="Times New Roman"/>
                <w:color w:val="000000"/>
                <w:sz w:val="16"/>
                <w:szCs w:val="16"/>
                <w:lang w:eastAsia="es-GT"/>
              </w:rPr>
            </w:pPr>
            <w:r w:rsidRPr="004A66F0">
              <w:rPr>
                <w:rFonts w:ascii="Times New Roman" w:eastAsia="Times New Roman" w:hAnsi="Times New Roman" w:cs="Times New Roman"/>
                <w:color w:val="000000"/>
                <w:sz w:val="16"/>
                <w:szCs w:val="16"/>
                <w:lang w:eastAsia="es-GT"/>
              </w:rPr>
              <w:t> </w:t>
            </w:r>
          </w:p>
        </w:tc>
        <w:tc>
          <w:tcPr>
            <w:tcW w:w="1277" w:type="dxa"/>
            <w:tcBorders>
              <w:top w:val="nil"/>
              <w:left w:val="nil"/>
              <w:bottom w:val="nil"/>
              <w:right w:val="single" w:sz="8" w:space="0" w:color="auto"/>
            </w:tcBorders>
            <w:shd w:val="clear" w:color="000000" w:fill="FFFFFF"/>
            <w:vAlign w:val="center"/>
            <w:hideMark/>
          </w:tcPr>
          <w:p w14:paraId="679C3889" w14:textId="77777777" w:rsidR="004A66F0" w:rsidRPr="004A66F0" w:rsidRDefault="004A66F0" w:rsidP="008D7BB4">
            <w:pPr>
              <w:spacing w:line="276" w:lineRule="auto"/>
              <w:contextualSpacing/>
              <w:jc w:val="center"/>
              <w:rPr>
                <w:rFonts w:ascii="Times New Roman" w:eastAsia="Times New Roman" w:hAnsi="Times New Roman" w:cs="Times New Roman"/>
                <w:color w:val="000000"/>
                <w:sz w:val="16"/>
                <w:szCs w:val="16"/>
                <w:lang w:eastAsia="es-GT"/>
              </w:rPr>
            </w:pPr>
            <w:r w:rsidRPr="004A66F0">
              <w:rPr>
                <w:rFonts w:ascii="Times New Roman" w:eastAsia="Times New Roman" w:hAnsi="Times New Roman" w:cs="Times New Roman"/>
                <w:color w:val="000000"/>
                <w:sz w:val="16"/>
                <w:szCs w:val="16"/>
                <w:lang w:eastAsia="es-GT"/>
              </w:rPr>
              <w:t>0.0</w:t>
            </w:r>
          </w:p>
        </w:tc>
      </w:tr>
      <w:tr w:rsidR="004A66F0" w:rsidRPr="004A66F0" w14:paraId="40357292" w14:textId="77777777" w:rsidTr="004E298C">
        <w:trPr>
          <w:trHeight w:val="396"/>
          <w:jc w:val="center"/>
        </w:trPr>
        <w:tc>
          <w:tcPr>
            <w:tcW w:w="2747" w:type="dxa"/>
            <w:tcBorders>
              <w:top w:val="nil"/>
              <w:left w:val="single" w:sz="8" w:space="0" w:color="auto"/>
              <w:bottom w:val="nil"/>
              <w:right w:val="nil"/>
            </w:tcBorders>
            <w:shd w:val="clear" w:color="000000" w:fill="FFFFFF"/>
            <w:vAlign w:val="center"/>
            <w:hideMark/>
          </w:tcPr>
          <w:p w14:paraId="63C27F2F" w14:textId="77777777" w:rsidR="004A66F0" w:rsidRPr="004A66F0" w:rsidRDefault="004A66F0" w:rsidP="008D7BB4">
            <w:pPr>
              <w:spacing w:line="276" w:lineRule="auto"/>
              <w:contextualSpacing/>
              <w:rPr>
                <w:rFonts w:ascii="Times New Roman" w:eastAsia="Times New Roman" w:hAnsi="Times New Roman" w:cs="Times New Roman"/>
                <w:color w:val="000000"/>
                <w:sz w:val="16"/>
                <w:szCs w:val="16"/>
                <w:lang w:eastAsia="es-GT"/>
              </w:rPr>
            </w:pPr>
            <w:r w:rsidRPr="004A66F0">
              <w:rPr>
                <w:rFonts w:ascii="Times New Roman" w:eastAsia="Times New Roman" w:hAnsi="Times New Roman" w:cs="Times New Roman"/>
                <w:color w:val="000000"/>
                <w:sz w:val="16"/>
                <w:szCs w:val="16"/>
                <w:lang w:eastAsia="es-GT"/>
              </w:rPr>
              <w:t>Financiamiento Externo Neto</w:t>
            </w:r>
          </w:p>
        </w:tc>
        <w:tc>
          <w:tcPr>
            <w:tcW w:w="1277" w:type="dxa"/>
            <w:tcBorders>
              <w:top w:val="nil"/>
              <w:left w:val="single" w:sz="8" w:space="0" w:color="auto"/>
              <w:bottom w:val="nil"/>
              <w:right w:val="single" w:sz="8" w:space="0" w:color="auto"/>
            </w:tcBorders>
            <w:shd w:val="clear" w:color="000000" w:fill="FFFFFF"/>
            <w:vAlign w:val="center"/>
            <w:hideMark/>
          </w:tcPr>
          <w:p w14:paraId="3796292F" w14:textId="77777777" w:rsidR="004A66F0" w:rsidRPr="004A66F0" w:rsidRDefault="004A66F0" w:rsidP="008D7BB4">
            <w:pPr>
              <w:spacing w:line="276" w:lineRule="auto"/>
              <w:contextualSpacing/>
              <w:jc w:val="center"/>
              <w:rPr>
                <w:rFonts w:ascii="Times New Roman" w:eastAsia="Times New Roman" w:hAnsi="Times New Roman" w:cs="Times New Roman"/>
                <w:color w:val="000000"/>
                <w:sz w:val="16"/>
                <w:szCs w:val="16"/>
                <w:lang w:eastAsia="es-GT"/>
              </w:rPr>
            </w:pPr>
            <w:r w:rsidRPr="004A66F0">
              <w:rPr>
                <w:rFonts w:ascii="Times New Roman" w:eastAsia="Times New Roman" w:hAnsi="Times New Roman" w:cs="Times New Roman"/>
                <w:color w:val="000000"/>
                <w:sz w:val="16"/>
                <w:szCs w:val="16"/>
                <w:lang w:eastAsia="es-GT"/>
              </w:rPr>
              <w:t>5,235.9</w:t>
            </w:r>
          </w:p>
        </w:tc>
        <w:tc>
          <w:tcPr>
            <w:tcW w:w="1277" w:type="dxa"/>
            <w:tcBorders>
              <w:top w:val="nil"/>
              <w:left w:val="nil"/>
              <w:bottom w:val="nil"/>
              <w:right w:val="nil"/>
            </w:tcBorders>
            <w:shd w:val="clear" w:color="000000" w:fill="FFFFFF"/>
            <w:vAlign w:val="center"/>
            <w:hideMark/>
          </w:tcPr>
          <w:p w14:paraId="16B6B443" w14:textId="77777777" w:rsidR="004A66F0" w:rsidRPr="004A66F0" w:rsidRDefault="004A66F0" w:rsidP="008D7BB4">
            <w:pPr>
              <w:spacing w:line="276" w:lineRule="auto"/>
              <w:contextualSpacing/>
              <w:jc w:val="center"/>
              <w:rPr>
                <w:rFonts w:ascii="Times New Roman" w:eastAsia="Times New Roman" w:hAnsi="Times New Roman" w:cs="Times New Roman"/>
                <w:color w:val="000000"/>
                <w:sz w:val="16"/>
                <w:szCs w:val="16"/>
                <w:lang w:eastAsia="es-GT"/>
              </w:rPr>
            </w:pPr>
            <w:r w:rsidRPr="004A66F0">
              <w:rPr>
                <w:rFonts w:ascii="Times New Roman" w:eastAsia="Times New Roman" w:hAnsi="Times New Roman" w:cs="Times New Roman"/>
                <w:color w:val="000000"/>
                <w:sz w:val="16"/>
                <w:szCs w:val="16"/>
                <w:lang w:eastAsia="es-GT"/>
              </w:rPr>
              <w:t>-512.3</w:t>
            </w:r>
          </w:p>
        </w:tc>
        <w:tc>
          <w:tcPr>
            <w:tcW w:w="1277" w:type="dxa"/>
            <w:tcBorders>
              <w:top w:val="nil"/>
              <w:left w:val="nil"/>
              <w:bottom w:val="nil"/>
              <w:right w:val="nil"/>
            </w:tcBorders>
            <w:shd w:val="clear" w:color="000000" w:fill="FFFFFF"/>
            <w:vAlign w:val="center"/>
            <w:hideMark/>
          </w:tcPr>
          <w:p w14:paraId="7A2E2D0D" w14:textId="77777777" w:rsidR="004A66F0" w:rsidRPr="004A66F0" w:rsidRDefault="004A66F0" w:rsidP="008D7BB4">
            <w:pPr>
              <w:spacing w:line="276" w:lineRule="auto"/>
              <w:contextualSpacing/>
              <w:jc w:val="center"/>
              <w:rPr>
                <w:rFonts w:ascii="Times New Roman" w:eastAsia="Times New Roman" w:hAnsi="Times New Roman" w:cs="Times New Roman"/>
                <w:color w:val="000000"/>
                <w:sz w:val="16"/>
                <w:szCs w:val="16"/>
                <w:lang w:eastAsia="es-GT"/>
              </w:rPr>
            </w:pPr>
            <w:r w:rsidRPr="004A66F0">
              <w:rPr>
                <w:rFonts w:ascii="Times New Roman" w:eastAsia="Times New Roman" w:hAnsi="Times New Roman" w:cs="Times New Roman"/>
                <w:color w:val="000000"/>
                <w:sz w:val="16"/>
                <w:szCs w:val="16"/>
                <w:lang w:eastAsia="es-GT"/>
              </w:rPr>
              <w:t>109.7</w:t>
            </w:r>
          </w:p>
        </w:tc>
        <w:tc>
          <w:tcPr>
            <w:tcW w:w="1277" w:type="dxa"/>
            <w:tcBorders>
              <w:top w:val="nil"/>
              <w:left w:val="nil"/>
              <w:bottom w:val="nil"/>
              <w:right w:val="single" w:sz="8" w:space="0" w:color="auto"/>
            </w:tcBorders>
            <w:shd w:val="clear" w:color="000000" w:fill="FFFFFF"/>
            <w:vAlign w:val="center"/>
            <w:hideMark/>
          </w:tcPr>
          <w:p w14:paraId="58834D33" w14:textId="77777777" w:rsidR="004A66F0" w:rsidRPr="004A66F0" w:rsidRDefault="004A66F0" w:rsidP="008D7BB4">
            <w:pPr>
              <w:spacing w:line="276" w:lineRule="auto"/>
              <w:contextualSpacing/>
              <w:jc w:val="center"/>
              <w:rPr>
                <w:rFonts w:ascii="Times New Roman" w:eastAsia="Times New Roman" w:hAnsi="Times New Roman" w:cs="Times New Roman"/>
                <w:color w:val="000000"/>
                <w:sz w:val="16"/>
                <w:szCs w:val="16"/>
                <w:lang w:eastAsia="es-GT"/>
              </w:rPr>
            </w:pPr>
            <w:r w:rsidRPr="004A66F0">
              <w:rPr>
                <w:rFonts w:ascii="Times New Roman" w:eastAsia="Times New Roman" w:hAnsi="Times New Roman" w:cs="Times New Roman"/>
                <w:color w:val="000000"/>
                <w:sz w:val="16"/>
                <w:szCs w:val="16"/>
                <w:lang w:eastAsia="es-GT"/>
              </w:rPr>
              <w:t>0.0</w:t>
            </w:r>
          </w:p>
        </w:tc>
      </w:tr>
      <w:tr w:rsidR="004A66F0" w:rsidRPr="004A66F0" w14:paraId="08AE068B" w14:textId="77777777" w:rsidTr="004E298C">
        <w:trPr>
          <w:trHeight w:val="396"/>
          <w:jc w:val="center"/>
        </w:trPr>
        <w:tc>
          <w:tcPr>
            <w:tcW w:w="2747" w:type="dxa"/>
            <w:tcBorders>
              <w:top w:val="nil"/>
              <w:left w:val="single" w:sz="8" w:space="0" w:color="auto"/>
              <w:bottom w:val="nil"/>
              <w:right w:val="nil"/>
            </w:tcBorders>
            <w:shd w:val="clear" w:color="000000" w:fill="FFFFFF"/>
            <w:vAlign w:val="center"/>
            <w:hideMark/>
          </w:tcPr>
          <w:p w14:paraId="5D792B18" w14:textId="77777777" w:rsidR="004A66F0" w:rsidRPr="004A66F0" w:rsidRDefault="004A66F0" w:rsidP="008D7BB4">
            <w:pPr>
              <w:spacing w:line="276" w:lineRule="auto"/>
              <w:contextualSpacing/>
              <w:rPr>
                <w:rFonts w:ascii="Times New Roman" w:eastAsia="Times New Roman" w:hAnsi="Times New Roman" w:cs="Times New Roman"/>
                <w:color w:val="000000"/>
                <w:sz w:val="16"/>
                <w:szCs w:val="16"/>
                <w:lang w:eastAsia="es-GT"/>
              </w:rPr>
            </w:pPr>
            <w:r w:rsidRPr="004A66F0">
              <w:rPr>
                <w:rFonts w:ascii="Times New Roman" w:eastAsia="Times New Roman" w:hAnsi="Times New Roman" w:cs="Times New Roman"/>
                <w:color w:val="000000"/>
                <w:sz w:val="16"/>
                <w:szCs w:val="16"/>
                <w:lang w:eastAsia="es-GT"/>
              </w:rPr>
              <w:t>Negociación Neta de Bonos Internos</w:t>
            </w:r>
          </w:p>
        </w:tc>
        <w:tc>
          <w:tcPr>
            <w:tcW w:w="1277" w:type="dxa"/>
            <w:tcBorders>
              <w:top w:val="nil"/>
              <w:left w:val="single" w:sz="8" w:space="0" w:color="auto"/>
              <w:bottom w:val="nil"/>
              <w:right w:val="single" w:sz="8" w:space="0" w:color="auto"/>
            </w:tcBorders>
            <w:shd w:val="clear" w:color="000000" w:fill="FFFFFF"/>
            <w:vAlign w:val="center"/>
            <w:hideMark/>
          </w:tcPr>
          <w:p w14:paraId="0C7732AE" w14:textId="77777777" w:rsidR="004A66F0" w:rsidRPr="004A66F0" w:rsidRDefault="004A66F0" w:rsidP="008D7BB4">
            <w:pPr>
              <w:spacing w:line="276" w:lineRule="auto"/>
              <w:contextualSpacing/>
              <w:jc w:val="center"/>
              <w:rPr>
                <w:rFonts w:ascii="Times New Roman" w:eastAsia="Times New Roman" w:hAnsi="Times New Roman" w:cs="Times New Roman"/>
                <w:color w:val="000000"/>
                <w:sz w:val="16"/>
                <w:szCs w:val="16"/>
                <w:lang w:eastAsia="es-GT"/>
              </w:rPr>
            </w:pPr>
            <w:r w:rsidRPr="004A66F0">
              <w:rPr>
                <w:rFonts w:ascii="Times New Roman" w:eastAsia="Times New Roman" w:hAnsi="Times New Roman" w:cs="Times New Roman"/>
                <w:color w:val="000000"/>
                <w:sz w:val="16"/>
                <w:szCs w:val="16"/>
                <w:lang w:eastAsia="es-GT"/>
              </w:rPr>
              <w:t>11,315.8</w:t>
            </w:r>
          </w:p>
        </w:tc>
        <w:tc>
          <w:tcPr>
            <w:tcW w:w="1277" w:type="dxa"/>
            <w:tcBorders>
              <w:top w:val="nil"/>
              <w:left w:val="nil"/>
              <w:bottom w:val="nil"/>
              <w:right w:val="nil"/>
            </w:tcBorders>
            <w:shd w:val="clear" w:color="000000" w:fill="FFFFFF"/>
            <w:vAlign w:val="center"/>
            <w:hideMark/>
          </w:tcPr>
          <w:p w14:paraId="53DFF375" w14:textId="77777777" w:rsidR="004A66F0" w:rsidRPr="004A66F0" w:rsidRDefault="004A66F0" w:rsidP="008D7BB4">
            <w:pPr>
              <w:spacing w:line="276" w:lineRule="auto"/>
              <w:contextualSpacing/>
              <w:jc w:val="center"/>
              <w:rPr>
                <w:rFonts w:ascii="Times New Roman" w:eastAsia="Times New Roman" w:hAnsi="Times New Roman" w:cs="Times New Roman"/>
                <w:color w:val="000000"/>
                <w:sz w:val="16"/>
                <w:szCs w:val="16"/>
                <w:lang w:eastAsia="es-GT"/>
              </w:rPr>
            </w:pPr>
            <w:r w:rsidRPr="004A66F0">
              <w:rPr>
                <w:rFonts w:ascii="Times New Roman" w:eastAsia="Times New Roman" w:hAnsi="Times New Roman" w:cs="Times New Roman"/>
                <w:color w:val="000000"/>
                <w:sz w:val="16"/>
                <w:szCs w:val="16"/>
                <w:lang w:eastAsia="es-GT"/>
              </w:rPr>
              <w:t>15,963.1</w:t>
            </w:r>
          </w:p>
        </w:tc>
        <w:tc>
          <w:tcPr>
            <w:tcW w:w="1277" w:type="dxa"/>
            <w:tcBorders>
              <w:top w:val="nil"/>
              <w:left w:val="nil"/>
              <w:bottom w:val="nil"/>
              <w:right w:val="nil"/>
            </w:tcBorders>
            <w:shd w:val="clear" w:color="000000" w:fill="FFFFFF"/>
            <w:vAlign w:val="center"/>
            <w:hideMark/>
          </w:tcPr>
          <w:p w14:paraId="518BBCD3" w14:textId="77777777" w:rsidR="004A66F0" w:rsidRPr="004A66F0" w:rsidRDefault="004A66F0" w:rsidP="008D7BB4">
            <w:pPr>
              <w:spacing w:line="276" w:lineRule="auto"/>
              <w:contextualSpacing/>
              <w:jc w:val="center"/>
              <w:rPr>
                <w:rFonts w:ascii="Times New Roman" w:eastAsia="Times New Roman" w:hAnsi="Times New Roman" w:cs="Times New Roman"/>
                <w:color w:val="000000"/>
                <w:sz w:val="16"/>
                <w:szCs w:val="16"/>
                <w:lang w:eastAsia="es-GT"/>
              </w:rPr>
            </w:pPr>
            <w:r w:rsidRPr="004A66F0">
              <w:rPr>
                <w:rFonts w:ascii="Times New Roman" w:eastAsia="Times New Roman" w:hAnsi="Times New Roman" w:cs="Times New Roman"/>
                <w:color w:val="000000"/>
                <w:sz w:val="16"/>
                <w:szCs w:val="16"/>
                <w:lang w:eastAsia="es-GT"/>
              </w:rPr>
              <w:t>8,562.3</w:t>
            </w:r>
          </w:p>
        </w:tc>
        <w:tc>
          <w:tcPr>
            <w:tcW w:w="1277" w:type="dxa"/>
            <w:tcBorders>
              <w:top w:val="nil"/>
              <w:left w:val="nil"/>
              <w:bottom w:val="nil"/>
              <w:right w:val="single" w:sz="8" w:space="0" w:color="auto"/>
            </w:tcBorders>
            <w:shd w:val="clear" w:color="000000" w:fill="FFFFFF"/>
            <w:vAlign w:val="center"/>
            <w:hideMark/>
          </w:tcPr>
          <w:p w14:paraId="78D7C503" w14:textId="77777777" w:rsidR="004A66F0" w:rsidRPr="004A66F0" w:rsidRDefault="004A66F0" w:rsidP="008D7BB4">
            <w:pPr>
              <w:spacing w:line="276" w:lineRule="auto"/>
              <w:contextualSpacing/>
              <w:jc w:val="center"/>
              <w:rPr>
                <w:rFonts w:ascii="Times New Roman" w:eastAsia="Times New Roman" w:hAnsi="Times New Roman" w:cs="Times New Roman"/>
                <w:color w:val="000000"/>
                <w:sz w:val="16"/>
                <w:szCs w:val="16"/>
                <w:lang w:eastAsia="es-GT"/>
              </w:rPr>
            </w:pPr>
            <w:r w:rsidRPr="004A66F0">
              <w:rPr>
                <w:rFonts w:ascii="Times New Roman" w:eastAsia="Times New Roman" w:hAnsi="Times New Roman" w:cs="Times New Roman"/>
                <w:color w:val="000000"/>
                <w:sz w:val="16"/>
                <w:szCs w:val="16"/>
                <w:lang w:eastAsia="es-GT"/>
              </w:rPr>
              <w:t>1.2</w:t>
            </w:r>
          </w:p>
        </w:tc>
      </w:tr>
      <w:tr w:rsidR="004A66F0" w:rsidRPr="004A66F0" w14:paraId="1C1A2B1D" w14:textId="77777777" w:rsidTr="004E298C">
        <w:trPr>
          <w:trHeight w:val="396"/>
          <w:jc w:val="center"/>
        </w:trPr>
        <w:tc>
          <w:tcPr>
            <w:tcW w:w="2747" w:type="dxa"/>
            <w:tcBorders>
              <w:top w:val="nil"/>
              <w:left w:val="single" w:sz="8" w:space="0" w:color="auto"/>
              <w:bottom w:val="single" w:sz="8" w:space="0" w:color="auto"/>
              <w:right w:val="nil"/>
            </w:tcBorders>
            <w:shd w:val="clear" w:color="000000" w:fill="FFFFFF"/>
            <w:vAlign w:val="center"/>
            <w:hideMark/>
          </w:tcPr>
          <w:p w14:paraId="173DBF1E" w14:textId="77777777" w:rsidR="004A66F0" w:rsidRPr="004A66F0" w:rsidRDefault="004A66F0" w:rsidP="008D7BB4">
            <w:pPr>
              <w:spacing w:line="276" w:lineRule="auto"/>
              <w:ind w:firstLineChars="100" w:firstLine="161"/>
              <w:contextualSpacing/>
              <w:rPr>
                <w:rFonts w:ascii="Times New Roman" w:eastAsia="Times New Roman" w:hAnsi="Times New Roman" w:cs="Times New Roman"/>
                <w:b/>
                <w:bCs/>
                <w:color w:val="000000"/>
                <w:sz w:val="16"/>
                <w:szCs w:val="16"/>
                <w:lang w:eastAsia="es-GT"/>
              </w:rPr>
            </w:pPr>
            <w:r w:rsidRPr="004A66F0">
              <w:rPr>
                <w:rFonts w:ascii="Times New Roman" w:eastAsia="Times New Roman" w:hAnsi="Times New Roman" w:cs="Times New Roman"/>
                <w:b/>
                <w:bCs/>
                <w:color w:val="000000"/>
                <w:sz w:val="16"/>
                <w:szCs w:val="16"/>
                <w:lang w:eastAsia="es-GT"/>
              </w:rPr>
              <w:t>Variación de Caja</w:t>
            </w:r>
          </w:p>
        </w:tc>
        <w:tc>
          <w:tcPr>
            <w:tcW w:w="1277" w:type="dxa"/>
            <w:tcBorders>
              <w:top w:val="nil"/>
              <w:left w:val="single" w:sz="8" w:space="0" w:color="auto"/>
              <w:bottom w:val="single" w:sz="8" w:space="0" w:color="auto"/>
              <w:right w:val="single" w:sz="8" w:space="0" w:color="auto"/>
            </w:tcBorders>
            <w:shd w:val="clear" w:color="000000" w:fill="FFFFFF"/>
            <w:vAlign w:val="center"/>
            <w:hideMark/>
          </w:tcPr>
          <w:p w14:paraId="36D9935A" w14:textId="77777777" w:rsidR="004A66F0" w:rsidRPr="004A66F0" w:rsidRDefault="004A66F0" w:rsidP="008D7BB4">
            <w:pPr>
              <w:spacing w:line="276" w:lineRule="auto"/>
              <w:contextualSpacing/>
              <w:jc w:val="center"/>
              <w:rPr>
                <w:rFonts w:ascii="Times New Roman" w:eastAsia="Times New Roman" w:hAnsi="Times New Roman" w:cs="Times New Roman"/>
                <w:b/>
                <w:bCs/>
                <w:color w:val="000000"/>
                <w:sz w:val="16"/>
                <w:szCs w:val="16"/>
                <w:lang w:eastAsia="es-GT"/>
              </w:rPr>
            </w:pPr>
            <w:r w:rsidRPr="004A66F0">
              <w:rPr>
                <w:rFonts w:ascii="Times New Roman" w:eastAsia="Times New Roman" w:hAnsi="Times New Roman" w:cs="Times New Roman"/>
                <w:b/>
                <w:bCs/>
                <w:color w:val="000000"/>
                <w:sz w:val="16"/>
                <w:szCs w:val="16"/>
                <w:lang w:eastAsia="es-GT"/>
              </w:rPr>
              <w:t>-11,918.2</w:t>
            </w:r>
          </w:p>
        </w:tc>
        <w:tc>
          <w:tcPr>
            <w:tcW w:w="1277" w:type="dxa"/>
            <w:tcBorders>
              <w:top w:val="nil"/>
              <w:left w:val="nil"/>
              <w:bottom w:val="single" w:sz="8" w:space="0" w:color="auto"/>
              <w:right w:val="nil"/>
            </w:tcBorders>
            <w:shd w:val="clear" w:color="000000" w:fill="FFFFFF"/>
            <w:vAlign w:val="center"/>
            <w:hideMark/>
          </w:tcPr>
          <w:p w14:paraId="53F6B90A" w14:textId="77777777" w:rsidR="004A66F0" w:rsidRPr="004A66F0" w:rsidRDefault="004A66F0" w:rsidP="008D7BB4">
            <w:pPr>
              <w:spacing w:line="276" w:lineRule="auto"/>
              <w:contextualSpacing/>
              <w:jc w:val="center"/>
              <w:rPr>
                <w:rFonts w:ascii="Times New Roman" w:eastAsia="Times New Roman" w:hAnsi="Times New Roman" w:cs="Times New Roman"/>
                <w:b/>
                <w:bCs/>
                <w:color w:val="000000"/>
                <w:sz w:val="16"/>
                <w:szCs w:val="16"/>
                <w:lang w:eastAsia="es-GT"/>
              </w:rPr>
            </w:pPr>
            <w:r w:rsidRPr="004A66F0">
              <w:rPr>
                <w:rFonts w:ascii="Times New Roman" w:eastAsia="Times New Roman" w:hAnsi="Times New Roman" w:cs="Times New Roman"/>
                <w:b/>
                <w:bCs/>
                <w:color w:val="000000"/>
                <w:sz w:val="16"/>
                <w:szCs w:val="16"/>
                <w:lang w:eastAsia="es-GT"/>
              </w:rPr>
              <w:t>12,836.2</w:t>
            </w:r>
          </w:p>
        </w:tc>
        <w:tc>
          <w:tcPr>
            <w:tcW w:w="1277" w:type="dxa"/>
            <w:tcBorders>
              <w:top w:val="nil"/>
              <w:left w:val="nil"/>
              <w:bottom w:val="single" w:sz="8" w:space="0" w:color="auto"/>
              <w:right w:val="nil"/>
            </w:tcBorders>
            <w:shd w:val="clear" w:color="000000" w:fill="FFFFFF"/>
            <w:vAlign w:val="center"/>
            <w:hideMark/>
          </w:tcPr>
          <w:p w14:paraId="3B258A34" w14:textId="77777777" w:rsidR="004A66F0" w:rsidRPr="004A66F0" w:rsidRDefault="004A66F0" w:rsidP="008D7BB4">
            <w:pPr>
              <w:spacing w:line="276" w:lineRule="auto"/>
              <w:contextualSpacing/>
              <w:jc w:val="center"/>
              <w:rPr>
                <w:rFonts w:ascii="Times New Roman" w:eastAsia="Times New Roman" w:hAnsi="Times New Roman" w:cs="Times New Roman"/>
                <w:b/>
                <w:bCs/>
                <w:color w:val="000000"/>
                <w:sz w:val="16"/>
                <w:szCs w:val="16"/>
                <w:lang w:eastAsia="es-GT"/>
              </w:rPr>
            </w:pPr>
            <w:r w:rsidRPr="004A66F0">
              <w:rPr>
                <w:rFonts w:ascii="Times New Roman" w:eastAsia="Times New Roman" w:hAnsi="Times New Roman" w:cs="Times New Roman"/>
                <w:b/>
                <w:bCs/>
                <w:color w:val="000000"/>
                <w:sz w:val="16"/>
                <w:szCs w:val="16"/>
                <w:lang w:eastAsia="es-GT"/>
              </w:rPr>
              <w:t>3,892.5</w:t>
            </w:r>
          </w:p>
        </w:tc>
        <w:tc>
          <w:tcPr>
            <w:tcW w:w="1277" w:type="dxa"/>
            <w:tcBorders>
              <w:top w:val="nil"/>
              <w:left w:val="nil"/>
              <w:bottom w:val="single" w:sz="8" w:space="0" w:color="auto"/>
              <w:right w:val="single" w:sz="8" w:space="0" w:color="auto"/>
            </w:tcBorders>
            <w:shd w:val="clear" w:color="000000" w:fill="FFFFFF"/>
            <w:vAlign w:val="center"/>
            <w:hideMark/>
          </w:tcPr>
          <w:p w14:paraId="2A33B101" w14:textId="77777777" w:rsidR="004A66F0" w:rsidRPr="004A66F0" w:rsidRDefault="004A66F0" w:rsidP="008D7BB4">
            <w:pPr>
              <w:spacing w:line="276" w:lineRule="auto"/>
              <w:contextualSpacing/>
              <w:jc w:val="center"/>
              <w:rPr>
                <w:rFonts w:ascii="Times New Roman" w:eastAsia="Times New Roman" w:hAnsi="Times New Roman" w:cs="Times New Roman"/>
                <w:color w:val="000000"/>
                <w:sz w:val="16"/>
                <w:szCs w:val="16"/>
                <w:lang w:eastAsia="es-GT"/>
              </w:rPr>
            </w:pPr>
            <w:r w:rsidRPr="004A66F0">
              <w:rPr>
                <w:rFonts w:ascii="Times New Roman" w:eastAsia="Times New Roman" w:hAnsi="Times New Roman" w:cs="Times New Roman"/>
                <w:color w:val="000000"/>
                <w:sz w:val="16"/>
                <w:szCs w:val="16"/>
                <w:lang w:eastAsia="es-GT"/>
              </w:rPr>
              <w:t>0.5</w:t>
            </w:r>
          </w:p>
        </w:tc>
      </w:tr>
      <w:tr w:rsidR="004A66F0" w:rsidRPr="004A66F0" w14:paraId="0187B5F1" w14:textId="77777777" w:rsidTr="004E298C">
        <w:trPr>
          <w:trHeight w:val="288"/>
          <w:jc w:val="center"/>
        </w:trPr>
        <w:tc>
          <w:tcPr>
            <w:tcW w:w="2747" w:type="dxa"/>
            <w:tcBorders>
              <w:top w:val="nil"/>
              <w:left w:val="nil"/>
              <w:bottom w:val="nil"/>
              <w:right w:val="nil"/>
            </w:tcBorders>
            <w:vAlign w:val="center"/>
            <w:hideMark/>
          </w:tcPr>
          <w:p w14:paraId="32F4B068" w14:textId="77777777" w:rsidR="004A66F0" w:rsidRPr="004A66F0" w:rsidRDefault="004A66F0" w:rsidP="008D7BB4">
            <w:pPr>
              <w:spacing w:line="276" w:lineRule="auto"/>
              <w:contextualSpacing/>
              <w:rPr>
                <w:rFonts w:ascii="Times New Roman" w:eastAsia="Times New Roman" w:hAnsi="Times New Roman" w:cs="Times New Roman"/>
                <w:b/>
                <w:bCs/>
                <w:sz w:val="14"/>
                <w:szCs w:val="14"/>
                <w:lang w:eastAsia="es-GT"/>
              </w:rPr>
            </w:pPr>
            <w:r w:rsidRPr="004A66F0">
              <w:rPr>
                <w:rFonts w:ascii="Times New Roman" w:eastAsia="Times New Roman" w:hAnsi="Times New Roman" w:cs="Times New Roman"/>
                <w:b/>
                <w:bCs/>
                <w:sz w:val="14"/>
                <w:szCs w:val="14"/>
                <w:lang w:eastAsia="es-GT"/>
              </w:rPr>
              <w:t>PIB a precios corrientes (Millones de Q.)</w:t>
            </w:r>
          </w:p>
        </w:tc>
        <w:tc>
          <w:tcPr>
            <w:tcW w:w="1277" w:type="dxa"/>
            <w:tcBorders>
              <w:top w:val="nil"/>
              <w:left w:val="nil"/>
              <w:bottom w:val="nil"/>
              <w:right w:val="nil"/>
            </w:tcBorders>
            <w:noWrap/>
            <w:hideMark/>
          </w:tcPr>
          <w:p w14:paraId="70205A73" w14:textId="77777777" w:rsidR="004A66F0" w:rsidRPr="004A66F0" w:rsidRDefault="004A66F0" w:rsidP="008D7BB4">
            <w:pPr>
              <w:spacing w:line="276" w:lineRule="auto"/>
              <w:contextualSpacing/>
              <w:rPr>
                <w:rFonts w:ascii="Times New Roman" w:eastAsia="Times New Roman" w:hAnsi="Times New Roman" w:cs="Times New Roman"/>
                <w:b/>
                <w:bCs/>
                <w:sz w:val="14"/>
                <w:szCs w:val="14"/>
                <w:lang w:eastAsia="es-GT"/>
              </w:rPr>
            </w:pPr>
          </w:p>
        </w:tc>
        <w:tc>
          <w:tcPr>
            <w:tcW w:w="1277" w:type="dxa"/>
            <w:tcBorders>
              <w:top w:val="nil"/>
              <w:left w:val="nil"/>
              <w:bottom w:val="nil"/>
              <w:right w:val="nil"/>
            </w:tcBorders>
            <w:noWrap/>
            <w:hideMark/>
          </w:tcPr>
          <w:p w14:paraId="243AD15C" w14:textId="77777777" w:rsidR="004A66F0" w:rsidRPr="004A66F0" w:rsidRDefault="004A66F0" w:rsidP="008D7BB4">
            <w:pPr>
              <w:spacing w:line="276" w:lineRule="auto"/>
              <w:contextualSpacing/>
              <w:rPr>
                <w:rFonts w:ascii="Times New Roman" w:eastAsia="Times New Roman" w:hAnsi="Times New Roman" w:cs="Times New Roman"/>
                <w:sz w:val="20"/>
                <w:szCs w:val="20"/>
                <w:lang w:eastAsia="es-GT"/>
              </w:rPr>
            </w:pPr>
          </w:p>
        </w:tc>
        <w:tc>
          <w:tcPr>
            <w:tcW w:w="1277" w:type="dxa"/>
            <w:tcBorders>
              <w:top w:val="nil"/>
              <w:left w:val="nil"/>
              <w:bottom w:val="nil"/>
              <w:right w:val="nil"/>
            </w:tcBorders>
            <w:noWrap/>
            <w:hideMark/>
          </w:tcPr>
          <w:p w14:paraId="7F7E7954" w14:textId="77777777" w:rsidR="004A66F0" w:rsidRPr="004A66F0" w:rsidRDefault="004A66F0" w:rsidP="008D7BB4">
            <w:pPr>
              <w:spacing w:line="276" w:lineRule="auto"/>
              <w:contextualSpacing/>
              <w:rPr>
                <w:rFonts w:ascii="Times New Roman" w:eastAsia="Times New Roman" w:hAnsi="Times New Roman" w:cs="Times New Roman"/>
                <w:sz w:val="20"/>
                <w:szCs w:val="20"/>
                <w:lang w:eastAsia="es-GT"/>
              </w:rPr>
            </w:pPr>
          </w:p>
        </w:tc>
        <w:tc>
          <w:tcPr>
            <w:tcW w:w="1277" w:type="dxa"/>
            <w:tcBorders>
              <w:top w:val="nil"/>
              <w:left w:val="nil"/>
              <w:bottom w:val="nil"/>
              <w:right w:val="nil"/>
            </w:tcBorders>
            <w:vAlign w:val="center"/>
            <w:hideMark/>
          </w:tcPr>
          <w:p w14:paraId="32019396" w14:textId="77777777" w:rsidR="004A66F0" w:rsidRPr="004A66F0" w:rsidRDefault="004A66F0" w:rsidP="008D7BB4">
            <w:pPr>
              <w:spacing w:line="276" w:lineRule="auto"/>
              <w:contextualSpacing/>
              <w:jc w:val="center"/>
              <w:rPr>
                <w:rFonts w:ascii="Times New Roman" w:eastAsia="Times New Roman" w:hAnsi="Times New Roman" w:cs="Times New Roman"/>
                <w:b/>
                <w:bCs/>
                <w:sz w:val="14"/>
                <w:szCs w:val="14"/>
                <w:lang w:eastAsia="es-GT"/>
              </w:rPr>
            </w:pPr>
            <w:r w:rsidRPr="004A66F0">
              <w:rPr>
                <w:rFonts w:ascii="Times New Roman" w:eastAsia="Times New Roman" w:hAnsi="Times New Roman" w:cs="Times New Roman"/>
                <w:b/>
                <w:bCs/>
                <w:sz w:val="14"/>
                <w:szCs w:val="14"/>
                <w:lang w:eastAsia="es-GT"/>
              </w:rPr>
              <w:t>733,844.8</w:t>
            </w:r>
          </w:p>
        </w:tc>
      </w:tr>
      <w:tr w:rsidR="004A66F0" w:rsidRPr="004A66F0" w14:paraId="04384774" w14:textId="77777777" w:rsidTr="004E298C">
        <w:trPr>
          <w:trHeight w:val="204"/>
          <w:jc w:val="center"/>
        </w:trPr>
        <w:tc>
          <w:tcPr>
            <w:tcW w:w="2747" w:type="dxa"/>
            <w:tcBorders>
              <w:top w:val="nil"/>
              <w:left w:val="nil"/>
              <w:bottom w:val="nil"/>
              <w:right w:val="nil"/>
            </w:tcBorders>
            <w:noWrap/>
            <w:vAlign w:val="center"/>
            <w:hideMark/>
          </w:tcPr>
          <w:p w14:paraId="4E5B86DD" w14:textId="77777777" w:rsidR="004A66F0" w:rsidRPr="004A66F0" w:rsidRDefault="004A66F0" w:rsidP="008D7BB4">
            <w:pPr>
              <w:spacing w:line="276" w:lineRule="auto"/>
              <w:contextualSpacing/>
              <w:rPr>
                <w:rFonts w:ascii="Times New Roman" w:eastAsia="Times New Roman" w:hAnsi="Times New Roman" w:cs="Times New Roman"/>
                <w:b/>
                <w:bCs/>
                <w:sz w:val="14"/>
                <w:szCs w:val="14"/>
                <w:lang w:eastAsia="es-GT"/>
              </w:rPr>
            </w:pPr>
            <w:r w:rsidRPr="004A66F0">
              <w:rPr>
                <w:rFonts w:ascii="Times New Roman" w:eastAsia="Times New Roman" w:hAnsi="Times New Roman" w:cs="Times New Roman"/>
                <w:b/>
                <w:bCs/>
                <w:sz w:val="14"/>
                <w:szCs w:val="14"/>
                <w:lang w:eastAsia="es-GT"/>
              </w:rPr>
              <w:t>Egresos totales</w:t>
            </w:r>
          </w:p>
        </w:tc>
        <w:tc>
          <w:tcPr>
            <w:tcW w:w="1277" w:type="dxa"/>
            <w:tcBorders>
              <w:top w:val="nil"/>
              <w:left w:val="nil"/>
              <w:bottom w:val="nil"/>
              <w:right w:val="nil"/>
            </w:tcBorders>
            <w:vAlign w:val="center"/>
            <w:hideMark/>
          </w:tcPr>
          <w:p w14:paraId="28519B7D" w14:textId="77777777" w:rsidR="004A66F0" w:rsidRPr="004A66F0" w:rsidRDefault="004A66F0" w:rsidP="008D7BB4">
            <w:pPr>
              <w:spacing w:line="276" w:lineRule="auto"/>
              <w:contextualSpacing/>
              <w:jc w:val="center"/>
              <w:rPr>
                <w:rFonts w:ascii="Times New Roman" w:eastAsia="Times New Roman" w:hAnsi="Times New Roman" w:cs="Times New Roman"/>
                <w:b/>
                <w:bCs/>
                <w:sz w:val="14"/>
                <w:szCs w:val="14"/>
                <w:lang w:eastAsia="es-GT"/>
              </w:rPr>
            </w:pPr>
            <w:r w:rsidRPr="004A66F0">
              <w:rPr>
                <w:rFonts w:ascii="Times New Roman" w:eastAsia="Times New Roman" w:hAnsi="Times New Roman" w:cs="Times New Roman"/>
                <w:b/>
                <w:bCs/>
                <w:sz w:val="14"/>
                <w:szCs w:val="14"/>
                <w:lang w:eastAsia="es-GT"/>
              </w:rPr>
              <w:t>93,005.7</w:t>
            </w:r>
          </w:p>
        </w:tc>
        <w:tc>
          <w:tcPr>
            <w:tcW w:w="1277" w:type="dxa"/>
            <w:tcBorders>
              <w:top w:val="nil"/>
              <w:left w:val="nil"/>
              <w:bottom w:val="nil"/>
              <w:right w:val="nil"/>
            </w:tcBorders>
            <w:vAlign w:val="center"/>
            <w:hideMark/>
          </w:tcPr>
          <w:p w14:paraId="5DC6C920" w14:textId="77777777" w:rsidR="004A66F0" w:rsidRPr="004A66F0" w:rsidRDefault="004A66F0" w:rsidP="008D7BB4">
            <w:pPr>
              <w:spacing w:line="276" w:lineRule="auto"/>
              <w:contextualSpacing/>
              <w:jc w:val="center"/>
              <w:rPr>
                <w:rFonts w:ascii="Times New Roman" w:eastAsia="Times New Roman" w:hAnsi="Times New Roman" w:cs="Times New Roman"/>
                <w:b/>
                <w:bCs/>
                <w:sz w:val="14"/>
                <w:szCs w:val="14"/>
                <w:lang w:eastAsia="es-GT"/>
              </w:rPr>
            </w:pPr>
            <w:r w:rsidRPr="004A66F0">
              <w:rPr>
                <w:rFonts w:ascii="Times New Roman" w:eastAsia="Times New Roman" w:hAnsi="Times New Roman" w:cs="Times New Roman"/>
                <w:b/>
                <w:bCs/>
                <w:sz w:val="14"/>
                <w:szCs w:val="14"/>
                <w:lang w:eastAsia="es-GT"/>
              </w:rPr>
              <w:t>112,939.8</w:t>
            </w:r>
          </w:p>
        </w:tc>
        <w:tc>
          <w:tcPr>
            <w:tcW w:w="1277" w:type="dxa"/>
            <w:tcBorders>
              <w:top w:val="nil"/>
              <w:left w:val="nil"/>
              <w:bottom w:val="nil"/>
              <w:right w:val="nil"/>
            </w:tcBorders>
            <w:vAlign w:val="center"/>
            <w:hideMark/>
          </w:tcPr>
          <w:p w14:paraId="2E1EABBD" w14:textId="77777777" w:rsidR="004A66F0" w:rsidRPr="004A66F0" w:rsidRDefault="004A66F0" w:rsidP="008D7BB4">
            <w:pPr>
              <w:spacing w:line="276" w:lineRule="auto"/>
              <w:contextualSpacing/>
              <w:jc w:val="center"/>
              <w:rPr>
                <w:rFonts w:ascii="Times New Roman" w:eastAsia="Times New Roman" w:hAnsi="Times New Roman" w:cs="Times New Roman"/>
                <w:b/>
                <w:bCs/>
                <w:sz w:val="14"/>
                <w:szCs w:val="14"/>
                <w:lang w:eastAsia="es-GT"/>
              </w:rPr>
            </w:pPr>
            <w:r w:rsidRPr="004A66F0">
              <w:rPr>
                <w:rFonts w:ascii="Times New Roman" w:eastAsia="Times New Roman" w:hAnsi="Times New Roman" w:cs="Times New Roman"/>
                <w:b/>
                <w:bCs/>
                <w:sz w:val="14"/>
                <w:szCs w:val="14"/>
                <w:lang w:eastAsia="es-GT"/>
              </w:rPr>
              <w:t>108,593.1</w:t>
            </w:r>
          </w:p>
        </w:tc>
        <w:tc>
          <w:tcPr>
            <w:tcW w:w="1277" w:type="dxa"/>
            <w:tcBorders>
              <w:top w:val="nil"/>
              <w:left w:val="nil"/>
              <w:bottom w:val="nil"/>
              <w:right w:val="nil"/>
            </w:tcBorders>
            <w:noWrap/>
            <w:vAlign w:val="center"/>
            <w:hideMark/>
          </w:tcPr>
          <w:p w14:paraId="69AF46B4" w14:textId="77777777" w:rsidR="004A66F0" w:rsidRPr="004A66F0" w:rsidRDefault="004A66F0" w:rsidP="008D7BB4">
            <w:pPr>
              <w:spacing w:line="276" w:lineRule="auto"/>
              <w:contextualSpacing/>
              <w:jc w:val="center"/>
              <w:rPr>
                <w:rFonts w:ascii="Times New Roman" w:eastAsia="Times New Roman" w:hAnsi="Times New Roman" w:cs="Times New Roman"/>
                <w:b/>
                <w:bCs/>
                <w:sz w:val="14"/>
                <w:szCs w:val="14"/>
                <w:lang w:eastAsia="es-GT"/>
              </w:rPr>
            </w:pPr>
            <w:r w:rsidRPr="004A66F0">
              <w:rPr>
                <w:rFonts w:ascii="Times New Roman" w:eastAsia="Times New Roman" w:hAnsi="Times New Roman" w:cs="Times New Roman"/>
                <w:b/>
                <w:bCs/>
                <w:sz w:val="14"/>
                <w:szCs w:val="14"/>
                <w:lang w:eastAsia="es-GT"/>
              </w:rPr>
              <w:t>14.8</w:t>
            </w:r>
          </w:p>
        </w:tc>
      </w:tr>
    </w:tbl>
    <w:p w14:paraId="7E19DB5E" w14:textId="65B8FF80" w:rsidR="004A66F0" w:rsidRPr="008C3120" w:rsidRDefault="004A66F0" w:rsidP="008D7BB4">
      <w:pPr>
        <w:spacing w:line="276" w:lineRule="auto"/>
        <w:contextualSpacing/>
        <w:rPr>
          <w:rFonts w:ascii="Times New Roman" w:eastAsia="Times New Roman" w:hAnsi="Times New Roman" w:cs="Times New Roman"/>
          <w:sz w:val="18"/>
          <w:szCs w:val="18"/>
        </w:rPr>
      </w:pPr>
      <w:r w:rsidRPr="008C3120">
        <w:rPr>
          <w:rFonts w:ascii="Times New Roman" w:eastAsia="Times New Roman" w:hAnsi="Times New Roman" w:cs="Times New Roman"/>
          <w:sz w:val="18"/>
          <w:szCs w:val="18"/>
        </w:rPr>
        <w:t xml:space="preserve">             Fuente: Dirección de Análisis y Política Fiscal.</w:t>
      </w:r>
    </w:p>
    <w:p w14:paraId="4101A820" w14:textId="77777777" w:rsidR="004A66F0" w:rsidRPr="004A66F0" w:rsidRDefault="004A66F0" w:rsidP="008D7BB4">
      <w:pPr>
        <w:spacing w:line="276" w:lineRule="auto"/>
        <w:contextualSpacing/>
        <w:jc w:val="both"/>
        <w:rPr>
          <w:rFonts w:ascii="Times New Roman" w:eastAsia="Times New Roman" w:hAnsi="Times New Roman" w:cs="Calibri"/>
          <w:sz w:val="22"/>
          <w:szCs w:val="22"/>
        </w:rPr>
      </w:pPr>
    </w:p>
    <w:p w14:paraId="779B9A94" w14:textId="77777777" w:rsidR="004A66F0" w:rsidRPr="00135705" w:rsidRDefault="004A66F0" w:rsidP="008D7BB4">
      <w:pPr>
        <w:spacing w:line="276" w:lineRule="auto"/>
        <w:contextualSpacing/>
        <w:jc w:val="both"/>
        <w:rPr>
          <w:rFonts w:ascii="Times New Roman" w:eastAsia="Times New Roman" w:hAnsi="Times New Roman" w:cs="Calibri"/>
          <w:sz w:val="22"/>
          <w:szCs w:val="22"/>
        </w:rPr>
      </w:pPr>
      <w:r w:rsidRPr="00135705">
        <w:rPr>
          <w:rFonts w:ascii="Times New Roman" w:eastAsia="Times New Roman" w:hAnsi="Times New Roman" w:cs="Calibri"/>
          <w:sz w:val="22"/>
          <w:szCs w:val="22"/>
        </w:rPr>
        <w:t>El financiamiento del déficit fiscal recayó en la emisión y colocación de Bonos del Tesoro para el ejercicio fiscal 2022, de la cual se realizó en un 69.9% en el mercado interno y el 30.1% en el mercado internacional de capitales mediante la colocación de un Eurobono.</w:t>
      </w:r>
    </w:p>
    <w:p w14:paraId="2786207F" w14:textId="77777777" w:rsidR="004A66F0" w:rsidRPr="00135705" w:rsidRDefault="004A66F0" w:rsidP="008D7BB4">
      <w:pPr>
        <w:spacing w:line="276" w:lineRule="auto"/>
        <w:contextualSpacing/>
        <w:jc w:val="both"/>
        <w:rPr>
          <w:rFonts w:ascii="Times New Roman" w:eastAsia="Times New Roman" w:hAnsi="Times New Roman" w:cs="Calibri"/>
          <w:sz w:val="22"/>
          <w:szCs w:val="22"/>
        </w:rPr>
      </w:pPr>
    </w:p>
    <w:p w14:paraId="5F995E02" w14:textId="65B41F67" w:rsidR="004A66F0" w:rsidRPr="004A66F0" w:rsidRDefault="004A66F0" w:rsidP="008D7BB4">
      <w:pPr>
        <w:spacing w:line="276" w:lineRule="auto"/>
        <w:contextualSpacing/>
        <w:jc w:val="both"/>
        <w:rPr>
          <w:rFonts w:ascii="Times New Roman" w:eastAsia="Times New Roman" w:hAnsi="Times New Roman" w:cs="Calibri"/>
          <w:sz w:val="22"/>
          <w:szCs w:val="22"/>
        </w:rPr>
      </w:pPr>
      <w:r w:rsidRPr="004A66F0">
        <w:rPr>
          <w:rFonts w:ascii="Times New Roman" w:eastAsia="Times New Roman" w:hAnsi="Times New Roman" w:cs="Calibri"/>
          <w:sz w:val="22"/>
          <w:szCs w:val="22"/>
        </w:rPr>
        <w:t xml:space="preserve">Respecto a las colocaciones internas, es importante indicar que </w:t>
      </w:r>
      <w:r w:rsidR="00135705">
        <w:rPr>
          <w:rFonts w:ascii="Times New Roman" w:eastAsia="Times New Roman" w:hAnsi="Times New Roman" w:cs="Calibri"/>
          <w:sz w:val="22"/>
          <w:szCs w:val="22"/>
        </w:rPr>
        <w:t>no se colocaron</w:t>
      </w:r>
      <w:r w:rsidRPr="004A66F0">
        <w:rPr>
          <w:rFonts w:ascii="Times New Roman" w:eastAsia="Times New Roman" w:hAnsi="Times New Roman" w:cs="Calibri"/>
          <w:sz w:val="22"/>
          <w:szCs w:val="22"/>
        </w:rPr>
        <w:t xml:space="preserve"> Q5,149.4 millones, que corresponden al 28.6% de la disponibilidad aprobada mediante el Decreto número 16-2021 Ley de Presupuesto de Ingresos y Egresos del Estado para el 2022 (descontando la sustitución de fuente, según Decreto número 29-2022)</w:t>
      </w:r>
      <w:r w:rsidR="00135705">
        <w:rPr>
          <w:rFonts w:ascii="Times New Roman" w:eastAsia="Times New Roman" w:hAnsi="Times New Roman" w:cs="Calibri"/>
          <w:sz w:val="22"/>
          <w:szCs w:val="22"/>
        </w:rPr>
        <w:t xml:space="preserve"> debido a </w:t>
      </w:r>
      <w:r w:rsidR="00135705" w:rsidRPr="004A66F0">
        <w:rPr>
          <w:rFonts w:ascii="Times New Roman" w:eastAsia="Times New Roman" w:hAnsi="Times New Roman" w:cs="Calibri"/>
          <w:sz w:val="22"/>
          <w:szCs w:val="22"/>
        </w:rPr>
        <w:t xml:space="preserve">que durante el año se tuvo </w:t>
      </w:r>
      <w:r w:rsidR="00135705">
        <w:rPr>
          <w:rFonts w:ascii="Times New Roman" w:eastAsia="Times New Roman" w:hAnsi="Times New Roman" w:cs="Calibri"/>
          <w:sz w:val="22"/>
          <w:szCs w:val="22"/>
        </w:rPr>
        <w:t>bastante</w:t>
      </w:r>
      <w:r w:rsidR="00135705" w:rsidRPr="004A66F0">
        <w:rPr>
          <w:rFonts w:ascii="Times New Roman" w:eastAsia="Times New Roman" w:hAnsi="Times New Roman" w:cs="Calibri"/>
          <w:sz w:val="22"/>
          <w:szCs w:val="22"/>
        </w:rPr>
        <w:t xml:space="preserve"> disponibilidad de </w:t>
      </w:r>
      <w:r w:rsidR="00135705" w:rsidRPr="004A66F0">
        <w:rPr>
          <w:rFonts w:ascii="Times New Roman" w:eastAsia="Times New Roman" w:hAnsi="Times New Roman" w:cs="Calibri"/>
          <w:sz w:val="22"/>
          <w:szCs w:val="22"/>
        </w:rPr>
        <w:lastRenderedPageBreak/>
        <w:t>recursos y se hizo uso de saldos de caja</w:t>
      </w:r>
      <w:r w:rsidR="00135705">
        <w:rPr>
          <w:rFonts w:ascii="Times New Roman" w:eastAsia="Times New Roman" w:hAnsi="Times New Roman" w:cs="Calibri"/>
          <w:sz w:val="22"/>
          <w:szCs w:val="22"/>
        </w:rPr>
        <w:t>, constituyendo por tanto  el</w:t>
      </w:r>
      <w:r w:rsidRPr="004A66F0">
        <w:rPr>
          <w:rFonts w:ascii="Times New Roman" w:eastAsia="Times New Roman" w:hAnsi="Times New Roman" w:cs="Calibri"/>
          <w:sz w:val="22"/>
          <w:szCs w:val="22"/>
        </w:rPr>
        <w:t xml:space="preserve"> primer año</w:t>
      </w:r>
      <w:r w:rsidR="00135705">
        <w:rPr>
          <w:rFonts w:ascii="Times New Roman" w:eastAsia="Times New Roman" w:hAnsi="Times New Roman" w:cs="Calibri"/>
          <w:sz w:val="22"/>
          <w:szCs w:val="22"/>
        </w:rPr>
        <w:t xml:space="preserve"> </w:t>
      </w:r>
      <w:r w:rsidRPr="004A66F0">
        <w:rPr>
          <w:rFonts w:ascii="Times New Roman" w:eastAsia="Times New Roman" w:hAnsi="Times New Roman" w:cs="Calibri"/>
          <w:sz w:val="22"/>
          <w:szCs w:val="22"/>
        </w:rPr>
        <w:t>en que no se recolocó todo el endeudamiento aprobado por parte del Congreso de la República</w:t>
      </w:r>
      <w:r w:rsidR="00135705">
        <w:rPr>
          <w:rFonts w:ascii="Times New Roman" w:eastAsia="Times New Roman" w:hAnsi="Times New Roman" w:cs="Calibri"/>
          <w:sz w:val="22"/>
          <w:szCs w:val="22"/>
        </w:rPr>
        <w:t>.</w:t>
      </w:r>
      <w:r w:rsidRPr="004A66F0">
        <w:rPr>
          <w:rFonts w:ascii="Times New Roman" w:eastAsia="Times New Roman" w:hAnsi="Times New Roman" w:cs="Calibri"/>
          <w:sz w:val="22"/>
          <w:szCs w:val="22"/>
        </w:rPr>
        <w:t>.</w:t>
      </w:r>
    </w:p>
    <w:p w14:paraId="19B86392" w14:textId="77777777" w:rsidR="004A66F0" w:rsidRPr="004A66F0" w:rsidRDefault="004A66F0" w:rsidP="008D7BB4">
      <w:pPr>
        <w:spacing w:line="276" w:lineRule="auto"/>
        <w:contextualSpacing/>
        <w:jc w:val="both"/>
        <w:rPr>
          <w:rFonts w:ascii="Times New Roman" w:eastAsia="Times New Roman" w:hAnsi="Times New Roman" w:cs="Calibri"/>
          <w:sz w:val="22"/>
          <w:szCs w:val="22"/>
        </w:rPr>
      </w:pPr>
    </w:p>
    <w:p w14:paraId="51D0A0A5" w14:textId="77777777" w:rsidR="004A66F0" w:rsidRPr="004A66F0" w:rsidRDefault="004A66F0" w:rsidP="008D7BB4">
      <w:pPr>
        <w:spacing w:line="276" w:lineRule="auto"/>
        <w:contextualSpacing/>
        <w:jc w:val="both"/>
        <w:rPr>
          <w:rFonts w:ascii="Times New Roman" w:eastAsia="Times New Roman" w:hAnsi="Times New Roman" w:cs="Calibri"/>
          <w:sz w:val="22"/>
          <w:szCs w:val="22"/>
        </w:rPr>
      </w:pPr>
      <w:r w:rsidRPr="004A66F0">
        <w:rPr>
          <w:rFonts w:ascii="Times New Roman" w:eastAsia="Times New Roman" w:hAnsi="Times New Roman" w:cs="Calibri"/>
          <w:sz w:val="22"/>
          <w:szCs w:val="22"/>
        </w:rPr>
        <w:t xml:space="preserve">La adjudicación en el mercado nacional con moneda nacional tuvo un rendimiento promedio ponderado de 6.0% y un plazo promedio de colocación de 17.3 años. Es decir, la preferencia de los inversionistas y del gobierno fue colocar a plazos largos, mayormente a 15 y 20 años. </w:t>
      </w:r>
    </w:p>
    <w:p w14:paraId="4BAFB428" w14:textId="77777777" w:rsidR="004A66F0" w:rsidRPr="004A66F0" w:rsidRDefault="004A66F0" w:rsidP="008D7BB4">
      <w:pPr>
        <w:spacing w:line="276" w:lineRule="auto"/>
        <w:contextualSpacing/>
        <w:jc w:val="both"/>
        <w:rPr>
          <w:rFonts w:ascii="Times New Roman" w:eastAsia="Times New Roman" w:hAnsi="Times New Roman" w:cs="Calibri"/>
          <w:noProof/>
          <w:sz w:val="20"/>
          <w:szCs w:val="36"/>
          <w:lang w:eastAsia="es-GT"/>
        </w:rPr>
      </w:pPr>
    </w:p>
    <w:p w14:paraId="2E9F30AF" w14:textId="06990AB2" w:rsidR="004A66F0" w:rsidRPr="004A66F0" w:rsidRDefault="00A11E1A" w:rsidP="008D7BB4">
      <w:pPr>
        <w:spacing w:line="276" w:lineRule="auto"/>
        <w:contextualSpacing/>
        <w:jc w:val="center"/>
        <w:rPr>
          <w:rFonts w:ascii="Times New Roman" w:eastAsia="Times New Roman" w:hAnsi="Times New Roman" w:cs="Calibri"/>
          <w:b/>
          <w:noProof/>
          <w:sz w:val="22"/>
          <w:szCs w:val="22"/>
          <w:lang w:eastAsia="es-GT"/>
        </w:rPr>
      </w:pPr>
      <w:bookmarkStart w:id="78" w:name="_Toc125733213"/>
      <w:r w:rsidRPr="00A11E1A">
        <w:rPr>
          <w:rFonts w:ascii="Times New Roman" w:eastAsia="Times New Roman" w:hAnsi="Times New Roman" w:cs="Times New Roman"/>
          <w:b/>
          <w:sz w:val="22"/>
          <w:szCs w:val="22"/>
        </w:rPr>
        <w:t xml:space="preserve">Gráfico </w:t>
      </w:r>
      <w:r w:rsidRPr="00A11E1A">
        <w:rPr>
          <w:rFonts w:ascii="Times New Roman" w:eastAsia="Times New Roman" w:hAnsi="Times New Roman" w:cs="Times New Roman"/>
          <w:b/>
          <w:sz w:val="22"/>
          <w:szCs w:val="22"/>
        </w:rPr>
        <w:fldChar w:fldCharType="begin"/>
      </w:r>
      <w:r w:rsidRPr="00A11E1A">
        <w:rPr>
          <w:rFonts w:ascii="Times New Roman" w:eastAsia="Times New Roman" w:hAnsi="Times New Roman" w:cs="Times New Roman"/>
          <w:b/>
          <w:sz w:val="22"/>
          <w:szCs w:val="22"/>
        </w:rPr>
        <w:instrText xml:space="preserve"> SEQ Gráfico \* ARABIC </w:instrText>
      </w:r>
      <w:r w:rsidRPr="00A11E1A">
        <w:rPr>
          <w:rFonts w:ascii="Times New Roman" w:eastAsia="Times New Roman" w:hAnsi="Times New Roman" w:cs="Times New Roman"/>
          <w:b/>
          <w:sz w:val="22"/>
          <w:szCs w:val="22"/>
        </w:rPr>
        <w:fldChar w:fldCharType="separate"/>
      </w:r>
      <w:r w:rsidR="006F4BE5">
        <w:rPr>
          <w:rFonts w:ascii="Times New Roman" w:eastAsia="Times New Roman" w:hAnsi="Times New Roman" w:cs="Times New Roman"/>
          <w:b/>
          <w:noProof/>
          <w:sz w:val="22"/>
          <w:szCs w:val="22"/>
        </w:rPr>
        <w:t>17</w:t>
      </w:r>
      <w:r w:rsidRPr="00A11E1A">
        <w:rPr>
          <w:rFonts w:ascii="Times New Roman" w:eastAsia="Times New Roman" w:hAnsi="Times New Roman" w:cs="Times New Roman"/>
          <w:b/>
          <w:sz w:val="22"/>
          <w:szCs w:val="22"/>
        </w:rPr>
        <w:fldChar w:fldCharType="end"/>
      </w:r>
      <w:r>
        <w:rPr>
          <w:rFonts w:ascii="Times New Roman" w:eastAsia="Times New Roman" w:hAnsi="Times New Roman" w:cs="Times New Roman"/>
          <w:b/>
          <w:sz w:val="22"/>
          <w:szCs w:val="22"/>
        </w:rPr>
        <w:t xml:space="preserve">. </w:t>
      </w:r>
      <w:r w:rsidR="004A66F0" w:rsidRPr="004A66F0">
        <w:rPr>
          <w:rFonts w:ascii="Times New Roman" w:eastAsia="Times New Roman" w:hAnsi="Times New Roman" w:cs="Calibri"/>
          <w:b/>
          <w:noProof/>
          <w:sz w:val="22"/>
          <w:szCs w:val="22"/>
          <w:lang w:eastAsia="es-GT"/>
        </w:rPr>
        <w:t>Colocación de Bonos del Tesoro en 2022</w:t>
      </w:r>
      <w:bookmarkEnd w:id="78"/>
    </w:p>
    <w:p w14:paraId="2C1B6E5C" w14:textId="6C095F90" w:rsidR="004A66F0" w:rsidRPr="004A66F0" w:rsidRDefault="004A66F0" w:rsidP="008D7BB4">
      <w:pPr>
        <w:spacing w:line="276" w:lineRule="auto"/>
        <w:contextualSpacing/>
        <w:jc w:val="center"/>
        <w:rPr>
          <w:rFonts w:ascii="Times New Roman" w:eastAsia="Times New Roman" w:hAnsi="Times New Roman" w:cs="Calibri"/>
          <w:noProof/>
          <w:sz w:val="20"/>
          <w:szCs w:val="36"/>
          <w:lang w:eastAsia="es-GT"/>
        </w:rPr>
      </w:pPr>
      <w:r w:rsidRPr="004A66F0">
        <w:rPr>
          <w:rFonts w:ascii="Times New Roman" w:eastAsia="Times New Roman" w:hAnsi="Times New Roman" w:cs="Calibri"/>
          <w:noProof/>
          <w:sz w:val="20"/>
          <w:szCs w:val="36"/>
          <w:lang w:eastAsia="es-GT"/>
        </w:rPr>
        <w:t>Millones de quetzales y porcentajes</w:t>
      </w:r>
    </w:p>
    <w:p w14:paraId="33658F85" w14:textId="3EA40B27" w:rsidR="004A66F0" w:rsidRPr="004A66F0" w:rsidRDefault="00D21CBB" w:rsidP="008D7BB4">
      <w:pPr>
        <w:spacing w:line="276" w:lineRule="auto"/>
        <w:contextualSpacing/>
        <w:jc w:val="both"/>
        <w:rPr>
          <w:rFonts w:ascii="Times New Roman" w:eastAsia="Times New Roman" w:hAnsi="Times New Roman" w:cs="Calibri"/>
          <w:noProof/>
          <w:sz w:val="22"/>
          <w:szCs w:val="36"/>
          <w:lang w:eastAsia="es-GT"/>
        </w:rPr>
      </w:pPr>
      <w:r w:rsidRPr="004A66F0">
        <w:rPr>
          <w:rFonts w:ascii="Calibri" w:eastAsia="Times New Roman" w:hAnsi="Calibri" w:cs="Calibri"/>
          <w:noProof/>
          <w:sz w:val="22"/>
          <w:szCs w:val="22"/>
        </w:rPr>
        <w:drawing>
          <wp:anchor distT="0" distB="3429" distL="114300" distR="115443" simplePos="0" relativeHeight="251619840" behindDoc="0" locked="0" layoutInCell="1" allowOverlap="1" wp14:anchorId="1093977E" wp14:editId="4EDC0323">
            <wp:simplePos x="0" y="0"/>
            <wp:positionH relativeFrom="column">
              <wp:posOffset>543560</wp:posOffset>
            </wp:positionH>
            <wp:positionV relativeFrom="paragraph">
              <wp:posOffset>41275</wp:posOffset>
            </wp:positionV>
            <wp:extent cx="4732655" cy="2326005"/>
            <wp:effectExtent l="0" t="0" r="0" b="0"/>
            <wp:wrapSquare wrapText="bothSides"/>
            <wp:docPr id="33" name="Gráfico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p w14:paraId="5A3FC1D3" w14:textId="77777777" w:rsidR="004A66F0" w:rsidRPr="004A66F0" w:rsidRDefault="004A66F0" w:rsidP="008D7BB4">
      <w:pPr>
        <w:spacing w:line="276" w:lineRule="auto"/>
        <w:contextualSpacing/>
        <w:jc w:val="both"/>
        <w:rPr>
          <w:rFonts w:ascii="Times New Roman" w:eastAsia="Times New Roman" w:hAnsi="Times New Roman" w:cs="Calibri"/>
          <w:noProof/>
          <w:sz w:val="22"/>
          <w:szCs w:val="36"/>
          <w:lang w:eastAsia="es-GT"/>
        </w:rPr>
      </w:pPr>
    </w:p>
    <w:p w14:paraId="5AFB93B1" w14:textId="77777777" w:rsidR="004A66F0" w:rsidRPr="004A66F0" w:rsidRDefault="004A66F0" w:rsidP="008D7BB4">
      <w:pPr>
        <w:spacing w:line="276" w:lineRule="auto"/>
        <w:contextualSpacing/>
        <w:jc w:val="both"/>
        <w:rPr>
          <w:rFonts w:ascii="Times New Roman" w:eastAsia="Times New Roman" w:hAnsi="Times New Roman" w:cs="Calibri"/>
          <w:noProof/>
          <w:sz w:val="22"/>
          <w:szCs w:val="36"/>
          <w:lang w:eastAsia="es-GT"/>
        </w:rPr>
      </w:pPr>
    </w:p>
    <w:p w14:paraId="005DD78E" w14:textId="77777777" w:rsidR="004A66F0" w:rsidRPr="004A66F0" w:rsidRDefault="004A66F0" w:rsidP="008D7BB4">
      <w:pPr>
        <w:spacing w:line="276" w:lineRule="auto"/>
        <w:contextualSpacing/>
        <w:jc w:val="both"/>
        <w:rPr>
          <w:rFonts w:ascii="Times New Roman" w:eastAsia="Times New Roman" w:hAnsi="Times New Roman" w:cs="Calibri"/>
          <w:noProof/>
          <w:sz w:val="22"/>
          <w:szCs w:val="36"/>
          <w:lang w:eastAsia="es-GT"/>
        </w:rPr>
      </w:pPr>
    </w:p>
    <w:p w14:paraId="2B23056E" w14:textId="77777777" w:rsidR="004A66F0" w:rsidRPr="004A66F0" w:rsidRDefault="004A66F0" w:rsidP="008D7BB4">
      <w:pPr>
        <w:spacing w:line="276" w:lineRule="auto"/>
        <w:contextualSpacing/>
        <w:jc w:val="both"/>
        <w:rPr>
          <w:rFonts w:ascii="Times New Roman" w:eastAsia="Times New Roman" w:hAnsi="Times New Roman" w:cs="Calibri"/>
          <w:sz w:val="22"/>
          <w:szCs w:val="36"/>
        </w:rPr>
      </w:pPr>
    </w:p>
    <w:p w14:paraId="79941231" w14:textId="77777777" w:rsidR="004A66F0" w:rsidRPr="004A66F0" w:rsidRDefault="004A66F0" w:rsidP="008D7BB4">
      <w:pPr>
        <w:spacing w:line="276" w:lineRule="auto"/>
        <w:contextualSpacing/>
        <w:jc w:val="both"/>
        <w:rPr>
          <w:rFonts w:ascii="Times New Roman" w:eastAsia="Times New Roman" w:hAnsi="Times New Roman" w:cs="Calibri"/>
          <w:sz w:val="22"/>
          <w:szCs w:val="36"/>
        </w:rPr>
      </w:pPr>
    </w:p>
    <w:p w14:paraId="408AEA18" w14:textId="77777777" w:rsidR="004A66F0" w:rsidRPr="004A66F0" w:rsidRDefault="004A66F0" w:rsidP="008D7BB4">
      <w:pPr>
        <w:spacing w:line="276" w:lineRule="auto"/>
        <w:contextualSpacing/>
        <w:jc w:val="both"/>
        <w:rPr>
          <w:rFonts w:ascii="Times New Roman" w:eastAsia="Times New Roman" w:hAnsi="Times New Roman" w:cs="Calibri"/>
          <w:sz w:val="22"/>
          <w:szCs w:val="36"/>
        </w:rPr>
      </w:pPr>
    </w:p>
    <w:p w14:paraId="2C438425" w14:textId="77777777" w:rsidR="004A66F0" w:rsidRPr="004A66F0" w:rsidRDefault="004A66F0" w:rsidP="008D7BB4">
      <w:pPr>
        <w:spacing w:line="276" w:lineRule="auto"/>
        <w:contextualSpacing/>
        <w:jc w:val="both"/>
        <w:rPr>
          <w:rFonts w:ascii="Times New Roman" w:eastAsia="Times New Roman" w:hAnsi="Times New Roman" w:cs="Calibri"/>
          <w:sz w:val="22"/>
          <w:szCs w:val="36"/>
        </w:rPr>
      </w:pPr>
    </w:p>
    <w:p w14:paraId="353148B9" w14:textId="77777777" w:rsidR="004A66F0" w:rsidRPr="004A66F0" w:rsidRDefault="004A66F0" w:rsidP="008D7BB4">
      <w:pPr>
        <w:spacing w:line="276" w:lineRule="auto"/>
        <w:contextualSpacing/>
        <w:jc w:val="both"/>
        <w:rPr>
          <w:rFonts w:ascii="Times New Roman" w:eastAsia="Times New Roman" w:hAnsi="Times New Roman" w:cs="Calibri"/>
          <w:sz w:val="22"/>
          <w:szCs w:val="36"/>
        </w:rPr>
      </w:pPr>
    </w:p>
    <w:p w14:paraId="3EBFAD69" w14:textId="77777777" w:rsidR="004A66F0" w:rsidRPr="004A66F0" w:rsidRDefault="004A66F0" w:rsidP="008D7BB4">
      <w:pPr>
        <w:spacing w:line="276" w:lineRule="auto"/>
        <w:contextualSpacing/>
        <w:jc w:val="both"/>
        <w:rPr>
          <w:rFonts w:ascii="Times New Roman" w:eastAsia="Times New Roman" w:hAnsi="Times New Roman" w:cs="Calibri"/>
          <w:sz w:val="22"/>
          <w:szCs w:val="36"/>
        </w:rPr>
      </w:pPr>
    </w:p>
    <w:p w14:paraId="5A6C6491" w14:textId="77777777" w:rsidR="004A66F0" w:rsidRPr="004A66F0" w:rsidRDefault="004A66F0" w:rsidP="008D7BB4">
      <w:pPr>
        <w:spacing w:line="276" w:lineRule="auto"/>
        <w:contextualSpacing/>
        <w:jc w:val="both"/>
        <w:rPr>
          <w:rFonts w:ascii="Times New Roman" w:eastAsia="Times New Roman" w:hAnsi="Times New Roman" w:cs="Calibri"/>
          <w:sz w:val="22"/>
          <w:szCs w:val="36"/>
        </w:rPr>
      </w:pPr>
    </w:p>
    <w:p w14:paraId="77AD5E24" w14:textId="77777777" w:rsidR="004A66F0" w:rsidRPr="004A66F0" w:rsidRDefault="004A66F0" w:rsidP="008D7BB4">
      <w:pPr>
        <w:spacing w:line="276" w:lineRule="auto"/>
        <w:contextualSpacing/>
        <w:jc w:val="both"/>
        <w:rPr>
          <w:rFonts w:ascii="Times New Roman" w:eastAsia="Times New Roman" w:hAnsi="Times New Roman" w:cs="Times New Roman"/>
          <w:sz w:val="16"/>
        </w:rPr>
      </w:pPr>
    </w:p>
    <w:p w14:paraId="5101704E" w14:textId="77777777" w:rsidR="004A66F0" w:rsidRPr="008C3120" w:rsidRDefault="004A66F0" w:rsidP="008D7BB4">
      <w:pPr>
        <w:spacing w:line="276" w:lineRule="auto"/>
        <w:ind w:left="1416" w:firstLine="708"/>
        <w:contextualSpacing/>
        <w:jc w:val="both"/>
        <w:rPr>
          <w:rFonts w:ascii="Times New Roman" w:eastAsia="Times New Roman" w:hAnsi="Times New Roman" w:cs="Times New Roman"/>
          <w:sz w:val="18"/>
          <w:szCs w:val="18"/>
        </w:rPr>
      </w:pPr>
      <w:r w:rsidRPr="008C3120">
        <w:rPr>
          <w:rFonts w:ascii="Times New Roman" w:eastAsia="Times New Roman" w:hAnsi="Times New Roman" w:cs="Times New Roman"/>
          <w:sz w:val="18"/>
          <w:szCs w:val="18"/>
        </w:rPr>
        <w:t>Fuente: Dirección de Análisis y Política Fiscal</w:t>
      </w:r>
    </w:p>
    <w:p w14:paraId="3F3E4976" w14:textId="77777777" w:rsidR="004A66F0" w:rsidRPr="004A66F0" w:rsidRDefault="004A66F0" w:rsidP="008D7BB4">
      <w:pPr>
        <w:spacing w:line="276" w:lineRule="auto"/>
        <w:contextualSpacing/>
        <w:jc w:val="both"/>
        <w:rPr>
          <w:rFonts w:ascii="Times New Roman" w:eastAsia="Times New Roman" w:hAnsi="Times New Roman" w:cs="Calibri"/>
          <w:sz w:val="22"/>
          <w:szCs w:val="22"/>
        </w:rPr>
      </w:pPr>
    </w:p>
    <w:p w14:paraId="539507A3" w14:textId="2028F321" w:rsidR="004A66F0" w:rsidRPr="004A66F0" w:rsidRDefault="004A66F0" w:rsidP="008D7BB4">
      <w:pPr>
        <w:spacing w:line="276" w:lineRule="auto"/>
        <w:contextualSpacing/>
        <w:jc w:val="both"/>
        <w:rPr>
          <w:rFonts w:ascii="Times New Roman" w:eastAsia="Times New Roman" w:hAnsi="Times New Roman" w:cs="Calibri"/>
          <w:sz w:val="22"/>
          <w:szCs w:val="22"/>
        </w:rPr>
      </w:pPr>
      <w:r w:rsidRPr="004A66F0">
        <w:rPr>
          <w:rFonts w:ascii="Times New Roman" w:eastAsia="Times New Roman" w:hAnsi="Times New Roman" w:cs="Calibri"/>
          <w:sz w:val="22"/>
          <w:szCs w:val="22"/>
        </w:rPr>
        <w:t>Respecto a los pequeños inversionistas, el cupo establecido en el presupuesto para este grupo no se agotó (Q500 millones)</w:t>
      </w:r>
      <w:r w:rsidR="00135705">
        <w:rPr>
          <w:rFonts w:ascii="Times New Roman" w:eastAsia="Times New Roman" w:hAnsi="Times New Roman" w:cs="Calibri"/>
          <w:sz w:val="22"/>
          <w:szCs w:val="22"/>
        </w:rPr>
        <w:t>.  E</w:t>
      </w:r>
      <w:r w:rsidRPr="004A66F0">
        <w:rPr>
          <w:rFonts w:ascii="Times New Roman" w:eastAsia="Times New Roman" w:hAnsi="Times New Roman" w:cs="Calibri"/>
          <w:sz w:val="22"/>
          <w:szCs w:val="22"/>
        </w:rPr>
        <w:t>l monto colocado asciende a Q150.8 millones</w:t>
      </w:r>
      <w:r w:rsidR="00135705">
        <w:rPr>
          <w:rFonts w:ascii="Times New Roman" w:eastAsia="Times New Roman" w:hAnsi="Times New Roman" w:cs="Calibri"/>
          <w:sz w:val="22"/>
          <w:szCs w:val="22"/>
        </w:rPr>
        <w:t xml:space="preserve"> y</w:t>
      </w:r>
      <w:r w:rsidRPr="004A66F0">
        <w:rPr>
          <w:rFonts w:ascii="Times New Roman" w:eastAsia="Times New Roman" w:hAnsi="Times New Roman" w:cs="Calibri"/>
          <w:sz w:val="22"/>
          <w:szCs w:val="22"/>
        </w:rPr>
        <w:t xml:space="preserve"> este mecanismo continúa siendo una estrategia para incentivar la democratización de la deuda pública, fomenta el ahorro y la inversión en pequeños inversionistas dado que las inversiones van desde un mínimo de Q10,000 hasta un máximo de Q500,000.</w:t>
      </w:r>
    </w:p>
    <w:p w14:paraId="1752D4E7" w14:textId="77777777" w:rsidR="004A66F0" w:rsidRPr="004A66F0" w:rsidRDefault="004A66F0" w:rsidP="008D7BB4">
      <w:pPr>
        <w:spacing w:line="276" w:lineRule="auto"/>
        <w:contextualSpacing/>
        <w:jc w:val="both"/>
        <w:rPr>
          <w:rFonts w:ascii="Times New Roman" w:eastAsia="Times New Roman" w:hAnsi="Times New Roman" w:cs="Calibri"/>
          <w:sz w:val="22"/>
          <w:szCs w:val="22"/>
        </w:rPr>
      </w:pPr>
    </w:p>
    <w:p w14:paraId="5FBE6FD7" w14:textId="77777777" w:rsidR="004A66F0" w:rsidRPr="004A66F0" w:rsidRDefault="004A66F0" w:rsidP="008D7BB4">
      <w:pPr>
        <w:spacing w:line="276" w:lineRule="auto"/>
        <w:contextualSpacing/>
        <w:jc w:val="both"/>
        <w:rPr>
          <w:rFonts w:ascii="Times New Roman" w:eastAsia="Times New Roman" w:hAnsi="Times New Roman" w:cs="Calibri"/>
          <w:sz w:val="22"/>
          <w:szCs w:val="22"/>
          <w:highlight w:val="white"/>
        </w:rPr>
      </w:pPr>
      <w:r w:rsidRPr="004A66F0">
        <w:rPr>
          <w:rFonts w:ascii="Times New Roman" w:eastAsia="Times New Roman" w:hAnsi="Times New Roman" w:cs="Calibri"/>
          <w:sz w:val="22"/>
          <w:szCs w:val="22"/>
        </w:rPr>
        <w:t xml:space="preserve">Respecto a la colocación del Eurobono, se adjudicaron US$500 millones en el mercado internacional de capitales, a 7 años plazo, con una tasa de 5.25%, con una demanda de US$1,200.0 millones. Si bien la tasa aumentó respecto a años anteriores, esto responde al aumento de tasa de interés a nivel internacional. No obstante, se considera que se logró una colocación favorable respecto a plazos y tasas conseguidas por países con características similares a las de Guatemala. </w:t>
      </w:r>
    </w:p>
    <w:p w14:paraId="27D587B7" w14:textId="77777777" w:rsidR="004A66F0" w:rsidRPr="004A66F0" w:rsidRDefault="004A66F0" w:rsidP="008D7BB4">
      <w:pPr>
        <w:spacing w:line="276" w:lineRule="auto"/>
        <w:contextualSpacing/>
        <w:jc w:val="both"/>
        <w:rPr>
          <w:rFonts w:ascii="Times New Roman" w:eastAsia="Times New Roman" w:hAnsi="Times New Roman" w:cs="Calibri"/>
          <w:sz w:val="22"/>
          <w:szCs w:val="22"/>
          <w:highlight w:val="white"/>
        </w:rPr>
      </w:pPr>
    </w:p>
    <w:p w14:paraId="45C42D94" w14:textId="77777777" w:rsidR="004A66F0" w:rsidRPr="004A66F0" w:rsidRDefault="004A66F0" w:rsidP="008D7BB4">
      <w:pPr>
        <w:spacing w:line="276" w:lineRule="auto"/>
        <w:contextualSpacing/>
        <w:jc w:val="both"/>
        <w:rPr>
          <w:rFonts w:ascii="Times New Roman" w:eastAsia="Times New Roman" w:hAnsi="Times New Roman" w:cs="Calibri"/>
          <w:sz w:val="22"/>
          <w:szCs w:val="22"/>
        </w:rPr>
      </w:pPr>
      <w:r w:rsidRPr="004A66F0">
        <w:rPr>
          <w:rFonts w:ascii="Times New Roman" w:eastAsia="Times New Roman" w:hAnsi="Times New Roman" w:cs="Calibri"/>
          <w:sz w:val="22"/>
          <w:szCs w:val="22"/>
        </w:rPr>
        <w:t xml:space="preserve">Guatemala es considerado un país que honra sus compromisos con los tenedores de títulos de deuda contando con una alta credibilidad, lo cual le permite continuar con las condiciones favorables obtenidas en las colocaciones externas e internas, a pesar de la incertidumbre por el devenir de la guerra entre Rusia y Ucrania, la volatilidad de los precios de los </w:t>
      </w:r>
      <w:r w:rsidRPr="00135705">
        <w:rPr>
          <w:rFonts w:ascii="Times New Roman" w:eastAsia="Times New Roman" w:hAnsi="Times New Roman" w:cs="Calibri"/>
          <w:i/>
          <w:iCs/>
          <w:sz w:val="22"/>
          <w:szCs w:val="22"/>
        </w:rPr>
        <w:t>commodities</w:t>
      </w:r>
      <w:r w:rsidRPr="004A66F0">
        <w:rPr>
          <w:rFonts w:ascii="Times New Roman" w:eastAsia="Times New Roman" w:hAnsi="Times New Roman" w:cs="Calibri"/>
          <w:sz w:val="22"/>
          <w:szCs w:val="22"/>
        </w:rPr>
        <w:t>, la alta inflación y la decisión de aumentar las tasas de interés líder por parte de los Bancos Centrales, escenario que afectó durante 2022.</w:t>
      </w:r>
    </w:p>
    <w:p w14:paraId="12156627" w14:textId="77777777" w:rsidR="004A66F0" w:rsidRPr="004A66F0" w:rsidRDefault="004A66F0" w:rsidP="008D7BB4">
      <w:pPr>
        <w:spacing w:line="276" w:lineRule="auto"/>
        <w:contextualSpacing/>
        <w:jc w:val="both"/>
        <w:rPr>
          <w:rFonts w:ascii="Times New Roman" w:eastAsia="Times New Roman" w:hAnsi="Times New Roman" w:cs="Calibri"/>
          <w:sz w:val="22"/>
          <w:szCs w:val="22"/>
        </w:rPr>
      </w:pPr>
    </w:p>
    <w:p w14:paraId="59FCA269" w14:textId="77777777" w:rsidR="004A66F0" w:rsidRPr="004A66F0" w:rsidRDefault="004A66F0" w:rsidP="008D7BB4">
      <w:pPr>
        <w:spacing w:line="276" w:lineRule="auto"/>
        <w:contextualSpacing/>
        <w:jc w:val="both"/>
        <w:rPr>
          <w:rFonts w:ascii="Times New Roman" w:eastAsia="Times New Roman" w:hAnsi="Times New Roman" w:cs="Calibri"/>
          <w:sz w:val="22"/>
          <w:szCs w:val="22"/>
        </w:rPr>
      </w:pPr>
      <w:r w:rsidRPr="004A66F0">
        <w:rPr>
          <w:rFonts w:ascii="Times New Roman" w:eastAsia="Times New Roman" w:hAnsi="Times New Roman" w:cs="Calibri"/>
          <w:sz w:val="22"/>
          <w:szCs w:val="22"/>
        </w:rPr>
        <w:t xml:space="preserve">Es importante resaltar que durante el año hubo un vencimiento de eurobono por US$700 millones (equivalente a Q5,480.6 millones), mientras la colocación fue por US$500 millones (equivalente a Q3,866.2 millones), siendo la negociación neta de eurobonos negativa. </w:t>
      </w:r>
    </w:p>
    <w:p w14:paraId="4BEF717B" w14:textId="77777777" w:rsidR="004A66F0" w:rsidRPr="004A66F0" w:rsidRDefault="004A66F0" w:rsidP="008D7BB4">
      <w:pPr>
        <w:spacing w:line="276" w:lineRule="auto"/>
        <w:contextualSpacing/>
        <w:jc w:val="both"/>
        <w:rPr>
          <w:rFonts w:ascii="Times New Roman" w:eastAsia="Times New Roman" w:hAnsi="Times New Roman" w:cs="Calibri"/>
          <w:sz w:val="22"/>
          <w:szCs w:val="22"/>
        </w:rPr>
      </w:pPr>
    </w:p>
    <w:p w14:paraId="3BE165A2" w14:textId="4EE8F680" w:rsidR="004A66F0" w:rsidRPr="004A66F0" w:rsidRDefault="004A66F0" w:rsidP="008D7BB4">
      <w:pPr>
        <w:spacing w:line="276" w:lineRule="auto"/>
        <w:contextualSpacing/>
        <w:jc w:val="both"/>
        <w:rPr>
          <w:rFonts w:ascii="Times New Roman" w:eastAsia="Times New Roman" w:hAnsi="Times New Roman" w:cs="Calibri"/>
          <w:sz w:val="22"/>
          <w:szCs w:val="22"/>
        </w:rPr>
      </w:pPr>
      <w:r w:rsidRPr="004A66F0">
        <w:rPr>
          <w:rFonts w:ascii="Times New Roman" w:eastAsia="Times New Roman" w:hAnsi="Times New Roman" w:cs="Calibri"/>
          <w:sz w:val="22"/>
          <w:szCs w:val="22"/>
        </w:rPr>
        <w:t>En mayo se aprobó el Decreto número 29-2022 Ley que aprueba el Convenio de Préstamo número 9194-GT, celebrado entre la República de Guatemala y el Banco Internacional de Reconstrucción y Fomento -BIRF-, denominado "Préstamo para Políticas de Desarrollo de Respuesta y Recuperación ante la Crisis en Guatemala".</w:t>
      </w:r>
    </w:p>
    <w:p w14:paraId="5104CB8C" w14:textId="77777777" w:rsidR="004A66F0" w:rsidRPr="004A66F0" w:rsidRDefault="004A66F0" w:rsidP="008D7BB4">
      <w:pPr>
        <w:spacing w:line="276" w:lineRule="auto"/>
        <w:contextualSpacing/>
        <w:jc w:val="both"/>
        <w:rPr>
          <w:rFonts w:ascii="Times New Roman" w:eastAsia="Times New Roman" w:hAnsi="Times New Roman" w:cs="Calibri"/>
          <w:sz w:val="22"/>
          <w:szCs w:val="22"/>
        </w:rPr>
      </w:pPr>
    </w:p>
    <w:p w14:paraId="40018F94" w14:textId="77777777" w:rsidR="004A66F0" w:rsidRPr="004A66F0" w:rsidRDefault="004A66F0" w:rsidP="008D7BB4">
      <w:pPr>
        <w:spacing w:line="276" w:lineRule="auto"/>
        <w:contextualSpacing/>
        <w:jc w:val="both"/>
        <w:rPr>
          <w:rFonts w:ascii="Times New Roman" w:eastAsia="Times New Roman" w:hAnsi="Times New Roman" w:cs="Calibri"/>
          <w:sz w:val="22"/>
          <w:szCs w:val="22"/>
        </w:rPr>
      </w:pPr>
      <w:r w:rsidRPr="004A66F0">
        <w:rPr>
          <w:rFonts w:ascii="Times New Roman" w:eastAsia="Times New Roman" w:hAnsi="Times New Roman" w:cs="Calibri"/>
          <w:sz w:val="22"/>
          <w:szCs w:val="22"/>
        </w:rPr>
        <w:t>Por ello, quedó facultado el Ministerio de Finanzas Públicas para que durante el ejercicio se incorporara al Presupuesto el equivalente al préstamo de US$500.0 millones, por medio de una sustitución de fuente de financiamiento, liberando recursos de la colocación de bonos del tesoro, todo ello sin incrementar el Presupuesto General de Egresos para el 2022, porque ello no representa ingresos y gastos adicionales.</w:t>
      </w:r>
    </w:p>
    <w:p w14:paraId="7AC76151" w14:textId="77777777" w:rsidR="004A66F0" w:rsidRPr="004A66F0" w:rsidRDefault="004A66F0" w:rsidP="008D7BB4">
      <w:pPr>
        <w:spacing w:line="276" w:lineRule="auto"/>
        <w:contextualSpacing/>
        <w:rPr>
          <w:rFonts w:ascii="Times New Roman" w:eastAsia="Times New Roman" w:hAnsi="Times New Roman" w:cs="Times New Roman"/>
          <w:sz w:val="20"/>
        </w:rPr>
      </w:pPr>
    </w:p>
    <w:p w14:paraId="4DED511E" w14:textId="390540E8" w:rsidR="004A66F0" w:rsidRPr="003832FD" w:rsidRDefault="00FE0B42" w:rsidP="008D7BB4">
      <w:pPr>
        <w:spacing w:line="276" w:lineRule="auto"/>
        <w:contextualSpacing/>
        <w:jc w:val="center"/>
        <w:rPr>
          <w:rFonts w:ascii="Times New Roman" w:eastAsia="Times New Roman" w:hAnsi="Times New Roman" w:cs="Times New Roman"/>
          <w:b/>
          <w:sz w:val="22"/>
          <w:szCs w:val="22"/>
        </w:rPr>
      </w:pPr>
      <w:bookmarkStart w:id="79" w:name="_Toc125534813"/>
      <w:r w:rsidRPr="003832FD">
        <w:rPr>
          <w:rFonts w:ascii="Times New Roman" w:hAnsi="Times New Roman" w:cs="Times New Roman"/>
          <w:b/>
          <w:bCs/>
          <w:sz w:val="22"/>
          <w:szCs w:val="22"/>
        </w:rPr>
        <w:t xml:space="preserve">Tabla </w:t>
      </w:r>
      <w:r w:rsidRPr="003832FD">
        <w:rPr>
          <w:rFonts w:ascii="Times New Roman" w:hAnsi="Times New Roman" w:cs="Times New Roman"/>
          <w:b/>
          <w:bCs/>
          <w:sz w:val="22"/>
          <w:szCs w:val="22"/>
        </w:rPr>
        <w:fldChar w:fldCharType="begin"/>
      </w:r>
      <w:r w:rsidRPr="003832FD">
        <w:rPr>
          <w:rFonts w:ascii="Times New Roman" w:hAnsi="Times New Roman" w:cs="Times New Roman"/>
          <w:b/>
          <w:bCs/>
          <w:sz w:val="22"/>
          <w:szCs w:val="22"/>
        </w:rPr>
        <w:instrText xml:space="preserve"> SEQ Tabla \* ARABIC </w:instrText>
      </w:r>
      <w:r w:rsidRPr="003832FD">
        <w:rPr>
          <w:rFonts w:ascii="Times New Roman" w:hAnsi="Times New Roman" w:cs="Times New Roman"/>
          <w:b/>
          <w:bCs/>
          <w:sz w:val="22"/>
          <w:szCs w:val="22"/>
        </w:rPr>
        <w:fldChar w:fldCharType="separate"/>
      </w:r>
      <w:r w:rsidR="006F4BE5">
        <w:rPr>
          <w:rFonts w:ascii="Times New Roman" w:hAnsi="Times New Roman" w:cs="Times New Roman"/>
          <w:b/>
          <w:bCs/>
          <w:noProof/>
          <w:sz w:val="22"/>
          <w:szCs w:val="22"/>
        </w:rPr>
        <w:t>4</w:t>
      </w:r>
      <w:r w:rsidRPr="003832FD">
        <w:rPr>
          <w:rFonts w:ascii="Times New Roman" w:hAnsi="Times New Roman" w:cs="Times New Roman"/>
          <w:b/>
          <w:bCs/>
          <w:sz w:val="22"/>
          <w:szCs w:val="22"/>
        </w:rPr>
        <w:fldChar w:fldCharType="end"/>
      </w:r>
      <w:r w:rsidRPr="003832FD">
        <w:rPr>
          <w:rFonts w:ascii="Times New Roman" w:hAnsi="Times New Roman" w:cs="Times New Roman"/>
          <w:b/>
          <w:bCs/>
          <w:sz w:val="22"/>
          <w:szCs w:val="22"/>
        </w:rPr>
        <w:t>.</w:t>
      </w:r>
      <w:r w:rsidRPr="003832FD">
        <w:rPr>
          <w:rFonts w:ascii="Times New Roman" w:hAnsi="Times New Roman" w:cs="Times New Roman"/>
          <w:sz w:val="22"/>
          <w:szCs w:val="22"/>
        </w:rPr>
        <w:t xml:space="preserve"> </w:t>
      </w:r>
      <w:r w:rsidR="004A66F0" w:rsidRPr="003832FD">
        <w:rPr>
          <w:rFonts w:ascii="Times New Roman" w:eastAsia="Times New Roman" w:hAnsi="Times New Roman" w:cs="Times New Roman"/>
          <w:b/>
          <w:sz w:val="22"/>
          <w:szCs w:val="22"/>
        </w:rPr>
        <w:t>Desembolsos de Préstamos por Organismo y Destino 2022</w:t>
      </w:r>
      <w:bookmarkEnd w:id="79"/>
    </w:p>
    <w:p w14:paraId="244DCCEF" w14:textId="77777777" w:rsidR="004A66F0" w:rsidRPr="004A66F0" w:rsidRDefault="004A66F0" w:rsidP="008D7BB4">
      <w:pPr>
        <w:spacing w:line="276" w:lineRule="auto"/>
        <w:contextualSpacing/>
        <w:jc w:val="center"/>
        <w:rPr>
          <w:rFonts w:ascii="Times New Roman" w:eastAsia="Times New Roman" w:hAnsi="Times New Roman" w:cs="Times New Roman"/>
        </w:rPr>
      </w:pPr>
      <w:r w:rsidRPr="004A66F0">
        <w:rPr>
          <w:rFonts w:ascii="Times New Roman" w:eastAsia="Times New Roman" w:hAnsi="Times New Roman" w:cs="Times New Roman"/>
        </w:rPr>
        <w:t xml:space="preserve">Cifras en millones de quetzales </w:t>
      </w:r>
    </w:p>
    <w:tbl>
      <w:tblPr>
        <w:tblW w:w="8281" w:type="dxa"/>
        <w:jc w:val="center"/>
        <w:tblCellMar>
          <w:left w:w="70" w:type="dxa"/>
          <w:right w:w="70" w:type="dxa"/>
        </w:tblCellMar>
        <w:tblLook w:val="04A0" w:firstRow="1" w:lastRow="0" w:firstColumn="1" w:lastColumn="0" w:noHBand="0" w:noVBand="1"/>
      </w:tblPr>
      <w:tblGrid>
        <w:gridCol w:w="6229"/>
        <w:gridCol w:w="2052"/>
      </w:tblGrid>
      <w:tr w:rsidR="004A66F0" w:rsidRPr="004A66F0" w14:paraId="6192D3C1" w14:textId="77777777" w:rsidTr="00D21CBB">
        <w:trPr>
          <w:trHeight w:val="311"/>
          <w:jc w:val="center"/>
        </w:trPr>
        <w:tc>
          <w:tcPr>
            <w:tcW w:w="6229" w:type="dxa"/>
            <w:tcBorders>
              <w:top w:val="single" w:sz="8" w:space="0" w:color="auto"/>
              <w:left w:val="single" w:sz="8" w:space="0" w:color="auto"/>
              <w:bottom w:val="single" w:sz="8" w:space="0" w:color="auto"/>
              <w:right w:val="single" w:sz="8" w:space="0" w:color="auto"/>
            </w:tcBorders>
            <w:shd w:val="clear" w:color="000000" w:fill="333F4F"/>
            <w:noWrap/>
            <w:vAlign w:val="center"/>
            <w:hideMark/>
          </w:tcPr>
          <w:p w14:paraId="57BBA8EA" w14:textId="77777777" w:rsidR="004A66F0" w:rsidRPr="004A66F0" w:rsidRDefault="004A66F0" w:rsidP="008D7BB4">
            <w:pPr>
              <w:spacing w:line="276" w:lineRule="auto"/>
              <w:contextualSpacing/>
              <w:jc w:val="center"/>
              <w:rPr>
                <w:rFonts w:ascii="Times New Roman" w:eastAsia="Times New Roman" w:hAnsi="Times New Roman" w:cs="Times New Roman"/>
                <w:b/>
                <w:bCs/>
                <w:color w:val="FFFFFF"/>
                <w:sz w:val="20"/>
                <w:szCs w:val="20"/>
                <w:lang w:eastAsia="es-GT"/>
              </w:rPr>
            </w:pPr>
            <w:r w:rsidRPr="004A66F0">
              <w:rPr>
                <w:rFonts w:ascii="Times New Roman" w:eastAsia="Times New Roman" w:hAnsi="Times New Roman" w:cs="Times New Roman"/>
                <w:b/>
                <w:bCs/>
                <w:color w:val="FFFFFF"/>
                <w:sz w:val="20"/>
                <w:szCs w:val="20"/>
                <w:lang w:eastAsia="es-GT"/>
              </w:rPr>
              <w:t>Organismo y Destino</w:t>
            </w:r>
          </w:p>
        </w:tc>
        <w:tc>
          <w:tcPr>
            <w:tcW w:w="2052" w:type="dxa"/>
            <w:tcBorders>
              <w:top w:val="single" w:sz="8" w:space="0" w:color="auto"/>
              <w:left w:val="nil"/>
              <w:bottom w:val="single" w:sz="8" w:space="0" w:color="auto"/>
              <w:right w:val="single" w:sz="8" w:space="0" w:color="auto"/>
            </w:tcBorders>
            <w:shd w:val="clear" w:color="000000" w:fill="333F4F"/>
            <w:vAlign w:val="center"/>
            <w:hideMark/>
          </w:tcPr>
          <w:p w14:paraId="554C0CC5" w14:textId="77777777" w:rsidR="004A66F0" w:rsidRPr="004A66F0" w:rsidRDefault="004A66F0" w:rsidP="008D7BB4">
            <w:pPr>
              <w:spacing w:line="276" w:lineRule="auto"/>
              <w:contextualSpacing/>
              <w:jc w:val="center"/>
              <w:rPr>
                <w:rFonts w:ascii="Times New Roman" w:eastAsia="Times New Roman" w:hAnsi="Times New Roman" w:cs="Times New Roman"/>
                <w:b/>
                <w:bCs/>
                <w:color w:val="FFFFFF"/>
                <w:sz w:val="20"/>
                <w:szCs w:val="20"/>
                <w:lang w:eastAsia="es-GT"/>
              </w:rPr>
            </w:pPr>
            <w:r w:rsidRPr="004A66F0">
              <w:rPr>
                <w:rFonts w:ascii="Times New Roman" w:eastAsia="Times New Roman" w:hAnsi="Times New Roman" w:cs="Times New Roman"/>
                <w:b/>
                <w:bCs/>
                <w:color w:val="FFFFFF"/>
                <w:sz w:val="20"/>
                <w:szCs w:val="20"/>
                <w:lang w:eastAsia="es-GT"/>
              </w:rPr>
              <w:t>Devengado en Millones</w:t>
            </w:r>
          </w:p>
        </w:tc>
      </w:tr>
      <w:tr w:rsidR="004A66F0" w:rsidRPr="004A66F0" w14:paraId="670DF687" w14:textId="77777777" w:rsidTr="00D21CBB">
        <w:trPr>
          <w:trHeight w:val="151"/>
          <w:jc w:val="center"/>
        </w:trPr>
        <w:tc>
          <w:tcPr>
            <w:tcW w:w="6229" w:type="dxa"/>
            <w:tcBorders>
              <w:top w:val="nil"/>
              <w:left w:val="single" w:sz="8" w:space="0" w:color="auto"/>
              <w:bottom w:val="dotted" w:sz="4" w:space="0" w:color="auto"/>
              <w:right w:val="single" w:sz="8" w:space="0" w:color="auto"/>
            </w:tcBorders>
            <w:shd w:val="clear" w:color="000000" w:fill="FFFFFF"/>
            <w:noWrap/>
            <w:vAlign w:val="center"/>
            <w:hideMark/>
          </w:tcPr>
          <w:p w14:paraId="58D28C6C" w14:textId="77777777" w:rsidR="004A66F0" w:rsidRPr="004A66F0" w:rsidRDefault="004A66F0" w:rsidP="008D7BB4">
            <w:pPr>
              <w:spacing w:line="276" w:lineRule="auto"/>
              <w:contextualSpacing/>
              <w:jc w:val="center"/>
              <w:rPr>
                <w:rFonts w:ascii="Times New Roman" w:eastAsia="Times New Roman" w:hAnsi="Times New Roman" w:cs="Times New Roman"/>
                <w:b/>
                <w:bCs/>
                <w:color w:val="000000"/>
                <w:sz w:val="20"/>
                <w:szCs w:val="20"/>
                <w:lang w:eastAsia="es-GT"/>
              </w:rPr>
            </w:pPr>
            <w:r w:rsidRPr="004A66F0">
              <w:rPr>
                <w:rFonts w:ascii="Times New Roman" w:eastAsia="Times New Roman" w:hAnsi="Times New Roman" w:cs="Times New Roman"/>
                <w:b/>
                <w:bCs/>
                <w:color w:val="000000"/>
                <w:sz w:val="20"/>
                <w:szCs w:val="20"/>
                <w:lang w:eastAsia="es-GT"/>
              </w:rPr>
              <w:t>TOTAL</w:t>
            </w:r>
          </w:p>
        </w:tc>
        <w:tc>
          <w:tcPr>
            <w:tcW w:w="2052" w:type="dxa"/>
            <w:tcBorders>
              <w:top w:val="nil"/>
              <w:left w:val="nil"/>
              <w:bottom w:val="dotted" w:sz="4" w:space="0" w:color="auto"/>
              <w:right w:val="single" w:sz="8" w:space="0" w:color="auto"/>
            </w:tcBorders>
            <w:shd w:val="clear" w:color="000000" w:fill="FFFFFF"/>
            <w:noWrap/>
            <w:vAlign w:val="center"/>
            <w:hideMark/>
          </w:tcPr>
          <w:p w14:paraId="2061E7FF" w14:textId="77777777" w:rsidR="004A66F0" w:rsidRPr="004A66F0" w:rsidRDefault="004A66F0" w:rsidP="008D7BB4">
            <w:pPr>
              <w:spacing w:line="276" w:lineRule="auto"/>
              <w:contextualSpacing/>
              <w:jc w:val="center"/>
              <w:rPr>
                <w:rFonts w:ascii="Times New Roman" w:eastAsia="Times New Roman" w:hAnsi="Times New Roman" w:cs="Times New Roman"/>
                <w:b/>
                <w:bCs/>
                <w:color w:val="000000"/>
                <w:sz w:val="20"/>
                <w:szCs w:val="20"/>
                <w:lang w:eastAsia="es-GT"/>
              </w:rPr>
            </w:pPr>
            <w:r w:rsidRPr="004A66F0">
              <w:rPr>
                <w:rFonts w:ascii="Times New Roman" w:eastAsia="Times New Roman" w:hAnsi="Times New Roman" w:cs="Times New Roman"/>
                <w:b/>
                <w:bCs/>
                <w:color w:val="000000"/>
                <w:sz w:val="20"/>
                <w:szCs w:val="20"/>
                <w:lang w:eastAsia="es-GT"/>
              </w:rPr>
              <w:t>4,591.3</w:t>
            </w:r>
          </w:p>
        </w:tc>
      </w:tr>
      <w:tr w:rsidR="004A66F0" w:rsidRPr="004A66F0" w14:paraId="69CBC799" w14:textId="77777777" w:rsidTr="00D21CBB">
        <w:trPr>
          <w:trHeight w:val="151"/>
          <w:jc w:val="center"/>
        </w:trPr>
        <w:tc>
          <w:tcPr>
            <w:tcW w:w="6229" w:type="dxa"/>
            <w:tcBorders>
              <w:top w:val="nil"/>
              <w:left w:val="single" w:sz="8" w:space="0" w:color="auto"/>
              <w:bottom w:val="dotted" w:sz="4" w:space="0" w:color="auto"/>
              <w:right w:val="single" w:sz="8" w:space="0" w:color="auto"/>
            </w:tcBorders>
            <w:shd w:val="clear" w:color="auto" w:fill="DBDBDB" w:themeFill="accent3" w:themeFillTint="66"/>
            <w:noWrap/>
            <w:vAlign w:val="center"/>
            <w:hideMark/>
          </w:tcPr>
          <w:p w14:paraId="1DB79188" w14:textId="77777777" w:rsidR="004A66F0" w:rsidRPr="004A66F0" w:rsidRDefault="004A66F0" w:rsidP="008D7BB4">
            <w:pPr>
              <w:spacing w:line="276" w:lineRule="auto"/>
              <w:contextualSpacing/>
              <w:rPr>
                <w:rFonts w:ascii="Times New Roman" w:eastAsia="Times New Roman" w:hAnsi="Times New Roman" w:cs="Times New Roman"/>
                <w:b/>
                <w:bCs/>
                <w:color w:val="000000"/>
                <w:sz w:val="20"/>
                <w:szCs w:val="20"/>
                <w:lang w:eastAsia="es-GT"/>
              </w:rPr>
            </w:pPr>
            <w:r w:rsidRPr="004A66F0">
              <w:rPr>
                <w:rFonts w:ascii="Times New Roman" w:eastAsia="Times New Roman" w:hAnsi="Times New Roman" w:cs="Times New Roman"/>
                <w:b/>
                <w:bCs/>
                <w:color w:val="000000"/>
                <w:sz w:val="20"/>
                <w:szCs w:val="20"/>
                <w:lang w:eastAsia="es-GT"/>
              </w:rPr>
              <w:t>Banco Centroamericano de Integración Económica (BCIE)</w:t>
            </w:r>
          </w:p>
        </w:tc>
        <w:tc>
          <w:tcPr>
            <w:tcW w:w="2052" w:type="dxa"/>
            <w:tcBorders>
              <w:top w:val="nil"/>
              <w:left w:val="nil"/>
              <w:bottom w:val="dotted" w:sz="4" w:space="0" w:color="auto"/>
              <w:right w:val="single" w:sz="8" w:space="0" w:color="auto"/>
            </w:tcBorders>
            <w:shd w:val="clear" w:color="auto" w:fill="DBDBDB" w:themeFill="accent3" w:themeFillTint="66"/>
            <w:noWrap/>
            <w:vAlign w:val="center"/>
            <w:hideMark/>
          </w:tcPr>
          <w:p w14:paraId="2656C4E2" w14:textId="77777777" w:rsidR="004A66F0" w:rsidRPr="004A66F0" w:rsidRDefault="004A66F0" w:rsidP="008D7BB4">
            <w:pPr>
              <w:spacing w:line="276" w:lineRule="auto"/>
              <w:contextualSpacing/>
              <w:jc w:val="center"/>
              <w:rPr>
                <w:rFonts w:ascii="Times New Roman" w:eastAsia="Times New Roman" w:hAnsi="Times New Roman" w:cs="Times New Roman"/>
                <w:b/>
                <w:bCs/>
                <w:color w:val="000000"/>
                <w:sz w:val="20"/>
                <w:szCs w:val="20"/>
                <w:lang w:eastAsia="es-GT"/>
              </w:rPr>
            </w:pPr>
            <w:r w:rsidRPr="004A66F0">
              <w:rPr>
                <w:rFonts w:ascii="Times New Roman" w:eastAsia="Times New Roman" w:hAnsi="Times New Roman" w:cs="Times New Roman"/>
                <w:b/>
                <w:bCs/>
                <w:color w:val="000000"/>
                <w:sz w:val="20"/>
                <w:szCs w:val="20"/>
                <w:lang w:eastAsia="es-GT"/>
              </w:rPr>
              <w:t>20.5</w:t>
            </w:r>
          </w:p>
        </w:tc>
      </w:tr>
      <w:tr w:rsidR="004A66F0" w:rsidRPr="004A66F0" w14:paraId="3B8C2CF7" w14:textId="77777777" w:rsidTr="00D21CBB">
        <w:trPr>
          <w:trHeight w:val="302"/>
          <w:jc w:val="center"/>
        </w:trPr>
        <w:tc>
          <w:tcPr>
            <w:tcW w:w="6229" w:type="dxa"/>
            <w:tcBorders>
              <w:top w:val="nil"/>
              <w:left w:val="single" w:sz="8" w:space="0" w:color="auto"/>
              <w:bottom w:val="dotted" w:sz="4" w:space="0" w:color="auto"/>
              <w:right w:val="single" w:sz="8" w:space="0" w:color="auto"/>
            </w:tcBorders>
            <w:shd w:val="clear" w:color="000000" w:fill="FFFFFF"/>
            <w:vAlign w:val="center"/>
            <w:hideMark/>
          </w:tcPr>
          <w:p w14:paraId="49B52CF2" w14:textId="77777777" w:rsidR="004A66F0" w:rsidRPr="004A66F0" w:rsidRDefault="004A66F0" w:rsidP="008D7BB4">
            <w:pPr>
              <w:spacing w:line="276" w:lineRule="auto"/>
              <w:contextualSpacing/>
              <w:rPr>
                <w:rFonts w:ascii="Times New Roman" w:eastAsia="Times New Roman" w:hAnsi="Times New Roman" w:cs="Times New Roman"/>
                <w:color w:val="000000"/>
                <w:sz w:val="20"/>
                <w:szCs w:val="20"/>
                <w:lang w:eastAsia="es-GT"/>
              </w:rPr>
            </w:pPr>
            <w:r w:rsidRPr="004A66F0">
              <w:rPr>
                <w:rFonts w:ascii="Times New Roman" w:eastAsia="Times New Roman" w:hAnsi="Times New Roman" w:cs="Times New Roman"/>
                <w:color w:val="000000"/>
                <w:sz w:val="20"/>
                <w:szCs w:val="20"/>
                <w:lang w:eastAsia="es-GT"/>
              </w:rPr>
              <w:t>Programa de inversión y modernización para el sector justicia</w:t>
            </w:r>
          </w:p>
        </w:tc>
        <w:tc>
          <w:tcPr>
            <w:tcW w:w="2052" w:type="dxa"/>
            <w:tcBorders>
              <w:top w:val="nil"/>
              <w:left w:val="nil"/>
              <w:bottom w:val="dotted" w:sz="4" w:space="0" w:color="auto"/>
              <w:right w:val="single" w:sz="8" w:space="0" w:color="auto"/>
            </w:tcBorders>
            <w:shd w:val="clear" w:color="000000" w:fill="FFFFFF"/>
            <w:noWrap/>
            <w:vAlign w:val="center"/>
            <w:hideMark/>
          </w:tcPr>
          <w:p w14:paraId="468A1D20" w14:textId="77777777" w:rsidR="004A66F0" w:rsidRPr="004A66F0" w:rsidRDefault="004A66F0" w:rsidP="008D7BB4">
            <w:pPr>
              <w:spacing w:line="276" w:lineRule="auto"/>
              <w:contextualSpacing/>
              <w:jc w:val="center"/>
              <w:rPr>
                <w:rFonts w:ascii="Times New Roman" w:eastAsia="Times New Roman" w:hAnsi="Times New Roman" w:cs="Times New Roman"/>
                <w:color w:val="000000"/>
                <w:sz w:val="20"/>
                <w:szCs w:val="20"/>
                <w:lang w:eastAsia="es-GT"/>
              </w:rPr>
            </w:pPr>
            <w:r w:rsidRPr="004A66F0">
              <w:rPr>
                <w:rFonts w:ascii="Times New Roman" w:eastAsia="Times New Roman" w:hAnsi="Times New Roman" w:cs="Times New Roman"/>
                <w:color w:val="000000"/>
                <w:sz w:val="20"/>
                <w:szCs w:val="20"/>
                <w:lang w:eastAsia="es-GT"/>
              </w:rPr>
              <w:t>10.8</w:t>
            </w:r>
          </w:p>
        </w:tc>
      </w:tr>
      <w:tr w:rsidR="004A66F0" w:rsidRPr="004A66F0" w14:paraId="2255D7DF" w14:textId="77777777" w:rsidTr="00D21CBB">
        <w:trPr>
          <w:trHeight w:val="231"/>
          <w:jc w:val="center"/>
        </w:trPr>
        <w:tc>
          <w:tcPr>
            <w:tcW w:w="6229" w:type="dxa"/>
            <w:tcBorders>
              <w:top w:val="nil"/>
              <w:left w:val="single" w:sz="8" w:space="0" w:color="auto"/>
              <w:bottom w:val="dotted" w:sz="4" w:space="0" w:color="auto"/>
              <w:right w:val="single" w:sz="8" w:space="0" w:color="auto"/>
            </w:tcBorders>
            <w:shd w:val="clear" w:color="000000" w:fill="FFFFFF"/>
            <w:vAlign w:val="center"/>
            <w:hideMark/>
          </w:tcPr>
          <w:p w14:paraId="0BA5DF7E" w14:textId="77777777" w:rsidR="004A66F0" w:rsidRPr="004A66F0" w:rsidRDefault="004A66F0" w:rsidP="008D7BB4">
            <w:pPr>
              <w:spacing w:line="276" w:lineRule="auto"/>
              <w:contextualSpacing/>
              <w:rPr>
                <w:rFonts w:ascii="Times New Roman" w:eastAsia="Times New Roman" w:hAnsi="Times New Roman" w:cs="Times New Roman"/>
                <w:color w:val="000000"/>
                <w:sz w:val="20"/>
                <w:szCs w:val="20"/>
                <w:lang w:eastAsia="es-GT"/>
              </w:rPr>
            </w:pPr>
            <w:r w:rsidRPr="004A66F0">
              <w:rPr>
                <w:rFonts w:ascii="Times New Roman" w:eastAsia="Times New Roman" w:hAnsi="Times New Roman" w:cs="Times New Roman"/>
                <w:color w:val="000000"/>
                <w:sz w:val="20"/>
                <w:szCs w:val="20"/>
                <w:lang w:eastAsia="es-GT"/>
              </w:rPr>
              <w:t xml:space="preserve">Proyecto Vial Franja Transversal del Norte </w:t>
            </w:r>
          </w:p>
        </w:tc>
        <w:tc>
          <w:tcPr>
            <w:tcW w:w="2052" w:type="dxa"/>
            <w:tcBorders>
              <w:top w:val="nil"/>
              <w:left w:val="nil"/>
              <w:bottom w:val="dotted" w:sz="4" w:space="0" w:color="auto"/>
              <w:right w:val="single" w:sz="8" w:space="0" w:color="auto"/>
            </w:tcBorders>
            <w:shd w:val="clear" w:color="000000" w:fill="FFFFFF"/>
            <w:noWrap/>
            <w:vAlign w:val="center"/>
            <w:hideMark/>
          </w:tcPr>
          <w:p w14:paraId="757B9D7E" w14:textId="77777777" w:rsidR="004A66F0" w:rsidRPr="004A66F0" w:rsidRDefault="004A66F0" w:rsidP="008D7BB4">
            <w:pPr>
              <w:spacing w:line="276" w:lineRule="auto"/>
              <w:contextualSpacing/>
              <w:jc w:val="center"/>
              <w:rPr>
                <w:rFonts w:ascii="Times New Roman" w:eastAsia="Times New Roman" w:hAnsi="Times New Roman" w:cs="Times New Roman"/>
                <w:color w:val="000000"/>
                <w:sz w:val="20"/>
                <w:szCs w:val="20"/>
                <w:lang w:eastAsia="es-GT"/>
              </w:rPr>
            </w:pPr>
            <w:r w:rsidRPr="004A66F0">
              <w:rPr>
                <w:rFonts w:ascii="Times New Roman" w:eastAsia="Times New Roman" w:hAnsi="Times New Roman" w:cs="Times New Roman"/>
                <w:color w:val="000000"/>
                <w:sz w:val="20"/>
                <w:szCs w:val="20"/>
                <w:lang w:eastAsia="es-GT"/>
              </w:rPr>
              <w:t>9.8</w:t>
            </w:r>
          </w:p>
        </w:tc>
      </w:tr>
      <w:tr w:rsidR="004A66F0" w:rsidRPr="004A66F0" w14:paraId="3C783EC7" w14:textId="77777777" w:rsidTr="00D21CBB">
        <w:trPr>
          <w:trHeight w:val="151"/>
          <w:jc w:val="center"/>
        </w:trPr>
        <w:tc>
          <w:tcPr>
            <w:tcW w:w="6229" w:type="dxa"/>
            <w:tcBorders>
              <w:top w:val="nil"/>
              <w:left w:val="single" w:sz="8" w:space="0" w:color="auto"/>
              <w:bottom w:val="dotted" w:sz="4" w:space="0" w:color="auto"/>
              <w:right w:val="single" w:sz="8" w:space="0" w:color="auto"/>
            </w:tcBorders>
            <w:shd w:val="clear" w:color="auto" w:fill="DBDBDB" w:themeFill="accent3" w:themeFillTint="66"/>
            <w:noWrap/>
            <w:vAlign w:val="center"/>
            <w:hideMark/>
          </w:tcPr>
          <w:p w14:paraId="52474B78" w14:textId="77777777" w:rsidR="004A66F0" w:rsidRPr="004A66F0" w:rsidRDefault="004A66F0" w:rsidP="008D7BB4">
            <w:pPr>
              <w:spacing w:line="276" w:lineRule="auto"/>
              <w:contextualSpacing/>
              <w:rPr>
                <w:rFonts w:ascii="Times New Roman" w:eastAsia="Times New Roman" w:hAnsi="Times New Roman" w:cs="Times New Roman"/>
                <w:b/>
                <w:bCs/>
                <w:color w:val="000000"/>
                <w:sz w:val="20"/>
                <w:szCs w:val="20"/>
                <w:lang w:eastAsia="es-GT"/>
              </w:rPr>
            </w:pPr>
            <w:r w:rsidRPr="004A66F0">
              <w:rPr>
                <w:rFonts w:ascii="Times New Roman" w:eastAsia="Times New Roman" w:hAnsi="Times New Roman" w:cs="Times New Roman"/>
                <w:b/>
                <w:bCs/>
                <w:color w:val="000000"/>
                <w:sz w:val="20"/>
                <w:szCs w:val="20"/>
                <w:lang w:eastAsia="es-GT"/>
              </w:rPr>
              <w:t>Banco Interamericano de Desarrollo (BID)</w:t>
            </w:r>
          </w:p>
        </w:tc>
        <w:tc>
          <w:tcPr>
            <w:tcW w:w="2052" w:type="dxa"/>
            <w:tcBorders>
              <w:top w:val="nil"/>
              <w:left w:val="nil"/>
              <w:bottom w:val="dotted" w:sz="4" w:space="0" w:color="auto"/>
              <w:right w:val="single" w:sz="8" w:space="0" w:color="auto"/>
            </w:tcBorders>
            <w:shd w:val="clear" w:color="auto" w:fill="DBDBDB" w:themeFill="accent3" w:themeFillTint="66"/>
            <w:noWrap/>
            <w:vAlign w:val="center"/>
            <w:hideMark/>
          </w:tcPr>
          <w:p w14:paraId="1427230C" w14:textId="77777777" w:rsidR="004A66F0" w:rsidRPr="004A66F0" w:rsidRDefault="004A66F0" w:rsidP="008D7BB4">
            <w:pPr>
              <w:spacing w:line="276" w:lineRule="auto"/>
              <w:contextualSpacing/>
              <w:jc w:val="center"/>
              <w:rPr>
                <w:rFonts w:ascii="Times New Roman" w:eastAsia="Times New Roman" w:hAnsi="Times New Roman" w:cs="Times New Roman"/>
                <w:b/>
                <w:bCs/>
                <w:color w:val="000000"/>
                <w:sz w:val="20"/>
                <w:szCs w:val="20"/>
                <w:lang w:eastAsia="es-GT"/>
              </w:rPr>
            </w:pPr>
            <w:r w:rsidRPr="004A66F0">
              <w:rPr>
                <w:rFonts w:ascii="Times New Roman" w:eastAsia="Times New Roman" w:hAnsi="Times New Roman" w:cs="Times New Roman"/>
                <w:b/>
                <w:bCs/>
                <w:color w:val="000000"/>
                <w:sz w:val="20"/>
                <w:szCs w:val="20"/>
                <w:lang w:eastAsia="es-GT"/>
              </w:rPr>
              <w:t>613.4</w:t>
            </w:r>
          </w:p>
        </w:tc>
      </w:tr>
      <w:tr w:rsidR="004A66F0" w:rsidRPr="004A66F0" w14:paraId="0758B35A" w14:textId="77777777" w:rsidTr="00D21CBB">
        <w:trPr>
          <w:trHeight w:val="302"/>
          <w:jc w:val="center"/>
        </w:trPr>
        <w:tc>
          <w:tcPr>
            <w:tcW w:w="6229" w:type="dxa"/>
            <w:tcBorders>
              <w:top w:val="nil"/>
              <w:left w:val="single" w:sz="8" w:space="0" w:color="auto"/>
              <w:bottom w:val="dotted" w:sz="4" w:space="0" w:color="auto"/>
              <w:right w:val="single" w:sz="8" w:space="0" w:color="auto"/>
            </w:tcBorders>
            <w:shd w:val="clear" w:color="000000" w:fill="FFFFFF"/>
            <w:vAlign w:val="center"/>
            <w:hideMark/>
          </w:tcPr>
          <w:p w14:paraId="6C0D33B4" w14:textId="77777777" w:rsidR="004A66F0" w:rsidRPr="004A66F0" w:rsidRDefault="004A66F0" w:rsidP="008D7BB4">
            <w:pPr>
              <w:spacing w:line="276" w:lineRule="auto"/>
              <w:contextualSpacing/>
              <w:rPr>
                <w:rFonts w:ascii="Times New Roman" w:eastAsia="Times New Roman" w:hAnsi="Times New Roman" w:cs="Times New Roman"/>
                <w:color w:val="000000"/>
                <w:sz w:val="20"/>
                <w:szCs w:val="20"/>
                <w:lang w:eastAsia="es-GT"/>
              </w:rPr>
            </w:pPr>
            <w:r w:rsidRPr="004A66F0">
              <w:rPr>
                <w:rFonts w:ascii="Times New Roman" w:eastAsia="Times New Roman" w:hAnsi="Times New Roman" w:cs="Times New Roman"/>
                <w:color w:val="000000"/>
                <w:sz w:val="20"/>
                <w:szCs w:val="20"/>
                <w:lang w:eastAsia="es-GT"/>
              </w:rPr>
              <w:t>Programa de agua potable y saneamiento para el desarrollo humano (fase I)</w:t>
            </w:r>
          </w:p>
        </w:tc>
        <w:tc>
          <w:tcPr>
            <w:tcW w:w="2052" w:type="dxa"/>
            <w:tcBorders>
              <w:top w:val="nil"/>
              <w:left w:val="nil"/>
              <w:bottom w:val="dotted" w:sz="4" w:space="0" w:color="auto"/>
              <w:right w:val="single" w:sz="8" w:space="0" w:color="auto"/>
            </w:tcBorders>
            <w:noWrap/>
            <w:vAlign w:val="center"/>
            <w:hideMark/>
          </w:tcPr>
          <w:p w14:paraId="5185714F" w14:textId="77777777" w:rsidR="004A66F0" w:rsidRPr="004A66F0" w:rsidRDefault="004A66F0" w:rsidP="008D7BB4">
            <w:pPr>
              <w:spacing w:line="276" w:lineRule="auto"/>
              <w:contextualSpacing/>
              <w:jc w:val="center"/>
              <w:rPr>
                <w:rFonts w:ascii="Times New Roman" w:eastAsia="Times New Roman" w:hAnsi="Times New Roman" w:cs="Times New Roman"/>
                <w:color w:val="000000"/>
                <w:sz w:val="20"/>
                <w:szCs w:val="20"/>
                <w:lang w:eastAsia="es-GT"/>
              </w:rPr>
            </w:pPr>
            <w:r w:rsidRPr="004A66F0">
              <w:rPr>
                <w:rFonts w:ascii="Times New Roman" w:eastAsia="Times New Roman" w:hAnsi="Times New Roman" w:cs="Times New Roman"/>
                <w:color w:val="000000"/>
                <w:sz w:val="20"/>
                <w:szCs w:val="20"/>
                <w:lang w:eastAsia="es-GT"/>
              </w:rPr>
              <w:t>47.9</w:t>
            </w:r>
          </w:p>
        </w:tc>
      </w:tr>
      <w:tr w:rsidR="004A66F0" w:rsidRPr="004A66F0" w14:paraId="3F3023CB" w14:textId="77777777" w:rsidTr="00D21CBB">
        <w:trPr>
          <w:trHeight w:val="151"/>
          <w:jc w:val="center"/>
        </w:trPr>
        <w:tc>
          <w:tcPr>
            <w:tcW w:w="6229" w:type="dxa"/>
            <w:tcBorders>
              <w:top w:val="nil"/>
              <w:left w:val="single" w:sz="8" w:space="0" w:color="auto"/>
              <w:bottom w:val="dotted" w:sz="4" w:space="0" w:color="auto"/>
              <w:right w:val="single" w:sz="8" w:space="0" w:color="auto"/>
            </w:tcBorders>
            <w:shd w:val="clear" w:color="000000" w:fill="FFFFFF"/>
            <w:vAlign w:val="center"/>
            <w:hideMark/>
          </w:tcPr>
          <w:p w14:paraId="70E53A64" w14:textId="77777777" w:rsidR="004A66F0" w:rsidRPr="004A66F0" w:rsidRDefault="004A66F0" w:rsidP="008D7BB4">
            <w:pPr>
              <w:spacing w:line="276" w:lineRule="auto"/>
              <w:contextualSpacing/>
              <w:rPr>
                <w:rFonts w:ascii="Times New Roman" w:eastAsia="Times New Roman" w:hAnsi="Times New Roman" w:cs="Times New Roman"/>
                <w:color w:val="000000"/>
                <w:sz w:val="20"/>
                <w:szCs w:val="20"/>
                <w:lang w:eastAsia="es-GT"/>
              </w:rPr>
            </w:pPr>
            <w:r w:rsidRPr="004A66F0">
              <w:rPr>
                <w:rFonts w:ascii="Times New Roman" w:eastAsia="Times New Roman" w:hAnsi="Times New Roman" w:cs="Times New Roman"/>
                <w:color w:val="000000"/>
                <w:sz w:val="20"/>
                <w:szCs w:val="20"/>
                <w:lang w:eastAsia="es-GT"/>
              </w:rPr>
              <w:t xml:space="preserve">Programa de Desarrollo de la Infraestructura Vial </w:t>
            </w:r>
          </w:p>
        </w:tc>
        <w:tc>
          <w:tcPr>
            <w:tcW w:w="2052" w:type="dxa"/>
            <w:tcBorders>
              <w:top w:val="nil"/>
              <w:left w:val="nil"/>
              <w:bottom w:val="dotted" w:sz="4" w:space="0" w:color="auto"/>
              <w:right w:val="single" w:sz="8" w:space="0" w:color="auto"/>
            </w:tcBorders>
            <w:noWrap/>
            <w:vAlign w:val="center"/>
            <w:hideMark/>
          </w:tcPr>
          <w:p w14:paraId="24FDFF19" w14:textId="77777777" w:rsidR="004A66F0" w:rsidRPr="004A66F0" w:rsidRDefault="004A66F0" w:rsidP="008D7BB4">
            <w:pPr>
              <w:spacing w:line="276" w:lineRule="auto"/>
              <w:contextualSpacing/>
              <w:jc w:val="center"/>
              <w:rPr>
                <w:rFonts w:ascii="Times New Roman" w:eastAsia="Times New Roman" w:hAnsi="Times New Roman" w:cs="Times New Roman"/>
                <w:color w:val="000000"/>
                <w:sz w:val="20"/>
                <w:szCs w:val="20"/>
                <w:lang w:eastAsia="es-GT"/>
              </w:rPr>
            </w:pPr>
            <w:r w:rsidRPr="004A66F0">
              <w:rPr>
                <w:rFonts w:ascii="Times New Roman" w:eastAsia="Times New Roman" w:hAnsi="Times New Roman" w:cs="Times New Roman"/>
                <w:color w:val="000000"/>
                <w:sz w:val="20"/>
                <w:szCs w:val="20"/>
                <w:lang w:eastAsia="es-GT"/>
              </w:rPr>
              <w:t>214.7</w:t>
            </w:r>
          </w:p>
        </w:tc>
      </w:tr>
      <w:tr w:rsidR="004A66F0" w:rsidRPr="004A66F0" w14:paraId="0E75E5EC" w14:textId="77777777" w:rsidTr="00D21CBB">
        <w:trPr>
          <w:trHeight w:val="302"/>
          <w:jc w:val="center"/>
        </w:trPr>
        <w:tc>
          <w:tcPr>
            <w:tcW w:w="6229" w:type="dxa"/>
            <w:tcBorders>
              <w:top w:val="nil"/>
              <w:left w:val="single" w:sz="8" w:space="0" w:color="auto"/>
              <w:bottom w:val="dotted" w:sz="4" w:space="0" w:color="auto"/>
              <w:right w:val="single" w:sz="8" w:space="0" w:color="auto"/>
            </w:tcBorders>
            <w:shd w:val="clear" w:color="000000" w:fill="FFFFFF"/>
            <w:vAlign w:val="center"/>
            <w:hideMark/>
          </w:tcPr>
          <w:p w14:paraId="34DA080D" w14:textId="77777777" w:rsidR="004A66F0" w:rsidRPr="004A66F0" w:rsidRDefault="004A66F0" w:rsidP="008D7BB4">
            <w:pPr>
              <w:spacing w:line="276" w:lineRule="auto"/>
              <w:contextualSpacing/>
              <w:rPr>
                <w:rFonts w:ascii="Times New Roman" w:eastAsia="Times New Roman" w:hAnsi="Times New Roman" w:cs="Times New Roman"/>
                <w:color w:val="000000"/>
                <w:sz w:val="20"/>
                <w:szCs w:val="20"/>
                <w:lang w:eastAsia="es-GT"/>
              </w:rPr>
            </w:pPr>
            <w:r w:rsidRPr="004A66F0">
              <w:rPr>
                <w:rFonts w:ascii="Times New Roman" w:eastAsia="Times New Roman" w:hAnsi="Times New Roman" w:cs="Times New Roman"/>
                <w:color w:val="000000"/>
                <w:sz w:val="20"/>
                <w:szCs w:val="20"/>
                <w:lang w:eastAsia="es-GT"/>
              </w:rPr>
              <w:t>Programa de Fortalecimiento de la Red Institucional de Servicios de Salud (PRORISS)</w:t>
            </w:r>
          </w:p>
        </w:tc>
        <w:tc>
          <w:tcPr>
            <w:tcW w:w="2052" w:type="dxa"/>
            <w:tcBorders>
              <w:top w:val="nil"/>
              <w:left w:val="nil"/>
              <w:bottom w:val="dotted" w:sz="4" w:space="0" w:color="auto"/>
              <w:right w:val="single" w:sz="8" w:space="0" w:color="auto"/>
            </w:tcBorders>
            <w:noWrap/>
            <w:vAlign w:val="center"/>
            <w:hideMark/>
          </w:tcPr>
          <w:p w14:paraId="2B73A461" w14:textId="77777777" w:rsidR="004A66F0" w:rsidRPr="004A66F0" w:rsidRDefault="004A66F0" w:rsidP="008D7BB4">
            <w:pPr>
              <w:spacing w:line="276" w:lineRule="auto"/>
              <w:contextualSpacing/>
              <w:jc w:val="center"/>
              <w:rPr>
                <w:rFonts w:ascii="Times New Roman" w:eastAsia="Times New Roman" w:hAnsi="Times New Roman" w:cs="Times New Roman"/>
                <w:color w:val="000000"/>
                <w:sz w:val="20"/>
                <w:szCs w:val="20"/>
                <w:lang w:eastAsia="es-GT"/>
              </w:rPr>
            </w:pPr>
            <w:r w:rsidRPr="004A66F0">
              <w:rPr>
                <w:rFonts w:ascii="Times New Roman" w:eastAsia="Times New Roman" w:hAnsi="Times New Roman" w:cs="Times New Roman"/>
                <w:color w:val="000000"/>
                <w:sz w:val="20"/>
                <w:szCs w:val="20"/>
                <w:lang w:eastAsia="es-GT"/>
              </w:rPr>
              <w:t>31.8</w:t>
            </w:r>
          </w:p>
        </w:tc>
      </w:tr>
      <w:tr w:rsidR="004A66F0" w:rsidRPr="004A66F0" w14:paraId="69BAF08E" w14:textId="77777777" w:rsidTr="00D21CBB">
        <w:trPr>
          <w:trHeight w:val="302"/>
          <w:jc w:val="center"/>
        </w:trPr>
        <w:tc>
          <w:tcPr>
            <w:tcW w:w="6229" w:type="dxa"/>
            <w:tcBorders>
              <w:top w:val="nil"/>
              <w:left w:val="single" w:sz="8" w:space="0" w:color="auto"/>
              <w:bottom w:val="dotted" w:sz="4" w:space="0" w:color="auto"/>
              <w:right w:val="single" w:sz="8" w:space="0" w:color="auto"/>
            </w:tcBorders>
            <w:shd w:val="clear" w:color="000000" w:fill="FFFFFF"/>
            <w:vAlign w:val="center"/>
            <w:hideMark/>
          </w:tcPr>
          <w:p w14:paraId="5C02498D" w14:textId="77777777" w:rsidR="004A66F0" w:rsidRPr="004A66F0" w:rsidRDefault="004A66F0" w:rsidP="008D7BB4">
            <w:pPr>
              <w:spacing w:line="276" w:lineRule="auto"/>
              <w:contextualSpacing/>
              <w:rPr>
                <w:rFonts w:ascii="Times New Roman" w:eastAsia="Times New Roman" w:hAnsi="Times New Roman" w:cs="Times New Roman"/>
                <w:color w:val="000000"/>
                <w:sz w:val="20"/>
                <w:szCs w:val="20"/>
                <w:lang w:eastAsia="es-GT"/>
              </w:rPr>
            </w:pPr>
            <w:r w:rsidRPr="004A66F0">
              <w:rPr>
                <w:rFonts w:ascii="Times New Roman" w:eastAsia="Times New Roman" w:hAnsi="Times New Roman" w:cs="Times New Roman"/>
                <w:color w:val="000000"/>
                <w:sz w:val="20"/>
                <w:szCs w:val="20"/>
                <w:lang w:eastAsia="es-GT"/>
              </w:rPr>
              <w:t xml:space="preserve">Programa de Fortalecimiento y Modernización del Ministerio Público </w:t>
            </w:r>
          </w:p>
        </w:tc>
        <w:tc>
          <w:tcPr>
            <w:tcW w:w="2052" w:type="dxa"/>
            <w:tcBorders>
              <w:top w:val="nil"/>
              <w:left w:val="nil"/>
              <w:bottom w:val="dotted" w:sz="4" w:space="0" w:color="auto"/>
              <w:right w:val="single" w:sz="8" w:space="0" w:color="auto"/>
            </w:tcBorders>
            <w:noWrap/>
            <w:vAlign w:val="center"/>
            <w:hideMark/>
          </w:tcPr>
          <w:p w14:paraId="5ECC969D" w14:textId="77777777" w:rsidR="004A66F0" w:rsidRPr="004A66F0" w:rsidRDefault="004A66F0" w:rsidP="008D7BB4">
            <w:pPr>
              <w:spacing w:line="276" w:lineRule="auto"/>
              <w:contextualSpacing/>
              <w:jc w:val="center"/>
              <w:rPr>
                <w:rFonts w:ascii="Times New Roman" w:eastAsia="Times New Roman" w:hAnsi="Times New Roman" w:cs="Times New Roman"/>
                <w:color w:val="000000"/>
                <w:sz w:val="20"/>
                <w:szCs w:val="20"/>
                <w:lang w:eastAsia="es-GT"/>
              </w:rPr>
            </w:pPr>
            <w:r w:rsidRPr="004A66F0">
              <w:rPr>
                <w:rFonts w:ascii="Times New Roman" w:eastAsia="Times New Roman" w:hAnsi="Times New Roman" w:cs="Times New Roman"/>
                <w:color w:val="000000"/>
                <w:sz w:val="20"/>
                <w:szCs w:val="20"/>
                <w:lang w:eastAsia="es-GT"/>
              </w:rPr>
              <w:t>39.8</w:t>
            </w:r>
          </w:p>
        </w:tc>
      </w:tr>
      <w:tr w:rsidR="004A66F0" w:rsidRPr="004A66F0" w14:paraId="21EC85D5" w14:textId="77777777" w:rsidTr="00D21CBB">
        <w:trPr>
          <w:trHeight w:val="302"/>
          <w:jc w:val="center"/>
        </w:trPr>
        <w:tc>
          <w:tcPr>
            <w:tcW w:w="6229" w:type="dxa"/>
            <w:tcBorders>
              <w:top w:val="nil"/>
              <w:left w:val="single" w:sz="8" w:space="0" w:color="auto"/>
              <w:bottom w:val="dotted" w:sz="4" w:space="0" w:color="auto"/>
              <w:right w:val="single" w:sz="8" w:space="0" w:color="auto"/>
            </w:tcBorders>
            <w:shd w:val="clear" w:color="000000" w:fill="FFFFFF"/>
            <w:vAlign w:val="center"/>
            <w:hideMark/>
          </w:tcPr>
          <w:p w14:paraId="43AB6A87" w14:textId="77777777" w:rsidR="004A66F0" w:rsidRPr="004A66F0" w:rsidRDefault="004A66F0" w:rsidP="008D7BB4">
            <w:pPr>
              <w:spacing w:line="276" w:lineRule="auto"/>
              <w:contextualSpacing/>
              <w:rPr>
                <w:rFonts w:ascii="Times New Roman" w:eastAsia="Times New Roman" w:hAnsi="Times New Roman" w:cs="Times New Roman"/>
                <w:color w:val="000000"/>
                <w:sz w:val="20"/>
                <w:szCs w:val="20"/>
                <w:lang w:eastAsia="es-GT"/>
              </w:rPr>
            </w:pPr>
            <w:r w:rsidRPr="004A66F0">
              <w:rPr>
                <w:rFonts w:ascii="Times New Roman" w:eastAsia="Times New Roman" w:hAnsi="Times New Roman" w:cs="Times New Roman"/>
                <w:color w:val="000000"/>
                <w:sz w:val="20"/>
                <w:szCs w:val="20"/>
                <w:lang w:eastAsia="es-GT"/>
              </w:rPr>
              <w:t xml:space="preserve">Programa para el mejoramiento de la cobertura y calidad educativa </w:t>
            </w:r>
          </w:p>
        </w:tc>
        <w:tc>
          <w:tcPr>
            <w:tcW w:w="2052" w:type="dxa"/>
            <w:tcBorders>
              <w:top w:val="nil"/>
              <w:left w:val="nil"/>
              <w:bottom w:val="dotted" w:sz="4" w:space="0" w:color="auto"/>
              <w:right w:val="single" w:sz="8" w:space="0" w:color="auto"/>
            </w:tcBorders>
            <w:noWrap/>
            <w:vAlign w:val="center"/>
            <w:hideMark/>
          </w:tcPr>
          <w:p w14:paraId="222288F3" w14:textId="77777777" w:rsidR="004A66F0" w:rsidRPr="004A66F0" w:rsidRDefault="004A66F0" w:rsidP="008D7BB4">
            <w:pPr>
              <w:spacing w:line="276" w:lineRule="auto"/>
              <w:contextualSpacing/>
              <w:jc w:val="center"/>
              <w:rPr>
                <w:rFonts w:ascii="Times New Roman" w:eastAsia="Times New Roman" w:hAnsi="Times New Roman" w:cs="Times New Roman"/>
                <w:color w:val="000000"/>
                <w:sz w:val="20"/>
                <w:szCs w:val="20"/>
                <w:lang w:eastAsia="es-GT"/>
              </w:rPr>
            </w:pPr>
            <w:r w:rsidRPr="004A66F0">
              <w:rPr>
                <w:rFonts w:ascii="Times New Roman" w:eastAsia="Times New Roman" w:hAnsi="Times New Roman" w:cs="Times New Roman"/>
                <w:color w:val="000000"/>
                <w:sz w:val="20"/>
                <w:szCs w:val="20"/>
                <w:lang w:eastAsia="es-GT"/>
              </w:rPr>
              <w:t>279.3</w:t>
            </w:r>
          </w:p>
        </w:tc>
      </w:tr>
      <w:tr w:rsidR="004A66F0" w:rsidRPr="004A66F0" w14:paraId="15A9F093" w14:textId="77777777" w:rsidTr="00D21CBB">
        <w:trPr>
          <w:trHeight w:val="151"/>
          <w:jc w:val="center"/>
        </w:trPr>
        <w:tc>
          <w:tcPr>
            <w:tcW w:w="6229" w:type="dxa"/>
            <w:tcBorders>
              <w:top w:val="nil"/>
              <w:left w:val="single" w:sz="8" w:space="0" w:color="auto"/>
              <w:bottom w:val="dotted" w:sz="4" w:space="0" w:color="auto"/>
              <w:right w:val="single" w:sz="8" w:space="0" w:color="auto"/>
            </w:tcBorders>
            <w:shd w:val="clear" w:color="auto" w:fill="DBDBDB" w:themeFill="accent3" w:themeFillTint="66"/>
            <w:noWrap/>
            <w:vAlign w:val="center"/>
            <w:hideMark/>
          </w:tcPr>
          <w:p w14:paraId="09D6EEA9" w14:textId="77777777" w:rsidR="004A66F0" w:rsidRPr="004A66F0" w:rsidRDefault="004A66F0" w:rsidP="008D7BB4">
            <w:pPr>
              <w:spacing w:line="276" w:lineRule="auto"/>
              <w:contextualSpacing/>
              <w:rPr>
                <w:rFonts w:ascii="Times New Roman" w:eastAsia="Times New Roman" w:hAnsi="Times New Roman" w:cs="Times New Roman"/>
                <w:b/>
                <w:bCs/>
                <w:color w:val="000000"/>
                <w:sz w:val="20"/>
                <w:szCs w:val="20"/>
                <w:lang w:eastAsia="es-GT"/>
              </w:rPr>
            </w:pPr>
            <w:r w:rsidRPr="004A66F0">
              <w:rPr>
                <w:rFonts w:ascii="Times New Roman" w:eastAsia="Times New Roman" w:hAnsi="Times New Roman" w:cs="Times New Roman"/>
                <w:b/>
                <w:bCs/>
                <w:color w:val="000000"/>
                <w:sz w:val="20"/>
                <w:szCs w:val="20"/>
                <w:lang w:eastAsia="es-GT"/>
              </w:rPr>
              <w:t>Banco Internacional de Reconstrucción y Fomento (BIRF)</w:t>
            </w:r>
          </w:p>
        </w:tc>
        <w:tc>
          <w:tcPr>
            <w:tcW w:w="2052" w:type="dxa"/>
            <w:tcBorders>
              <w:top w:val="nil"/>
              <w:left w:val="nil"/>
              <w:bottom w:val="dotted" w:sz="4" w:space="0" w:color="auto"/>
              <w:right w:val="single" w:sz="8" w:space="0" w:color="auto"/>
            </w:tcBorders>
            <w:shd w:val="clear" w:color="auto" w:fill="DBDBDB" w:themeFill="accent3" w:themeFillTint="66"/>
            <w:noWrap/>
            <w:vAlign w:val="center"/>
            <w:hideMark/>
          </w:tcPr>
          <w:p w14:paraId="158E784D" w14:textId="77777777" w:rsidR="004A66F0" w:rsidRPr="004A66F0" w:rsidRDefault="004A66F0" w:rsidP="008D7BB4">
            <w:pPr>
              <w:spacing w:line="276" w:lineRule="auto"/>
              <w:contextualSpacing/>
              <w:jc w:val="center"/>
              <w:rPr>
                <w:rFonts w:ascii="Times New Roman" w:eastAsia="Times New Roman" w:hAnsi="Times New Roman" w:cs="Times New Roman"/>
                <w:b/>
                <w:bCs/>
                <w:color w:val="000000"/>
                <w:sz w:val="20"/>
                <w:szCs w:val="20"/>
                <w:lang w:eastAsia="es-GT"/>
              </w:rPr>
            </w:pPr>
            <w:r w:rsidRPr="004A66F0">
              <w:rPr>
                <w:rFonts w:ascii="Times New Roman" w:eastAsia="Times New Roman" w:hAnsi="Times New Roman" w:cs="Times New Roman"/>
                <w:b/>
                <w:bCs/>
                <w:color w:val="000000"/>
                <w:sz w:val="20"/>
                <w:szCs w:val="20"/>
                <w:lang w:eastAsia="es-GT"/>
              </w:rPr>
              <w:t>3,912.3</w:t>
            </w:r>
          </w:p>
        </w:tc>
      </w:tr>
      <w:tr w:rsidR="004A66F0" w:rsidRPr="004A66F0" w14:paraId="6CF2A83F" w14:textId="77777777" w:rsidTr="00D21CBB">
        <w:trPr>
          <w:trHeight w:val="302"/>
          <w:jc w:val="center"/>
        </w:trPr>
        <w:tc>
          <w:tcPr>
            <w:tcW w:w="6229" w:type="dxa"/>
            <w:tcBorders>
              <w:top w:val="nil"/>
              <w:left w:val="single" w:sz="8" w:space="0" w:color="auto"/>
              <w:bottom w:val="dotted" w:sz="4" w:space="0" w:color="auto"/>
              <w:right w:val="single" w:sz="8" w:space="0" w:color="auto"/>
            </w:tcBorders>
            <w:shd w:val="clear" w:color="000000" w:fill="FFFFFF"/>
            <w:vAlign w:val="center"/>
            <w:hideMark/>
          </w:tcPr>
          <w:p w14:paraId="337EFFA2" w14:textId="77777777" w:rsidR="004A66F0" w:rsidRPr="004A66F0" w:rsidRDefault="004A66F0" w:rsidP="008D7BB4">
            <w:pPr>
              <w:spacing w:line="276" w:lineRule="auto"/>
              <w:contextualSpacing/>
              <w:rPr>
                <w:rFonts w:ascii="Times New Roman" w:eastAsia="Times New Roman" w:hAnsi="Times New Roman" w:cs="Times New Roman"/>
                <w:color w:val="000000"/>
                <w:sz w:val="20"/>
                <w:szCs w:val="20"/>
                <w:lang w:eastAsia="es-GT"/>
              </w:rPr>
            </w:pPr>
            <w:r w:rsidRPr="004A66F0">
              <w:rPr>
                <w:rFonts w:ascii="Times New Roman" w:eastAsia="Times New Roman" w:hAnsi="Times New Roman" w:cs="Times New Roman"/>
                <w:color w:val="000000"/>
                <w:sz w:val="20"/>
                <w:szCs w:val="20"/>
                <w:lang w:eastAsia="es-GT"/>
              </w:rPr>
              <w:t xml:space="preserve">Crecer Sano: Proyecto de Nutrición y Salud en Guatemala </w:t>
            </w:r>
          </w:p>
        </w:tc>
        <w:tc>
          <w:tcPr>
            <w:tcW w:w="2052" w:type="dxa"/>
            <w:tcBorders>
              <w:top w:val="nil"/>
              <w:left w:val="nil"/>
              <w:bottom w:val="dotted" w:sz="4" w:space="0" w:color="auto"/>
              <w:right w:val="single" w:sz="8" w:space="0" w:color="auto"/>
            </w:tcBorders>
            <w:noWrap/>
            <w:vAlign w:val="center"/>
            <w:hideMark/>
          </w:tcPr>
          <w:p w14:paraId="2A21C797" w14:textId="77777777" w:rsidR="004A66F0" w:rsidRPr="004A66F0" w:rsidRDefault="004A66F0" w:rsidP="008D7BB4">
            <w:pPr>
              <w:spacing w:line="276" w:lineRule="auto"/>
              <w:contextualSpacing/>
              <w:jc w:val="center"/>
              <w:rPr>
                <w:rFonts w:ascii="Times New Roman" w:eastAsia="Times New Roman" w:hAnsi="Times New Roman" w:cs="Times New Roman"/>
                <w:color w:val="000000"/>
                <w:sz w:val="20"/>
                <w:szCs w:val="20"/>
                <w:lang w:eastAsia="es-GT"/>
              </w:rPr>
            </w:pPr>
            <w:r w:rsidRPr="004A66F0">
              <w:rPr>
                <w:rFonts w:ascii="Times New Roman" w:eastAsia="Times New Roman" w:hAnsi="Times New Roman" w:cs="Times New Roman"/>
                <w:color w:val="000000"/>
                <w:sz w:val="20"/>
                <w:szCs w:val="20"/>
                <w:lang w:eastAsia="es-GT"/>
              </w:rPr>
              <w:t>46.5</w:t>
            </w:r>
          </w:p>
        </w:tc>
      </w:tr>
      <w:tr w:rsidR="004A66F0" w:rsidRPr="004A66F0" w14:paraId="5AEFE842" w14:textId="77777777" w:rsidTr="00D21CBB">
        <w:trPr>
          <w:trHeight w:val="302"/>
          <w:jc w:val="center"/>
        </w:trPr>
        <w:tc>
          <w:tcPr>
            <w:tcW w:w="6229" w:type="dxa"/>
            <w:tcBorders>
              <w:top w:val="nil"/>
              <w:left w:val="single" w:sz="8" w:space="0" w:color="auto"/>
              <w:bottom w:val="dotted" w:sz="4" w:space="0" w:color="auto"/>
              <w:right w:val="single" w:sz="8" w:space="0" w:color="auto"/>
            </w:tcBorders>
            <w:shd w:val="clear" w:color="000000" w:fill="FFFFFF"/>
            <w:vAlign w:val="center"/>
            <w:hideMark/>
          </w:tcPr>
          <w:p w14:paraId="342D6229" w14:textId="77777777" w:rsidR="004A66F0" w:rsidRPr="004A66F0" w:rsidRDefault="004A66F0" w:rsidP="008D7BB4">
            <w:pPr>
              <w:spacing w:line="276" w:lineRule="auto"/>
              <w:contextualSpacing/>
              <w:rPr>
                <w:rFonts w:ascii="Times New Roman" w:eastAsia="Times New Roman" w:hAnsi="Times New Roman" w:cs="Times New Roman"/>
                <w:color w:val="000000"/>
                <w:sz w:val="20"/>
                <w:szCs w:val="20"/>
                <w:lang w:eastAsia="es-GT"/>
              </w:rPr>
            </w:pPr>
            <w:r w:rsidRPr="004A66F0">
              <w:rPr>
                <w:rFonts w:ascii="Times New Roman" w:eastAsia="Times New Roman" w:hAnsi="Times New Roman" w:cs="Times New Roman"/>
                <w:color w:val="000000"/>
                <w:sz w:val="20"/>
                <w:szCs w:val="20"/>
                <w:lang w:eastAsia="es-GT"/>
              </w:rPr>
              <w:t xml:space="preserve">Préstamo para Políticas de Desarrollo de respuesta y Recuperación ante la Crisis en Guatemala </w:t>
            </w:r>
          </w:p>
        </w:tc>
        <w:tc>
          <w:tcPr>
            <w:tcW w:w="2052" w:type="dxa"/>
            <w:tcBorders>
              <w:top w:val="nil"/>
              <w:left w:val="nil"/>
              <w:bottom w:val="dotted" w:sz="4" w:space="0" w:color="auto"/>
              <w:right w:val="single" w:sz="8" w:space="0" w:color="auto"/>
            </w:tcBorders>
            <w:noWrap/>
            <w:vAlign w:val="center"/>
            <w:hideMark/>
          </w:tcPr>
          <w:p w14:paraId="4C1BA0AD" w14:textId="77777777" w:rsidR="004A66F0" w:rsidRPr="004A66F0" w:rsidRDefault="004A66F0" w:rsidP="008D7BB4">
            <w:pPr>
              <w:spacing w:line="276" w:lineRule="auto"/>
              <w:contextualSpacing/>
              <w:jc w:val="center"/>
              <w:rPr>
                <w:rFonts w:ascii="Times New Roman" w:eastAsia="Times New Roman" w:hAnsi="Times New Roman" w:cs="Times New Roman"/>
                <w:color w:val="000000"/>
                <w:sz w:val="20"/>
                <w:szCs w:val="20"/>
                <w:lang w:eastAsia="es-GT"/>
              </w:rPr>
            </w:pPr>
            <w:r w:rsidRPr="004A66F0">
              <w:rPr>
                <w:rFonts w:ascii="Times New Roman" w:eastAsia="Times New Roman" w:hAnsi="Times New Roman" w:cs="Times New Roman"/>
                <w:color w:val="000000"/>
                <w:sz w:val="20"/>
                <w:szCs w:val="20"/>
                <w:lang w:eastAsia="es-GT"/>
              </w:rPr>
              <w:t>3,865.8</w:t>
            </w:r>
          </w:p>
        </w:tc>
      </w:tr>
      <w:tr w:rsidR="004A66F0" w:rsidRPr="004A66F0" w14:paraId="3168D14C" w14:textId="77777777" w:rsidTr="00D21CBB">
        <w:trPr>
          <w:trHeight w:val="151"/>
          <w:jc w:val="center"/>
        </w:trPr>
        <w:tc>
          <w:tcPr>
            <w:tcW w:w="6229" w:type="dxa"/>
            <w:tcBorders>
              <w:top w:val="nil"/>
              <w:left w:val="single" w:sz="8" w:space="0" w:color="auto"/>
              <w:bottom w:val="dotted" w:sz="4" w:space="0" w:color="auto"/>
              <w:right w:val="single" w:sz="8" w:space="0" w:color="auto"/>
            </w:tcBorders>
            <w:shd w:val="clear" w:color="auto" w:fill="DBDBDB" w:themeFill="accent3" w:themeFillTint="66"/>
            <w:noWrap/>
            <w:vAlign w:val="center"/>
            <w:hideMark/>
          </w:tcPr>
          <w:p w14:paraId="40AE1CE5" w14:textId="77777777" w:rsidR="004A66F0" w:rsidRPr="004A66F0" w:rsidRDefault="004A66F0" w:rsidP="008D7BB4">
            <w:pPr>
              <w:spacing w:line="276" w:lineRule="auto"/>
              <w:contextualSpacing/>
              <w:rPr>
                <w:rFonts w:ascii="Times New Roman" w:eastAsia="Times New Roman" w:hAnsi="Times New Roman" w:cs="Times New Roman"/>
                <w:b/>
                <w:bCs/>
                <w:color w:val="000000"/>
                <w:sz w:val="20"/>
                <w:szCs w:val="20"/>
                <w:lang w:eastAsia="es-GT"/>
              </w:rPr>
            </w:pPr>
            <w:proofErr w:type="spellStart"/>
            <w:r w:rsidRPr="004A66F0">
              <w:rPr>
                <w:rFonts w:ascii="Times New Roman" w:eastAsia="Times New Roman" w:hAnsi="Times New Roman" w:cs="Times New Roman"/>
                <w:b/>
                <w:bCs/>
                <w:color w:val="000000"/>
                <w:sz w:val="20"/>
                <w:szCs w:val="20"/>
                <w:lang w:eastAsia="es-GT"/>
              </w:rPr>
              <w:t>Kreditanstalt</w:t>
            </w:r>
            <w:proofErr w:type="spellEnd"/>
            <w:r w:rsidRPr="004A66F0">
              <w:rPr>
                <w:rFonts w:ascii="Times New Roman" w:eastAsia="Times New Roman" w:hAnsi="Times New Roman" w:cs="Times New Roman"/>
                <w:b/>
                <w:bCs/>
                <w:color w:val="000000"/>
                <w:sz w:val="20"/>
                <w:szCs w:val="20"/>
                <w:lang w:eastAsia="es-GT"/>
              </w:rPr>
              <w:t xml:space="preserve"> </w:t>
            </w:r>
            <w:proofErr w:type="spellStart"/>
            <w:r w:rsidRPr="004A66F0">
              <w:rPr>
                <w:rFonts w:ascii="Times New Roman" w:eastAsia="Times New Roman" w:hAnsi="Times New Roman" w:cs="Times New Roman"/>
                <w:b/>
                <w:bCs/>
                <w:color w:val="000000"/>
                <w:sz w:val="20"/>
                <w:szCs w:val="20"/>
                <w:lang w:eastAsia="es-GT"/>
              </w:rPr>
              <w:t>Fur</w:t>
            </w:r>
            <w:proofErr w:type="spellEnd"/>
            <w:r w:rsidRPr="004A66F0">
              <w:rPr>
                <w:rFonts w:ascii="Times New Roman" w:eastAsia="Times New Roman" w:hAnsi="Times New Roman" w:cs="Times New Roman"/>
                <w:b/>
                <w:bCs/>
                <w:color w:val="000000"/>
                <w:sz w:val="20"/>
                <w:szCs w:val="20"/>
                <w:lang w:eastAsia="es-GT"/>
              </w:rPr>
              <w:t xml:space="preserve"> </w:t>
            </w:r>
            <w:proofErr w:type="spellStart"/>
            <w:r w:rsidRPr="004A66F0">
              <w:rPr>
                <w:rFonts w:ascii="Times New Roman" w:eastAsia="Times New Roman" w:hAnsi="Times New Roman" w:cs="Times New Roman"/>
                <w:b/>
                <w:bCs/>
                <w:color w:val="000000"/>
                <w:sz w:val="20"/>
                <w:szCs w:val="20"/>
                <w:lang w:eastAsia="es-GT"/>
              </w:rPr>
              <w:t>Wiederaufbau</w:t>
            </w:r>
            <w:proofErr w:type="spellEnd"/>
          </w:p>
        </w:tc>
        <w:tc>
          <w:tcPr>
            <w:tcW w:w="2052" w:type="dxa"/>
            <w:tcBorders>
              <w:top w:val="nil"/>
              <w:left w:val="nil"/>
              <w:bottom w:val="dotted" w:sz="4" w:space="0" w:color="auto"/>
              <w:right w:val="single" w:sz="8" w:space="0" w:color="auto"/>
            </w:tcBorders>
            <w:shd w:val="clear" w:color="auto" w:fill="DBDBDB" w:themeFill="accent3" w:themeFillTint="66"/>
            <w:noWrap/>
            <w:vAlign w:val="center"/>
            <w:hideMark/>
          </w:tcPr>
          <w:p w14:paraId="72974CC3" w14:textId="77777777" w:rsidR="004A66F0" w:rsidRPr="004A66F0" w:rsidRDefault="004A66F0" w:rsidP="008D7BB4">
            <w:pPr>
              <w:spacing w:line="276" w:lineRule="auto"/>
              <w:contextualSpacing/>
              <w:jc w:val="center"/>
              <w:rPr>
                <w:rFonts w:ascii="Times New Roman" w:eastAsia="Times New Roman" w:hAnsi="Times New Roman" w:cs="Times New Roman"/>
                <w:b/>
                <w:bCs/>
                <w:color w:val="000000"/>
                <w:sz w:val="20"/>
                <w:szCs w:val="20"/>
                <w:lang w:eastAsia="es-GT"/>
              </w:rPr>
            </w:pPr>
            <w:r w:rsidRPr="004A66F0">
              <w:rPr>
                <w:rFonts w:ascii="Times New Roman" w:eastAsia="Times New Roman" w:hAnsi="Times New Roman" w:cs="Times New Roman"/>
                <w:b/>
                <w:bCs/>
                <w:color w:val="000000"/>
                <w:sz w:val="20"/>
                <w:szCs w:val="20"/>
                <w:lang w:eastAsia="es-GT"/>
              </w:rPr>
              <w:t>45.0</w:t>
            </w:r>
          </w:p>
        </w:tc>
      </w:tr>
      <w:tr w:rsidR="004A66F0" w:rsidRPr="004A66F0" w14:paraId="1919BC92" w14:textId="77777777" w:rsidTr="00D21CBB">
        <w:trPr>
          <w:trHeight w:val="160"/>
          <w:jc w:val="center"/>
        </w:trPr>
        <w:tc>
          <w:tcPr>
            <w:tcW w:w="6229" w:type="dxa"/>
            <w:tcBorders>
              <w:top w:val="nil"/>
              <w:left w:val="single" w:sz="8" w:space="0" w:color="auto"/>
              <w:bottom w:val="single" w:sz="8" w:space="0" w:color="auto"/>
              <w:right w:val="single" w:sz="8" w:space="0" w:color="auto"/>
            </w:tcBorders>
            <w:shd w:val="clear" w:color="000000" w:fill="FFFFFF"/>
            <w:vAlign w:val="center"/>
            <w:hideMark/>
          </w:tcPr>
          <w:p w14:paraId="1D321F36" w14:textId="77777777" w:rsidR="004A66F0" w:rsidRPr="004A66F0" w:rsidRDefault="004A66F0" w:rsidP="008D7BB4">
            <w:pPr>
              <w:spacing w:line="276" w:lineRule="auto"/>
              <w:contextualSpacing/>
              <w:rPr>
                <w:rFonts w:ascii="Times New Roman" w:eastAsia="Times New Roman" w:hAnsi="Times New Roman" w:cs="Times New Roman"/>
                <w:color w:val="000000"/>
                <w:sz w:val="20"/>
                <w:szCs w:val="20"/>
                <w:lang w:eastAsia="es-GT"/>
              </w:rPr>
            </w:pPr>
            <w:r w:rsidRPr="004A66F0">
              <w:rPr>
                <w:rFonts w:ascii="Times New Roman" w:eastAsia="Times New Roman" w:hAnsi="Times New Roman" w:cs="Times New Roman"/>
                <w:color w:val="000000"/>
                <w:sz w:val="20"/>
                <w:szCs w:val="20"/>
                <w:lang w:eastAsia="es-GT"/>
              </w:rPr>
              <w:t>Proyecto de Educación Rural V (PROEDUC V)</w:t>
            </w:r>
          </w:p>
        </w:tc>
        <w:tc>
          <w:tcPr>
            <w:tcW w:w="2052" w:type="dxa"/>
            <w:tcBorders>
              <w:top w:val="nil"/>
              <w:left w:val="nil"/>
              <w:bottom w:val="single" w:sz="8" w:space="0" w:color="auto"/>
              <w:right w:val="single" w:sz="8" w:space="0" w:color="auto"/>
            </w:tcBorders>
            <w:shd w:val="clear" w:color="000000" w:fill="FFFFFF"/>
            <w:noWrap/>
            <w:vAlign w:val="center"/>
            <w:hideMark/>
          </w:tcPr>
          <w:p w14:paraId="26E422DA" w14:textId="77777777" w:rsidR="004A66F0" w:rsidRPr="004A66F0" w:rsidRDefault="004A66F0" w:rsidP="008D7BB4">
            <w:pPr>
              <w:spacing w:line="276" w:lineRule="auto"/>
              <w:contextualSpacing/>
              <w:jc w:val="center"/>
              <w:rPr>
                <w:rFonts w:ascii="Times New Roman" w:eastAsia="Times New Roman" w:hAnsi="Times New Roman" w:cs="Times New Roman"/>
                <w:color w:val="000000"/>
                <w:sz w:val="20"/>
                <w:szCs w:val="20"/>
                <w:lang w:eastAsia="es-GT"/>
              </w:rPr>
            </w:pPr>
            <w:r w:rsidRPr="004A66F0">
              <w:rPr>
                <w:rFonts w:ascii="Times New Roman" w:eastAsia="Times New Roman" w:hAnsi="Times New Roman" w:cs="Times New Roman"/>
                <w:color w:val="000000"/>
                <w:sz w:val="20"/>
                <w:szCs w:val="20"/>
                <w:lang w:eastAsia="es-GT"/>
              </w:rPr>
              <w:t>45.0</w:t>
            </w:r>
          </w:p>
        </w:tc>
      </w:tr>
    </w:tbl>
    <w:p w14:paraId="0B63E96F" w14:textId="77777777" w:rsidR="004A66F0" w:rsidRPr="004A66F0" w:rsidRDefault="004A66F0" w:rsidP="008D7BB4">
      <w:pPr>
        <w:spacing w:line="276" w:lineRule="auto"/>
        <w:ind w:firstLine="708"/>
        <w:contextualSpacing/>
        <w:rPr>
          <w:rFonts w:ascii="Times New Roman" w:eastAsia="Times New Roman" w:hAnsi="Times New Roman" w:cs="Times New Roman"/>
          <w:sz w:val="18"/>
        </w:rPr>
      </w:pPr>
      <w:r w:rsidRPr="004A66F0">
        <w:rPr>
          <w:rFonts w:ascii="Times New Roman" w:eastAsia="Times New Roman" w:hAnsi="Times New Roman" w:cs="Times New Roman"/>
          <w:sz w:val="18"/>
        </w:rPr>
        <w:t>Fuente: Dirección de Análisis y Política Fiscal</w:t>
      </w:r>
    </w:p>
    <w:p w14:paraId="20F8CE09" w14:textId="4024A43D" w:rsidR="00411B26" w:rsidRDefault="00411B26" w:rsidP="008D7BB4">
      <w:pPr>
        <w:spacing w:line="276" w:lineRule="auto"/>
        <w:contextualSpacing/>
        <w:jc w:val="both"/>
        <w:rPr>
          <w:rFonts w:ascii="Times New Roman" w:eastAsia="Times New Roman" w:hAnsi="Times New Roman" w:cs="Times New Roman"/>
        </w:rPr>
      </w:pPr>
    </w:p>
    <w:p w14:paraId="79D94FB7" w14:textId="77777777" w:rsidR="00D21CBB" w:rsidRPr="004A66F0" w:rsidRDefault="00D21CBB" w:rsidP="00D21CBB">
      <w:pPr>
        <w:spacing w:line="276" w:lineRule="auto"/>
        <w:contextualSpacing/>
        <w:jc w:val="both"/>
        <w:rPr>
          <w:rFonts w:ascii="Times New Roman" w:eastAsia="Times New Roman" w:hAnsi="Times New Roman" w:cs="Calibri"/>
          <w:sz w:val="22"/>
          <w:szCs w:val="22"/>
        </w:rPr>
      </w:pPr>
      <w:r w:rsidRPr="004A66F0">
        <w:rPr>
          <w:rFonts w:ascii="Times New Roman" w:eastAsia="Times New Roman" w:hAnsi="Times New Roman" w:cs="Calibri"/>
          <w:sz w:val="22"/>
          <w:szCs w:val="22"/>
        </w:rPr>
        <w:t>Este préstamo se considera relevante por sus condiciones financieras favorables dado que considera un vencimiento de 13 años, incluido un período de gracia de 3 años y una tasa aproximada de 0.75%.</w:t>
      </w:r>
    </w:p>
    <w:p w14:paraId="20D411D3" w14:textId="77777777" w:rsidR="00D21CBB" w:rsidRPr="004A66F0" w:rsidRDefault="00D21CBB" w:rsidP="00D21CBB">
      <w:pPr>
        <w:spacing w:line="276" w:lineRule="auto"/>
        <w:contextualSpacing/>
        <w:jc w:val="both"/>
        <w:rPr>
          <w:rFonts w:ascii="Times New Roman" w:eastAsia="Times New Roman" w:hAnsi="Times New Roman" w:cs="Calibri"/>
          <w:sz w:val="22"/>
          <w:szCs w:val="22"/>
        </w:rPr>
      </w:pPr>
      <w:r w:rsidRPr="004A66F0">
        <w:rPr>
          <w:rFonts w:ascii="Times New Roman" w:eastAsia="Times New Roman" w:hAnsi="Times New Roman" w:cs="Calibri"/>
          <w:sz w:val="22"/>
          <w:szCs w:val="22"/>
        </w:rPr>
        <w:t xml:space="preserve"> </w:t>
      </w:r>
    </w:p>
    <w:p w14:paraId="02BC8653" w14:textId="77777777" w:rsidR="00D21CBB" w:rsidRPr="004A66F0" w:rsidRDefault="00D21CBB" w:rsidP="00D21CBB">
      <w:pPr>
        <w:spacing w:line="276" w:lineRule="auto"/>
        <w:contextualSpacing/>
        <w:jc w:val="both"/>
        <w:rPr>
          <w:rFonts w:ascii="Times New Roman" w:eastAsia="Times New Roman" w:hAnsi="Times New Roman" w:cs="Calibri"/>
          <w:sz w:val="22"/>
          <w:szCs w:val="22"/>
        </w:rPr>
      </w:pPr>
      <w:r w:rsidRPr="004A66F0">
        <w:rPr>
          <w:rFonts w:ascii="Times New Roman" w:eastAsia="Times New Roman" w:hAnsi="Times New Roman" w:cs="Calibri"/>
          <w:sz w:val="22"/>
          <w:szCs w:val="22"/>
        </w:rPr>
        <w:lastRenderedPageBreak/>
        <w:t xml:space="preserve">Derivado de lo anterior, los desembolsos de préstamos externos al cierre de 2022, fueron más dinámicos en comparación a 2021, alcanzando un monto de Q4,591.3 millones. </w:t>
      </w:r>
    </w:p>
    <w:p w14:paraId="1579DA3F" w14:textId="77777777" w:rsidR="00D21CBB" w:rsidRPr="004A66F0" w:rsidRDefault="00D21CBB" w:rsidP="00D21CBB">
      <w:pPr>
        <w:spacing w:line="276" w:lineRule="auto"/>
        <w:contextualSpacing/>
        <w:jc w:val="both"/>
        <w:rPr>
          <w:rFonts w:ascii="Times New Roman" w:eastAsia="Times New Roman" w:hAnsi="Times New Roman" w:cs="Calibri"/>
          <w:sz w:val="22"/>
          <w:szCs w:val="22"/>
        </w:rPr>
      </w:pPr>
    </w:p>
    <w:p w14:paraId="7EB67049" w14:textId="77777777" w:rsidR="00D21CBB" w:rsidRDefault="00D21CBB" w:rsidP="00D21CBB">
      <w:pPr>
        <w:spacing w:line="276" w:lineRule="auto"/>
        <w:contextualSpacing/>
        <w:jc w:val="both"/>
        <w:rPr>
          <w:rFonts w:ascii="Times New Roman" w:eastAsia="Times New Roman" w:hAnsi="Times New Roman" w:cs="Calibri"/>
          <w:sz w:val="22"/>
          <w:szCs w:val="22"/>
        </w:rPr>
      </w:pPr>
      <w:r w:rsidRPr="004A66F0">
        <w:rPr>
          <w:rFonts w:ascii="Times New Roman" w:eastAsia="Times New Roman" w:hAnsi="Times New Roman" w:cs="Calibri"/>
          <w:sz w:val="22"/>
          <w:szCs w:val="22"/>
        </w:rPr>
        <w:t>El préstamo con mayor desembolso fue precisamente el aprobado en el Decreto número 29-2022 con el BIRF por Q3,865.8 millones, seguidamente del Programa para el mejoramiento de la cobertura y calidad educativa por Q279.3 millones con el Banco Interamericano de Desarrollo (BID).</w:t>
      </w:r>
    </w:p>
    <w:p w14:paraId="37FEA9B7" w14:textId="77777777" w:rsidR="00D21CBB" w:rsidRDefault="00D21CBB" w:rsidP="00D21CBB">
      <w:pPr>
        <w:spacing w:line="276" w:lineRule="auto"/>
        <w:contextualSpacing/>
        <w:jc w:val="both"/>
        <w:rPr>
          <w:rFonts w:ascii="Times New Roman" w:eastAsia="Times New Roman" w:hAnsi="Times New Roman" w:cs="Calibri"/>
          <w:sz w:val="22"/>
          <w:szCs w:val="22"/>
        </w:rPr>
      </w:pPr>
    </w:p>
    <w:p w14:paraId="3FC19B6F" w14:textId="77777777" w:rsidR="00D21CBB" w:rsidRPr="004A66F0" w:rsidRDefault="00D21CBB" w:rsidP="00D21CBB">
      <w:pPr>
        <w:spacing w:line="276" w:lineRule="auto"/>
        <w:contextualSpacing/>
        <w:jc w:val="both"/>
        <w:rPr>
          <w:rFonts w:ascii="Times New Roman" w:eastAsia="Times New Roman" w:hAnsi="Times New Roman" w:cs="Calibri"/>
          <w:sz w:val="22"/>
          <w:szCs w:val="22"/>
        </w:rPr>
      </w:pPr>
      <w:r w:rsidRPr="004A66F0">
        <w:rPr>
          <w:rFonts w:ascii="Times New Roman" w:eastAsia="Times New Roman" w:hAnsi="Times New Roman" w:cs="Calibri"/>
          <w:sz w:val="22"/>
          <w:szCs w:val="22"/>
        </w:rPr>
        <w:t xml:space="preserve">Adicionalmente durante el período se tuvo amortizaciones por Q2,867.3 millones, con un efecto en el financiamiento externo neto de Q109.7 millones, tomando en consideración la negociación neta del eurobono. </w:t>
      </w:r>
    </w:p>
    <w:p w14:paraId="0174D5E2" w14:textId="77777777" w:rsidR="00D21CBB" w:rsidRPr="004A66F0" w:rsidRDefault="00D21CBB" w:rsidP="00D21CBB">
      <w:pPr>
        <w:spacing w:line="276" w:lineRule="auto"/>
        <w:contextualSpacing/>
        <w:jc w:val="both"/>
        <w:rPr>
          <w:rFonts w:ascii="Times New Roman" w:eastAsia="Times New Roman" w:hAnsi="Times New Roman" w:cs="Calibri"/>
          <w:sz w:val="22"/>
          <w:szCs w:val="22"/>
        </w:rPr>
      </w:pPr>
    </w:p>
    <w:p w14:paraId="7A3DE96F" w14:textId="77777777" w:rsidR="00D21CBB" w:rsidRPr="004A66F0" w:rsidRDefault="00D21CBB" w:rsidP="00D21CBB">
      <w:pPr>
        <w:spacing w:line="276" w:lineRule="auto"/>
        <w:contextualSpacing/>
        <w:jc w:val="both"/>
        <w:rPr>
          <w:rFonts w:ascii="Times New Roman" w:eastAsia="Times New Roman" w:hAnsi="Times New Roman" w:cs="Times New Roman"/>
        </w:rPr>
      </w:pPr>
      <w:r w:rsidRPr="004A66F0">
        <w:rPr>
          <w:rFonts w:ascii="Times New Roman" w:eastAsia="Times New Roman" w:hAnsi="Times New Roman" w:cs="Times New Roman"/>
        </w:rPr>
        <w:t>Dado que el financiamiento mediante endeudamiento no fue suficiente para cubrir el déficit resultante en 2022, la variación estimada de caja se sitúo en Q3,892.5 millones, monto menor al que se estableció en el presupuesto aprobado para dicho año.</w:t>
      </w:r>
    </w:p>
    <w:p w14:paraId="58BD8662" w14:textId="77777777" w:rsidR="00D21CBB" w:rsidRPr="004A66F0" w:rsidRDefault="00D21CBB" w:rsidP="008D7BB4">
      <w:pPr>
        <w:spacing w:line="276" w:lineRule="auto"/>
        <w:contextualSpacing/>
        <w:jc w:val="both"/>
        <w:rPr>
          <w:rFonts w:ascii="Times New Roman" w:eastAsia="Times New Roman" w:hAnsi="Times New Roman" w:cs="Times New Roman"/>
        </w:rPr>
      </w:pPr>
    </w:p>
    <w:p w14:paraId="7A388783" w14:textId="77777777" w:rsidR="004A66F0" w:rsidRPr="00A36506" w:rsidRDefault="004A66F0" w:rsidP="008D7BB4">
      <w:pPr>
        <w:pStyle w:val="Prrafodelista"/>
        <w:keepNext/>
        <w:keepLines/>
        <w:numPr>
          <w:ilvl w:val="1"/>
          <w:numId w:val="20"/>
        </w:numPr>
        <w:tabs>
          <w:tab w:val="left" w:pos="1134"/>
        </w:tabs>
        <w:spacing w:line="276" w:lineRule="auto"/>
        <w:jc w:val="both"/>
        <w:outlineLvl w:val="1"/>
        <w:rPr>
          <w:rFonts w:ascii="Times New Roman" w:eastAsiaTheme="majorEastAsia" w:hAnsi="Times New Roman" w:cs="Times New Roman"/>
          <w:b/>
          <w:bCs/>
        </w:rPr>
      </w:pPr>
      <w:bookmarkStart w:id="80" w:name="_Toc125723291"/>
      <w:r w:rsidRPr="00A36506">
        <w:rPr>
          <w:rFonts w:ascii="Times New Roman" w:eastAsiaTheme="majorEastAsia" w:hAnsi="Times New Roman" w:cs="Times New Roman"/>
          <w:b/>
          <w:bCs/>
        </w:rPr>
        <w:t>Disminución relativa de la deuda pública en 2022</w:t>
      </w:r>
      <w:bookmarkEnd w:id="80"/>
    </w:p>
    <w:p w14:paraId="65B3B615" w14:textId="77777777" w:rsidR="004A66F0" w:rsidRPr="004A66F0" w:rsidRDefault="004A66F0" w:rsidP="008D7BB4">
      <w:pPr>
        <w:spacing w:line="276" w:lineRule="auto"/>
        <w:contextualSpacing/>
        <w:rPr>
          <w:rFonts w:ascii="Calibri" w:eastAsia="Times New Roman" w:hAnsi="Calibri" w:cs="Times New Roman"/>
          <w:lang w:eastAsia="es-ES"/>
        </w:rPr>
      </w:pPr>
    </w:p>
    <w:p w14:paraId="3A5D2975" w14:textId="77777777" w:rsidR="004A66F0" w:rsidRPr="004A66F0" w:rsidRDefault="004A66F0" w:rsidP="008D7BB4">
      <w:pPr>
        <w:spacing w:line="276" w:lineRule="auto"/>
        <w:contextualSpacing/>
        <w:jc w:val="both"/>
        <w:rPr>
          <w:rFonts w:ascii="Times New Roman" w:eastAsia="Times New Roman" w:hAnsi="Times New Roman" w:cs="Times New Roman"/>
          <w:sz w:val="22"/>
          <w:szCs w:val="22"/>
          <w:lang w:val="es-ES_tradnl" w:eastAsia="es-ES"/>
        </w:rPr>
      </w:pPr>
      <w:r w:rsidRPr="004A66F0">
        <w:rPr>
          <w:rFonts w:ascii="Times New Roman" w:eastAsia="Times New Roman" w:hAnsi="Times New Roman" w:cs="Times New Roman"/>
          <w:sz w:val="22"/>
          <w:szCs w:val="22"/>
          <w:lang w:eastAsia="es-ES"/>
        </w:rPr>
        <w:t xml:space="preserve">De acuerdo a </w:t>
      </w:r>
      <w:r w:rsidRPr="004A66F0">
        <w:rPr>
          <w:rFonts w:ascii="Times New Roman" w:eastAsia="Times New Roman" w:hAnsi="Times New Roman" w:cs="Times New Roman"/>
          <w:sz w:val="22"/>
          <w:szCs w:val="22"/>
          <w:lang w:val="es-ES_tradnl" w:eastAsia="es-ES"/>
        </w:rPr>
        <w:t>los flujos de endeudamiento que se dieron en 2022, se generaron cambios en el nivel del saldo de la deuda pública, situándose en 29.3% del PIB, mostrando una contracción de 1.5% del PIB respecto a lo observado en 2021 (30.8%), esto se considera positivo, dado que en 2022 se incurrió en un menor uso de fuentes de financiamiento debido al buen desempeño de la recaudación tributaria en dicho año.</w:t>
      </w:r>
    </w:p>
    <w:p w14:paraId="230C4193" w14:textId="77777777" w:rsidR="004A66F0" w:rsidRPr="004A66F0" w:rsidRDefault="004A66F0" w:rsidP="008D7BB4">
      <w:pPr>
        <w:spacing w:line="276" w:lineRule="auto"/>
        <w:contextualSpacing/>
        <w:jc w:val="both"/>
        <w:rPr>
          <w:rFonts w:ascii="Times New Roman" w:eastAsia="Times New Roman" w:hAnsi="Times New Roman" w:cs="Times New Roman"/>
          <w:sz w:val="22"/>
          <w:szCs w:val="22"/>
          <w:lang w:val="es-ES_tradnl" w:eastAsia="es-ES"/>
        </w:rPr>
      </w:pPr>
    </w:p>
    <w:p w14:paraId="283C769A" w14:textId="77777777" w:rsidR="004A66F0" w:rsidRPr="004A66F0" w:rsidRDefault="004A66F0" w:rsidP="008D7BB4">
      <w:pPr>
        <w:spacing w:line="276" w:lineRule="auto"/>
        <w:contextualSpacing/>
        <w:jc w:val="both"/>
        <w:rPr>
          <w:rFonts w:ascii="Times New Roman" w:eastAsia="Times New Roman" w:hAnsi="Times New Roman" w:cs="Times New Roman"/>
          <w:sz w:val="22"/>
          <w:szCs w:val="22"/>
          <w:lang w:val="es-ES_tradnl" w:eastAsia="es-ES"/>
        </w:rPr>
      </w:pPr>
      <w:r w:rsidRPr="004A66F0">
        <w:rPr>
          <w:rFonts w:ascii="Times New Roman" w:eastAsia="Times New Roman" w:hAnsi="Times New Roman" w:cs="Times New Roman"/>
          <w:sz w:val="22"/>
          <w:szCs w:val="22"/>
          <w:lang w:val="es-ES_tradnl" w:eastAsia="es-ES"/>
        </w:rPr>
        <w:t>La posición fiscal de Guatemala se encuentra lejos de encontrarse en una situación riesgosa, la deuda es sostenible gracias al manejo prudente que se ha tenido en la política fiscal. Según los organismos internacionales, para los países de ingreso medio alto con acceso al mercado de capitales como Guatemala, el máximo recomendado es de 50%-60% del PIB, lo que aún le da bastante margen de maniobra y espacio de endeudamiento a Guatemala.</w:t>
      </w:r>
    </w:p>
    <w:p w14:paraId="329EAF63" w14:textId="77777777" w:rsidR="004A66F0" w:rsidRPr="004A66F0" w:rsidRDefault="004A66F0" w:rsidP="008D7BB4">
      <w:pPr>
        <w:spacing w:line="276" w:lineRule="auto"/>
        <w:contextualSpacing/>
        <w:jc w:val="both"/>
        <w:rPr>
          <w:rFonts w:ascii="Times New Roman" w:eastAsia="Times New Roman" w:hAnsi="Times New Roman" w:cs="Times New Roman"/>
          <w:sz w:val="22"/>
          <w:szCs w:val="22"/>
          <w:lang w:val="es-ES_tradnl" w:eastAsia="es-ES"/>
        </w:rPr>
      </w:pPr>
    </w:p>
    <w:p w14:paraId="0CBB40B6" w14:textId="77777777" w:rsidR="004A66F0" w:rsidRPr="004A66F0" w:rsidRDefault="004A66F0" w:rsidP="008D7BB4">
      <w:pPr>
        <w:spacing w:line="276" w:lineRule="auto"/>
        <w:contextualSpacing/>
        <w:jc w:val="both"/>
        <w:rPr>
          <w:rFonts w:ascii="Times New Roman" w:eastAsia="Times New Roman" w:hAnsi="Times New Roman" w:cs="Times New Roman"/>
          <w:sz w:val="22"/>
          <w:szCs w:val="22"/>
          <w:lang w:val="es-ES_tradnl" w:eastAsia="es-ES"/>
        </w:rPr>
      </w:pPr>
      <w:r w:rsidRPr="004A66F0">
        <w:rPr>
          <w:rFonts w:ascii="Times New Roman" w:eastAsia="Times New Roman" w:hAnsi="Times New Roman" w:cs="Times New Roman"/>
          <w:sz w:val="22"/>
          <w:szCs w:val="22"/>
          <w:lang w:val="es-ES_tradnl" w:eastAsia="es-ES"/>
        </w:rPr>
        <w:t>El aumento en la colocación de Bonos del Tesoro en el mercado doméstico ha mantenido la participación de la deuda interna alta y aumentando gradualmente, situándola al cierre de 2022 en 59.4% del total de la deuda, mientras que la deuda externa se situó en 40.6%; relación que es positiva considerando que se reduce la exposición al riesgo a la residencia del tenedor, apoyando la sostenibilidad de la misma en el corto y mediano plazo.</w:t>
      </w:r>
    </w:p>
    <w:p w14:paraId="06AE2E22" w14:textId="77777777" w:rsidR="004A66F0" w:rsidRPr="004A66F0" w:rsidRDefault="004A66F0" w:rsidP="008D7BB4">
      <w:pPr>
        <w:spacing w:line="276" w:lineRule="auto"/>
        <w:contextualSpacing/>
        <w:jc w:val="both"/>
        <w:rPr>
          <w:rFonts w:ascii="Times New Roman" w:eastAsia="Times New Roman" w:hAnsi="Times New Roman" w:cs="Times New Roman"/>
          <w:sz w:val="22"/>
          <w:szCs w:val="22"/>
          <w:lang w:val="es-ES_tradnl" w:eastAsia="es-ES"/>
        </w:rPr>
      </w:pPr>
    </w:p>
    <w:p w14:paraId="632C81AD" w14:textId="77777777" w:rsidR="004A66F0" w:rsidRPr="004A66F0" w:rsidRDefault="004A66F0" w:rsidP="008D7BB4">
      <w:pPr>
        <w:spacing w:line="276" w:lineRule="auto"/>
        <w:contextualSpacing/>
        <w:jc w:val="both"/>
        <w:rPr>
          <w:rFonts w:ascii="Times New Roman" w:eastAsia="Times New Roman" w:hAnsi="Times New Roman" w:cs="Times New Roman"/>
          <w:sz w:val="22"/>
          <w:szCs w:val="22"/>
          <w:lang w:val="es-ES_tradnl" w:eastAsia="es-ES"/>
        </w:rPr>
      </w:pPr>
      <w:r w:rsidRPr="004A66F0">
        <w:rPr>
          <w:rFonts w:ascii="Times New Roman" w:eastAsia="Times New Roman" w:hAnsi="Times New Roman" w:cs="Times New Roman"/>
          <w:sz w:val="22"/>
          <w:szCs w:val="22"/>
          <w:lang w:val="es-ES_tradnl" w:eastAsia="es-ES"/>
        </w:rPr>
        <w:t>Por último, se ha mantenido en los últimos años una reducción del costo financiero de la deuda bonificada, pasando de tasas de rendimiento promedio ponderado de 9.1% en 2013 a 6.0% en 2022, mientras que en el mismo período ha crecido el plazo promedio de colocación pasando de 14.1 a 17.3 años, reduciendo el riesgo de mercado y de refinanciamiento.</w:t>
      </w:r>
    </w:p>
    <w:p w14:paraId="3D77B3F2" w14:textId="611211C3" w:rsidR="004A66F0" w:rsidRDefault="004A66F0" w:rsidP="008D7BB4">
      <w:pPr>
        <w:spacing w:line="276" w:lineRule="auto"/>
        <w:contextualSpacing/>
        <w:jc w:val="both"/>
        <w:rPr>
          <w:rFonts w:ascii="Times New Roman" w:eastAsia="Times New Roman" w:hAnsi="Times New Roman" w:cs="Times New Roman"/>
          <w:sz w:val="22"/>
          <w:szCs w:val="22"/>
          <w:lang w:val="es-ES_tradnl" w:eastAsia="es-ES"/>
        </w:rPr>
      </w:pPr>
    </w:p>
    <w:p w14:paraId="0D404BAC" w14:textId="77777777" w:rsidR="00C91DF5" w:rsidRPr="004A66F0" w:rsidRDefault="00C91DF5" w:rsidP="008D7BB4">
      <w:pPr>
        <w:spacing w:line="276" w:lineRule="auto"/>
        <w:contextualSpacing/>
        <w:jc w:val="both"/>
        <w:rPr>
          <w:rFonts w:ascii="Times New Roman" w:eastAsia="Times New Roman" w:hAnsi="Times New Roman" w:cs="Times New Roman"/>
          <w:sz w:val="22"/>
          <w:szCs w:val="22"/>
          <w:lang w:val="es-ES_tradnl" w:eastAsia="es-ES"/>
        </w:rPr>
      </w:pPr>
    </w:p>
    <w:p w14:paraId="343F2C8C" w14:textId="2AB07D9D" w:rsidR="004A66F0" w:rsidRPr="004A66F0" w:rsidRDefault="00A11E1A" w:rsidP="008D7BB4">
      <w:pPr>
        <w:spacing w:line="276" w:lineRule="auto"/>
        <w:contextualSpacing/>
        <w:jc w:val="center"/>
        <w:rPr>
          <w:rFonts w:ascii="Times New Roman" w:eastAsia="Times New Roman" w:hAnsi="Times New Roman" w:cs="Times New Roman"/>
          <w:b/>
          <w:szCs w:val="22"/>
        </w:rPr>
      </w:pPr>
      <w:bookmarkStart w:id="81" w:name="_Toc125733214"/>
      <w:r w:rsidRPr="00A11E1A">
        <w:rPr>
          <w:rFonts w:ascii="Times New Roman" w:eastAsia="Times New Roman" w:hAnsi="Times New Roman" w:cs="Times New Roman"/>
          <w:b/>
          <w:sz w:val="22"/>
          <w:szCs w:val="22"/>
        </w:rPr>
        <w:lastRenderedPageBreak/>
        <w:t xml:space="preserve">Gráfico </w:t>
      </w:r>
      <w:r w:rsidRPr="00A11E1A">
        <w:rPr>
          <w:rFonts w:ascii="Times New Roman" w:eastAsia="Times New Roman" w:hAnsi="Times New Roman" w:cs="Times New Roman"/>
          <w:b/>
          <w:sz w:val="22"/>
          <w:szCs w:val="22"/>
        </w:rPr>
        <w:fldChar w:fldCharType="begin"/>
      </w:r>
      <w:r w:rsidRPr="00A11E1A">
        <w:rPr>
          <w:rFonts w:ascii="Times New Roman" w:eastAsia="Times New Roman" w:hAnsi="Times New Roman" w:cs="Times New Roman"/>
          <w:b/>
          <w:sz w:val="22"/>
          <w:szCs w:val="22"/>
        </w:rPr>
        <w:instrText xml:space="preserve"> SEQ Gráfico \* ARABIC </w:instrText>
      </w:r>
      <w:r w:rsidRPr="00A11E1A">
        <w:rPr>
          <w:rFonts w:ascii="Times New Roman" w:eastAsia="Times New Roman" w:hAnsi="Times New Roman" w:cs="Times New Roman"/>
          <w:b/>
          <w:sz w:val="22"/>
          <w:szCs w:val="22"/>
        </w:rPr>
        <w:fldChar w:fldCharType="separate"/>
      </w:r>
      <w:r w:rsidR="006F4BE5">
        <w:rPr>
          <w:rFonts w:ascii="Times New Roman" w:eastAsia="Times New Roman" w:hAnsi="Times New Roman" w:cs="Times New Roman"/>
          <w:b/>
          <w:noProof/>
          <w:sz w:val="22"/>
          <w:szCs w:val="22"/>
        </w:rPr>
        <w:t>18</w:t>
      </w:r>
      <w:r w:rsidRPr="00A11E1A">
        <w:rPr>
          <w:rFonts w:ascii="Times New Roman" w:eastAsia="Times New Roman" w:hAnsi="Times New Roman" w:cs="Times New Roman"/>
          <w:b/>
          <w:sz w:val="22"/>
          <w:szCs w:val="22"/>
        </w:rPr>
        <w:fldChar w:fldCharType="end"/>
      </w:r>
      <w:r>
        <w:rPr>
          <w:rFonts w:ascii="Times New Roman" w:eastAsia="Times New Roman" w:hAnsi="Times New Roman" w:cs="Times New Roman"/>
          <w:b/>
          <w:sz w:val="22"/>
          <w:szCs w:val="22"/>
        </w:rPr>
        <w:t xml:space="preserve">. </w:t>
      </w:r>
      <w:r w:rsidR="004A66F0" w:rsidRPr="004A66F0">
        <w:rPr>
          <w:rFonts w:ascii="Times New Roman" w:eastAsia="Times New Roman" w:hAnsi="Times New Roman" w:cs="Times New Roman"/>
          <w:b/>
          <w:szCs w:val="22"/>
        </w:rPr>
        <w:t>Relación Deuda/ PIB y estructura de la deuda interna y externa</w:t>
      </w:r>
      <w:bookmarkEnd w:id="81"/>
    </w:p>
    <w:p w14:paraId="769CC455" w14:textId="77777777" w:rsidR="004A66F0" w:rsidRPr="004A66F0" w:rsidRDefault="004A66F0" w:rsidP="008D7BB4">
      <w:pPr>
        <w:spacing w:line="276" w:lineRule="auto"/>
        <w:contextualSpacing/>
        <w:jc w:val="center"/>
        <w:rPr>
          <w:rFonts w:ascii="Times New Roman" w:eastAsia="Times New Roman" w:hAnsi="Times New Roman" w:cs="Times New Roman"/>
          <w:b/>
          <w:szCs w:val="22"/>
        </w:rPr>
      </w:pPr>
      <w:r w:rsidRPr="004A66F0">
        <w:rPr>
          <w:rFonts w:ascii="Times New Roman" w:eastAsia="Times New Roman" w:hAnsi="Times New Roman" w:cs="Times New Roman"/>
          <w:b/>
          <w:szCs w:val="22"/>
        </w:rPr>
        <w:t>2015 - 2022</w:t>
      </w:r>
    </w:p>
    <w:p w14:paraId="7724EA09" w14:textId="303EC55B" w:rsidR="004A66F0" w:rsidRPr="004A66F0" w:rsidRDefault="004A66F0" w:rsidP="008D7BB4">
      <w:pPr>
        <w:spacing w:line="276" w:lineRule="auto"/>
        <w:contextualSpacing/>
        <w:jc w:val="center"/>
        <w:rPr>
          <w:rFonts w:ascii="Times New Roman" w:eastAsia="Times New Roman" w:hAnsi="Times New Roman" w:cs="Times New Roman"/>
          <w:lang w:val="es-ES_tradnl" w:eastAsia="es-ES"/>
        </w:rPr>
      </w:pPr>
      <w:r w:rsidRPr="004A66F0">
        <w:rPr>
          <w:rFonts w:ascii="Times New Roman" w:eastAsia="Times New Roman" w:hAnsi="Times New Roman" w:cs="Times New Roman"/>
          <w:noProof/>
          <w:lang w:eastAsia="es-GT"/>
        </w:rPr>
        <w:drawing>
          <wp:inline distT="0" distB="0" distL="0" distR="0" wp14:anchorId="16D73377" wp14:editId="3FD02C42">
            <wp:extent cx="4855845" cy="2009775"/>
            <wp:effectExtent l="0" t="0" r="1905" b="0"/>
            <wp:docPr id="21" name="Gráfico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E335088" w14:textId="77777777" w:rsidR="004A66F0" w:rsidRPr="004A66F0" w:rsidRDefault="004A66F0" w:rsidP="008D7BB4">
      <w:pPr>
        <w:spacing w:line="276" w:lineRule="auto"/>
        <w:ind w:firstLine="360"/>
        <w:contextualSpacing/>
        <w:jc w:val="both"/>
        <w:rPr>
          <w:rFonts w:ascii="Times New Roman" w:eastAsia="Times New Roman" w:hAnsi="Times New Roman" w:cs="Times New Roman"/>
          <w:sz w:val="18"/>
          <w:szCs w:val="22"/>
        </w:rPr>
      </w:pPr>
      <w:r w:rsidRPr="004A66F0">
        <w:rPr>
          <w:rFonts w:ascii="Times New Roman" w:eastAsia="Times New Roman" w:hAnsi="Times New Roman" w:cs="Times New Roman"/>
          <w:sz w:val="18"/>
          <w:szCs w:val="22"/>
        </w:rPr>
        <w:t xml:space="preserve">                  Fuente: Dirección de Análisis y Política Fiscal, con cifras preliminares de cierre de 2022.</w:t>
      </w:r>
    </w:p>
    <w:p w14:paraId="71A55595" w14:textId="77777777" w:rsidR="004A66F0" w:rsidRPr="004A66F0" w:rsidRDefault="004A66F0" w:rsidP="008D7BB4">
      <w:pPr>
        <w:spacing w:line="276" w:lineRule="auto"/>
        <w:contextualSpacing/>
        <w:rPr>
          <w:rFonts w:ascii="Calibri" w:eastAsia="Times New Roman" w:hAnsi="Calibri" w:cs="Times New Roman"/>
          <w:lang w:eastAsia="es-ES"/>
        </w:rPr>
      </w:pPr>
    </w:p>
    <w:p w14:paraId="6ED12FB6" w14:textId="77777777" w:rsidR="004A66F0" w:rsidRPr="004A66F0" w:rsidRDefault="004A66F0" w:rsidP="008D7BB4">
      <w:pPr>
        <w:spacing w:line="276" w:lineRule="auto"/>
        <w:contextualSpacing/>
        <w:jc w:val="both"/>
        <w:rPr>
          <w:rFonts w:ascii="Times New Roman" w:eastAsia="Times New Roman" w:hAnsi="Times New Roman" w:cs="Times New Roman"/>
          <w:sz w:val="22"/>
          <w:szCs w:val="22"/>
          <w:lang w:val="es-ES_tradnl" w:eastAsia="es-ES"/>
        </w:rPr>
      </w:pPr>
      <w:r w:rsidRPr="004A66F0">
        <w:rPr>
          <w:rFonts w:ascii="Times New Roman" w:eastAsia="Times New Roman" w:hAnsi="Times New Roman" w:cs="Times New Roman"/>
          <w:sz w:val="22"/>
          <w:szCs w:val="22"/>
          <w:lang w:eastAsia="es-ES"/>
        </w:rPr>
        <w:t>E</w:t>
      </w:r>
      <w:r w:rsidRPr="004A66F0">
        <w:rPr>
          <w:rFonts w:ascii="Times New Roman" w:eastAsia="Times New Roman" w:hAnsi="Times New Roman" w:cs="Times New Roman"/>
          <w:sz w:val="22"/>
          <w:szCs w:val="22"/>
          <w:lang w:val="es-ES_tradnl" w:eastAsia="es-ES"/>
        </w:rPr>
        <w:t xml:space="preserve">s importante considerar que la deuda pública respecto a los ingresos fiscales en 2022 se ubica en 230.7%, reportando una disminución importante de 18.0 puntos porcentuales con respecto a 2021. </w:t>
      </w:r>
    </w:p>
    <w:p w14:paraId="6A20393F" w14:textId="77777777" w:rsidR="004A66F0" w:rsidRPr="004A66F0" w:rsidRDefault="004A66F0" w:rsidP="008D7BB4">
      <w:pPr>
        <w:spacing w:line="276" w:lineRule="auto"/>
        <w:contextualSpacing/>
        <w:rPr>
          <w:rFonts w:ascii="Times New Roman" w:eastAsia="Times New Roman" w:hAnsi="Times New Roman" w:cs="Times New Roman"/>
          <w:sz w:val="22"/>
          <w:szCs w:val="22"/>
          <w:lang w:eastAsia="es-ES"/>
        </w:rPr>
      </w:pPr>
    </w:p>
    <w:p w14:paraId="714127E2" w14:textId="77777777" w:rsidR="004A66F0" w:rsidRPr="00A36506" w:rsidRDefault="004A66F0" w:rsidP="008D7BB4">
      <w:pPr>
        <w:pStyle w:val="Prrafodelista"/>
        <w:keepNext/>
        <w:keepLines/>
        <w:numPr>
          <w:ilvl w:val="1"/>
          <w:numId w:val="20"/>
        </w:numPr>
        <w:tabs>
          <w:tab w:val="left" w:pos="1134"/>
        </w:tabs>
        <w:spacing w:line="276" w:lineRule="auto"/>
        <w:jc w:val="both"/>
        <w:outlineLvl w:val="1"/>
        <w:rPr>
          <w:rFonts w:ascii="Times New Roman" w:eastAsiaTheme="majorEastAsia" w:hAnsi="Times New Roman" w:cs="Times New Roman"/>
          <w:b/>
          <w:bCs/>
        </w:rPr>
      </w:pPr>
      <w:bookmarkStart w:id="82" w:name="_Toc125723292"/>
      <w:r w:rsidRPr="00A36506">
        <w:rPr>
          <w:rFonts w:ascii="Times New Roman" w:eastAsiaTheme="majorEastAsia" w:hAnsi="Times New Roman" w:cs="Times New Roman"/>
          <w:b/>
          <w:bCs/>
        </w:rPr>
        <w:t>Metas establecidas en el Marco Fiscal de Mediano Plazo 2022-2026</w:t>
      </w:r>
      <w:bookmarkEnd w:id="82"/>
    </w:p>
    <w:p w14:paraId="6BA40EEC" w14:textId="77777777" w:rsidR="004A66F0" w:rsidRPr="004A66F0" w:rsidRDefault="004A66F0" w:rsidP="008D7BB4">
      <w:pPr>
        <w:spacing w:line="276" w:lineRule="auto"/>
        <w:contextualSpacing/>
        <w:rPr>
          <w:rFonts w:ascii="Times New Roman" w:eastAsia="Times New Roman" w:hAnsi="Times New Roman" w:cs="Times New Roman"/>
          <w:b/>
          <w:bCs/>
        </w:rPr>
      </w:pPr>
    </w:p>
    <w:p w14:paraId="0FDD5D76" w14:textId="77777777" w:rsidR="004A66F0" w:rsidRPr="004A66F0" w:rsidRDefault="004A66F0" w:rsidP="008D7BB4">
      <w:pPr>
        <w:spacing w:line="276" w:lineRule="auto"/>
        <w:contextualSpacing/>
        <w:jc w:val="both"/>
        <w:rPr>
          <w:rFonts w:ascii="Times New Roman" w:eastAsia="Times New Roman" w:hAnsi="Times New Roman" w:cs="Times New Roman"/>
          <w:sz w:val="22"/>
          <w:szCs w:val="22"/>
        </w:rPr>
      </w:pPr>
      <w:r w:rsidRPr="004A66F0">
        <w:rPr>
          <w:rFonts w:ascii="Times New Roman" w:eastAsia="Times New Roman" w:hAnsi="Times New Roman" w:cs="Times New Roman"/>
          <w:sz w:val="22"/>
          <w:szCs w:val="22"/>
        </w:rPr>
        <w:t xml:space="preserve">En 2021 se elaboró el Marco Fiscal de Mediano Plazo 2022-2026, siendo una herramienta de apoyo para el análisis de las principales variables asociadas a la política fiscal para un período multianual de cinco años (2022-2026). Es un instrumento de utilidad para el análisis ya que provee proyecciones macro fiscales de mediano plazo, permitiendo entender cuáles son los desafíos fiscales y las metas que se deberían de fijar, y con ello generar alertas tempranas cuando los indicadores se desvíen de la proyección, así como la mejora continua del indicador cuando este se haya cumplido para el ejercicio fiscal en análisis. </w:t>
      </w:r>
    </w:p>
    <w:p w14:paraId="3A5736BC" w14:textId="77777777" w:rsidR="004A66F0" w:rsidRPr="004A66F0" w:rsidRDefault="004A66F0" w:rsidP="008D7BB4">
      <w:pPr>
        <w:spacing w:line="276" w:lineRule="auto"/>
        <w:contextualSpacing/>
        <w:jc w:val="both"/>
        <w:rPr>
          <w:rFonts w:ascii="Times New Roman" w:eastAsia="Times New Roman" w:hAnsi="Times New Roman" w:cs="Times New Roman"/>
          <w:sz w:val="22"/>
          <w:szCs w:val="22"/>
        </w:rPr>
      </w:pPr>
    </w:p>
    <w:p w14:paraId="3EDB8CFC" w14:textId="77777777" w:rsidR="004A66F0" w:rsidRPr="004A66F0" w:rsidRDefault="004A66F0" w:rsidP="008D7BB4">
      <w:pPr>
        <w:spacing w:line="276" w:lineRule="auto"/>
        <w:contextualSpacing/>
        <w:jc w:val="both"/>
        <w:rPr>
          <w:rFonts w:ascii="Times New Roman" w:eastAsia="Times New Roman" w:hAnsi="Times New Roman" w:cs="Times New Roman"/>
          <w:sz w:val="22"/>
          <w:szCs w:val="22"/>
        </w:rPr>
      </w:pPr>
      <w:r w:rsidRPr="004A66F0">
        <w:rPr>
          <w:rFonts w:ascii="Times New Roman" w:eastAsia="Times New Roman" w:hAnsi="Times New Roman" w:cs="Times New Roman"/>
          <w:sz w:val="22"/>
          <w:szCs w:val="22"/>
        </w:rPr>
        <w:t xml:space="preserve">El objetivo fijado para la política fiscal en Guatemala es que sea más predecible, menos discrecional, con mayor transparencia, planificación y coordinación entre las instituciones, siendo un instrumento para aumentar el bienestar de la población.  </w:t>
      </w:r>
    </w:p>
    <w:p w14:paraId="07BC6C5A" w14:textId="77777777" w:rsidR="004A66F0" w:rsidRPr="004A66F0" w:rsidRDefault="004A66F0" w:rsidP="008D7BB4">
      <w:pPr>
        <w:spacing w:line="276" w:lineRule="auto"/>
        <w:contextualSpacing/>
        <w:jc w:val="both"/>
        <w:rPr>
          <w:rFonts w:ascii="Times New Roman" w:eastAsia="Times New Roman" w:hAnsi="Times New Roman" w:cs="Times New Roman"/>
          <w:sz w:val="22"/>
          <w:szCs w:val="22"/>
        </w:rPr>
      </w:pPr>
    </w:p>
    <w:p w14:paraId="62957323" w14:textId="77777777" w:rsidR="004A66F0" w:rsidRPr="004A66F0" w:rsidRDefault="004A66F0" w:rsidP="008D7BB4">
      <w:pPr>
        <w:spacing w:line="276" w:lineRule="auto"/>
        <w:contextualSpacing/>
        <w:jc w:val="both"/>
        <w:rPr>
          <w:rFonts w:ascii="Times New Roman" w:eastAsia="Times New Roman" w:hAnsi="Times New Roman" w:cs="Times New Roman"/>
          <w:sz w:val="22"/>
          <w:szCs w:val="22"/>
        </w:rPr>
      </w:pPr>
      <w:r w:rsidRPr="004A66F0">
        <w:rPr>
          <w:rFonts w:ascii="Times New Roman" w:eastAsia="Times New Roman" w:hAnsi="Times New Roman" w:cs="Times New Roman"/>
          <w:sz w:val="22"/>
          <w:szCs w:val="22"/>
        </w:rPr>
        <w:t>En ese sentido, se fijaron metas de política fiscal para el período 2022-2026, para los indicadores fiscales más relevantes, siendo estos:</w:t>
      </w:r>
    </w:p>
    <w:p w14:paraId="1A6EF9A2" w14:textId="77777777" w:rsidR="004A66F0" w:rsidRPr="004A66F0" w:rsidRDefault="004A66F0" w:rsidP="008D7BB4">
      <w:pPr>
        <w:spacing w:line="276" w:lineRule="auto"/>
        <w:contextualSpacing/>
        <w:jc w:val="both"/>
        <w:rPr>
          <w:rFonts w:ascii="Times New Roman" w:eastAsia="Times New Roman" w:hAnsi="Times New Roman" w:cs="Times New Roman"/>
          <w:sz w:val="22"/>
          <w:szCs w:val="22"/>
        </w:rPr>
      </w:pPr>
    </w:p>
    <w:p w14:paraId="2E6B6F41" w14:textId="0412CD62" w:rsidR="004A66F0" w:rsidRPr="004A66F0" w:rsidRDefault="004A66F0" w:rsidP="008D7BB4">
      <w:pPr>
        <w:numPr>
          <w:ilvl w:val="0"/>
          <w:numId w:val="44"/>
        </w:numPr>
        <w:spacing w:after="160" w:line="276" w:lineRule="auto"/>
        <w:contextualSpacing/>
        <w:jc w:val="both"/>
        <w:rPr>
          <w:rFonts w:ascii="Times New Roman" w:eastAsia="Times New Roman" w:hAnsi="Times New Roman" w:cs="Times New Roman"/>
          <w:sz w:val="22"/>
          <w:szCs w:val="22"/>
        </w:rPr>
      </w:pPr>
      <w:r w:rsidRPr="004A66F0">
        <w:rPr>
          <w:rFonts w:ascii="Times New Roman" w:eastAsia="Times New Roman" w:hAnsi="Times New Roman" w:cs="Times New Roman"/>
          <w:sz w:val="22"/>
          <w:szCs w:val="22"/>
        </w:rPr>
        <w:t>En la carga tributaria se busca un aumento sostenido de la recaudación tributaria, principalmente con acciones administrativas por parte de la administración tributaria en el combate a la evasión tributaria y el contrabando</w:t>
      </w:r>
      <w:r w:rsidR="00135705">
        <w:rPr>
          <w:rFonts w:ascii="Times New Roman" w:eastAsia="Times New Roman" w:hAnsi="Times New Roman" w:cs="Times New Roman"/>
          <w:sz w:val="22"/>
          <w:szCs w:val="22"/>
        </w:rPr>
        <w:t>, mejorando el cumplimiento tributario</w:t>
      </w:r>
      <w:r w:rsidRPr="004A66F0">
        <w:rPr>
          <w:rFonts w:ascii="Times New Roman" w:eastAsia="Times New Roman" w:hAnsi="Times New Roman" w:cs="Times New Roman"/>
          <w:sz w:val="22"/>
          <w:szCs w:val="22"/>
        </w:rPr>
        <w:t>.</w:t>
      </w:r>
    </w:p>
    <w:p w14:paraId="6A97DB51" w14:textId="77777777" w:rsidR="004A66F0" w:rsidRPr="004A66F0" w:rsidRDefault="004A66F0" w:rsidP="008D7BB4">
      <w:pPr>
        <w:numPr>
          <w:ilvl w:val="0"/>
          <w:numId w:val="44"/>
        </w:numPr>
        <w:spacing w:after="160" w:line="276" w:lineRule="auto"/>
        <w:contextualSpacing/>
        <w:jc w:val="both"/>
        <w:rPr>
          <w:rFonts w:ascii="Calibri" w:eastAsia="Times New Roman" w:hAnsi="Calibri" w:cs="Calibri"/>
          <w:sz w:val="22"/>
          <w:szCs w:val="22"/>
        </w:rPr>
      </w:pPr>
      <w:r w:rsidRPr="004A66F0">
        <w:rPr>
          <w:rFonts w:ascii="Times New Roman" w:eastAsia="Times New Roman" w:hAnsi="Times New Roman" w:cs="Times New Roman"/>
          <w:sz w:val="22"/>
          <w:szCs w:val="22"/>
        </w:rPr>
        <w:t xml:space="preserve">Mejorar la eficiencia y calidad del gasto público, avanzando en la formulación y ejecución de presupuestos basados en resultados, siguiendo las guías de planificación nacional para el </w:t>
      </w:r>
      <w:r w:rsidRPr="004A66F0">
        <w:rPr>
          <w:rFonts w:ascii="Times New Roman" w:eastAsia="Times New Roman" w:hAnsi="Times New Roman" w:cs="Times New Roman"/>
          <w:sz w:val="22"/>
          <w:szCs w:val="22"/>
        </w:rPr>
        <w:lastRenderedPageBreak/>
        <w:t xml:space="preserve">efecto, siendo principalmente el Plan Nacional de Desarrollo </w:t>
      </w:r>
      <w:proofErr w:type="spellStart"/>
      <w:r w:rsidRPr="004A66F0">
        <w:rPr>
          <w:rFonts w:ascii="Times New Roman" w:eastAsia="Times New Roman" w:hAnsi="Times New Roman" w:cs="Times New Roman"/>
          <w:sz w:val="22"/>
          <w:szCs w:val="22"/>
        </w:rPr>
        <w:t>K’atun</w:t>
      </w:r>
      <w:proofErr w:type="spellEnd"/>
      <w:r w:rsidRPr="004A66F0">
        <w:rPr>
          <w:rFonts w:ascii="Times New Roman" w:eastAsia="Times New Roman" w:hAnsi="Times New Roman" w:cs="Times New Roman"/>
          <w:sz w:val="22"/>
          <w:szCs w:val="22"/>
        </w:rPr>
        <w:t xml:space="preserve"> 2032 Nuestra Guatemala.</w:t>
      </w:r>
    </w:p>
    <w:p w14:paraId="5EC58FEF" w14:textId="77777777" w:rsidR="004A66F0" w:rsidRPr="004A66F0" w:rsidRDefault="004A66F0" w:rsidP="008D7BB4">
      <w:pPr>
        <w:numPr>
          <w:ilvl w:val="0"/>
          <w:numId w:val="44"/>
        </w:numPr>
        <w:spacing w:after="160" w:line="276" w:lineRule="auto"/>
        <w:contextualSpacing/>
        <w:jc w:val="both"/>
        <w:rPr>
          <w:rFonts w:ascii="Calibri" w:eastAsia="Times New Roman" w:hAnsi="Calibri" w:cs="Calibri"/>
          <w:sz w:val="22"/>
          <w:szCs w:val="22"/>
        </w:rPr>
      </w:pPr>
      <w:r w:rsidRPr="004A66F0">
        <w:rPr>
          <w:rFonts w:ascii="Times New Roman" w:eastAsia="Times New Roman" w:hAnsi="Times New Roman" w:cs="Calibri"/>
          <w:sz w:val="22"/>
          <w:szCs w:val="22"/>
          <w:lang w:val="es-MX"/>
        </w:rPr>
        <w:t>Deben mejorar las intervenciones en materia de gasto social reconociendo que Guatemala tiene grandes necesidades en los sectores de salud, educación, vivienda, seguridad y justicia.</w:t>
      </w:r>
    </w:p>
    <w:p w14:paraId="5C2FB809" w14:textId="77777777" w:rsidR="004A66F0" w:rsidRPr="004A66F0" w:rsidRDefault="004A66F0" w:rsidP="008D7BB4">
      <w:pPr>
        <w:numPr>
          <w:ilvl w:val="0"/>
          <w:numId w:val="44"/>
        </w:numPr>
        <w:spacing w:after="160" w:line="276" w:lineRule="auto"/>
        <w:contextualSpacing/>
        <w:jc w:val="both"/>
        <w:rPr>
          <w:rFonts w:ascii="Times New Roman" w:eastAsia="Times New Roman" w:hAnsi="Times New Roman" w:cs="Calibri"/>
          <w:sz w:val="22"/>
          <w:szCs w:val="22"/>
          <w:lang w:val="es-MX"/>
        </w:rPr>
      </w:pPr>
      <w:r w:rsidRPr="004A66F0">
        <w:rPr>
          <w:rFonts w:ascii="Times New Roman" w:eastAsia="Times New Roman" w:hAnsi="Times New Roman" w:cs="Calibri"/>
          <w:sz w:val="22"/>
          <w:szCs w:val="22"/>
          <w:lang w:val="es-MX"/>
        </w:rPr>
        <w:t>Se debe buscar un crecimiento sostenido de la inversión pública, principalmente obras de infraestructura vial y productiva por el efecto multiplicador que tienen en el crecimiento económico y la generación de empleos.</w:t>
      </w:r>
    </w:p>
    <w:p w14:paraId="2DB426E9" w14:textId="1999A96B" w:rsidR="004A66F0" w:rsidRPr="00A2662D" w:rsidRDefault="004A66F0" w:rsidP="008D7BB4">
      <w:pPr>
        <w:numPr>
          <w:ilvl w:val="0"/>
          <w:numId w:val="44"/>
        </w:numPr>
        <w:spacing w:after="160" w:line="276" w:lineRule="auto"/>
        <w:contextualSpacing/>
        <w:jc w:val="both"/>
        <w:rPr>
          <w:rFonts w:ascii="Times New Roman" w:eastAsia="Times New Roman" w:hAnsi="Times New Roman" w:cs="Times New Roman"/>
          <w:b/>
          <w:bCs/>
        </w:rPr>
      </w:pPr>
      <w:r w:rsidRPr="004A66F0">
        <w:rPr>
          <w:rFonts w:ascii="Times New Roman" w:eastAsia="Times New Roman" w:hAnsi="Times New Roman" w:cs="Calibri"/>
          <w:sz w:val="22"/>
          <w:szCs w:val="22"/>
          <w:lang w:val="es-MX"/>
        </w:rPr>
        <w:t>Garantizar déficits razonables en línea con un manejo prudente de las finanzas públicas, que al mismo tiempo garanticen la sostenibilidad de la deuda pública en el mediano plazo, coadyuvando a la estabilidad macroeconómica y al desarrollo económico y social.</w:t>
      </w:r>
    </w:p>
    <w:p w14:paraId="37053C2C" w14:textId="77777777" w:rsidR="00A2662D" w:rsidRPr="004A66F0" w:rsidRDefault="00A2662D" w:rsidP="008D7BB4">
      <w:pPr>
        <w:spacing w:after="160" w:line="276" w:lineRule="auto"/>
        <w:ind w:left="720"/>
        <w:contextualSpacing/>
        <w:jc w:val="both"/>
        <w:rPr>
          <w:rFonts w:ascii="Times New Roman" w:eastAsia="Times New Roman" w:hAnsi="Times New Roman" w:cs="Times New Roman"/>
          <w:b/>
          <w:bCs/>
        </w:rPr>
      </w:pPr>
    </w:p>
    <w:p w14:paraId="734572DC" w14:textId="5568A58B" w:rsidR="004A66F0" w:rsidRPr="003832FD" w:rsidRDefault="00FE0B42" w:rsidP="008D7BB4">
      <w:pPr>
        <w:spacing w:line="276" w:lineRule="auto"/>
        <w:contextualSpacing/>
        <w:jc w:val="center"/>
        <w:rPr>
          <w:rFonts w:ascii="Times New Roman" w:eastAsia="Times New Roman" w:hAnsi="Times New Roman" w:cs="Times New Roman"/>
          <w:b/>
          <w:bCs/>
          <w:sz w:val="22"/>
          <w:szCs w:val="22"/>
        </w:rPr>
      </w:pPr>
      <w:bookmarkStart w:id="83" w:name="_Toc125534814"/>
      <w:r w:rsidRPr="003832FD">
        <w:rPr>
          <w:rFonts w:ascii="Times New Roman" w:hAnsi="Times New Roman" w:cs="Times New Roman"/>
          <w:b/>
          <w:bCs/>
          <w:sz w:val="22"/>
          <w:szCs w:val="22"/>
        </w:rPr>
        <w:t xml:space="preserve">Tabla </w:t>
      </w:r>
      <w:r w:rsidRPr="003832FD">
        <w:rPr>
          <w:rFonts w:ascii="Times New Roman" w:hAnsi="Times New Roman" w:cs="Times New Roman"/>
          <w:b/>
          <w:bCs/>
          <w:sz w:val="22"/>
          <w:szCs w:val="22"/>
        </w:rPr>
        <w:fldChar w:fldCharType="begin"/>
      </w:r>
      <w:r w:rsidRPr="003832FD">
        <w:rPr>
          <w:rFonts w:ascii="Times New Roman" w:hAnsi="Times New Roman" w:cs="Times New Roman"/>
          <w:b/>
          <w:bCs/>
          <w:sz w:val="22"/>
          <w:szCs w:val="22"/>
        </w:rPr>
        <w:instrText xml:space="preserve"> SEQ Tabla \* ARABIC </w:instrText>
      </w:r>
      <w:r w:rsidRPr="003832FD">
        <w:rPr>
          <w:rFonts w:ascii="Times New Roman" w:hAnsi="Times New Roman" w:cs="Times New Roman"/>
          <w:b/>
          <w:bCs/>
          <w:sz w:val="22"/>
          <w:szCs w:val="22"/>
        </w:rPr>
        <w:fldChar w:fldCharType="separate"/>
      </w:r>
      <w:r w:rsidR="006F4BE5">
        <w:rPr>
          <w:rFonts w:ascii="Times New Roman" w:hAnsi="Times New Roman" w:cs="Times New Roman"/>
          <w:b/>
          <w:bCs/>
          <w:noProof/>
          <w:sz w:val="22"/>
          <w:szCs w:val="22"/>
        </w:rPr>
        <w:t>5</w:t>
      </w:r>
      <w:r w:rsidRPr="003832FD">
        <w:rPr>
          <w:rFonts w:ascii="Times New Roman" w:hAnsi="Times New Roman" w:cs="Times New Roman"/>
          <w:b/>
          <w:bCs/>
          <w:sz w:val="22"/>
          <w:szCs w:val="22"/>
        </w:rPr>
        <w:fldChar w:fldCharType="end"/>
      </w:r>
      <w:r w:rsidRPr="003832FD">
        <w:rPr>
          <w:rFonts w:ascii="Times New Roman" w:hAnsi="Times New Roman" w:cs="Times New Roman"/>
          <w:b/>
          <w:bCs/>
          <w:sz w:val="22"/>
          <w:szCs w:val="22"/>
        </w:rPr>
        <w:t>.</w:t>
      </w:r>
      <w:r w:rsidRPr="003832FD">
        <w:rPr>
          <w:sz w:val="22"/>
          <w:szCs w:val="22"/>
        </w:rPr>
        <w:t xml:space="preserve"> </w:t>
      </w:r>
      <w:r w:rsidR="004A66F0" w:rsidRPr="003832FD">
        <w:rPr>
          <w:rFonts w:ascii="Times New Roman" w:eastAsia="Times New Roman" w:hAnsi="Times New Roman" w:cs="Times New Roman"/>
          <w:b/>
          <w:bCs/>
          <w:sz w:val="22"/>
          <w:szCs w:val="22"/>
        </w:rPr>
        <w:t>Metas de Política Fiscal para el período 2022-2026</w:t>
      </w:r>
      <w:bookmarkEnd w:id="83"/>
    </w:p>
    <w:tbl>
      <w:tblPr>
        <w:tblW w:w="7520" w:type="dxa"/>
        <w:jc w:val="center"/>
        <w:tblCellMar>
          <w:left w:w="70" w:type="dxa"/>
          <w:right w:w="70" w:type="dxa"/>
        </w:tblCellMar>
        <w:tblLook w:val="04A0" w:firstRow="1" w:lastRow="0" w:firstColumn="1" w:lastColumn="0" w:noHBand="0" w:noVBand="1"/>
      </w:tblPr>
      <w:tblGrid>
        <w:gridCol w:w="4900"/>
        <w:gridCol w:w="1200"/>
        <w:gridCol w:w="1420"/>
      </w:tblGrid>
      <w:tr w:rsidR="004A66F0" w:rsidRPr="004A66F0" w14:paraId="7A6DC436" w14:textId="77777777" w:rsidTr="00F85317">
        <w:trPr>
          <w:trHeight w:val="600"/>
          <w:jc w:val="center"/>
        </w:trPr>
        <w:tc>
          <w:tcPr>
            <w:tcW w:w="4900" w:type="dxa"/>
            <w:tcBorders>
              <w:top w:val="single" w:sz="8" w:space="0" w:color="auto"/>
              <w:left w:val="single" w:sz="8" w:space="0" w:color="auto"/>
              <w:bottom w:val="single" w:sz="8" w:space="0" w:color="auto"/>
              <w:right w:val="single" w:sz="4" w:space="0" w:color="auto"/>
            </w:tcBorders>
            <w:shd w:val="clear" w:color="000000" w:fill="1F4E78"/>
            <w:noWrap/>
            <w:vAlign w:val="center"/>
            <w:hideMark/>
          </w:tcPr>
          <w:p w14:paraId="4A54674B" w14:textId="77777777" w:rsidR="004A66F0" w:rsidRPr="004A66F0" w:rsidRDefault="004A66F0" w:rsidP="008D7BB4">
            <w:pPr>
              <w:spacing w:line="276" w:lineRule="auto"/>
              <w:contextualSpacing/>
              <w:jc w:val="center"/>
              <w:rPr>
                <w:rFonts w:ascii="Times New Roman" w:eastAsia="Times New Roman" w:hAnsi="Times New Roman" w:cs="Times New Roman"/>
                <w:b/>
                <w:bCs/>
                <w:color w:val="FFFFFF"/>
                <w:sz w:val="20"/>
                <w:szCs w:val="20"/>
                <w:lang w:eastAsia="es-GT"/>
              </w:rPr>
            </w:pPr>
            <w:r w:rsidRPr="004A66F0">
              <w:rPr>
                <w:rFonts w:ascii="Times New Roman" w:eastAsia="Times New Roman" w:hAnsi="Times New Roman" w:cs="Times New Roman"/>
                <w:b/>
                <w:bCs/>
                <w:color w:val="FFFFFF"/>
                <w:sz w:val="20"/>
                <w:szCs w:val="20"/>
                <w:lang w:eastAsia="es-GT"/>
              </w:rPr>
              <w:t>Meta fijada en el Marco Fiscal de Mediano Plazo</w:t>
            </w:r>
          </w:p>
        </w:tc>
        <w:tc>
          <w:tcPr>
            <w:tcW w:w="1200" w:type="dxa"/>
            <w:tcBorders>
              <w:top w:val="single" w:sz="8" w:space="0" w:color="auto"/>
              <w:left w:val="nil"/>
              <w:bottom w:val="single" w:sz="8" w:space="0" w:color="auto"/>
              <w:right w:val="single" w:sz="4" w:space="0" w:color="auto"/>
            </w:tcBorders>
            <w:shd w:val="clear" w:color="000000" w:fill="1F4E78"/>
            <w:noWrap/>
            <w:vAlign w:val="center"/>
            <w:hideMark/>
          </w:tcPr>
          <w:p w14:paraId="230B8E60" w14:textId="77777777" w:rsidR="004A66F0" w:rsidRPr="004A66F0" w:rsidRDefault="004A66F0" w:rsidP="008D7BB4">
            <w:pPr>
              <w:spacing w:line="276" w:lineRule="auto"/>
              <w:contextualSpacing/>
              <w:jc w:val="center"/>
              <w:rPr>
                <w:rFonts w:ascii="Times New Roman" w:eastAsia="Times New Roman" w:hAnsi="Times New Roman" w:cs="Times New Roman"/>
                <w:b/>
                <w:bCs/>
                <w:color w:val="FFFFFF"/>
                <w:sz w:val="20"/>
                <w:szCs w:val="20"/>
                <w:lang w:eastAsia="es-GT"/>
              </w:rPr>
            </w:pPr>
            <w:r w:rsidRPr="004A66F0">
              <w:rPr>
                <w:rFonts w:ascii="Times New Roman" w:eastAsia="Times New Roman" w:hAnsi="Times New Roman" w:cs="Times New Roman"/>
                <w:b/>
                <w:bCs/>
                <w:color w:val="FFFFFF"/>
                <w:sz w:val="20"/>
                <w:szCs w:val="20"/>
                <w:lang w:eastAsia="es-GT"/>
              </w:rPr>
              <w:t>2022</w:t>
            </w:r>
          </w:p>
        </w:tc>
        <w:tc>
          <w:tcPr>
            <w:tcW w:w="1420" w:type="dxa"/>
            <w:tcBorders>
              <w:top w:val="single" w:sz="8" w:space="0" w:color="auto"/>
              <w:left w:val="nil"/>
              <w:bottom w:val="single" w:sz="8" w:space="0" w:color="auto"/>
              <w:right w:val="single" w:sz="8" w:space="0" w:color="auto"/>
            </w:tcBorders>
            <w:shd w:val="clear" w:color="000000" w:fill="1F4E78"/>
            <w:vAlign w:val="center"/>
            <w:hideMark/>
          </w:tcPr>
          <w:p w14:paraId="0D61C275" w14:textId="77777777" w:rsidR="004A66F0" w:rsidRPr="004A66F0" w:rsidRDefault="004A66F0" w:rsidP="008D7BB4">
            <w:pPr>
              <w:spacing w:line="276" w:lineRule="auto"/>
              <w:contextualSpacing/>
              <w:jc w:val="center"/>
              <w:rPr>
                <w:rFonts w:ascii="Times New Roman" w:eastAsia="Times New Roman" w:hAnsi="Times New Roman" w:cs="Times New Roman"/>
                <w:b/>
                <w:bCs/>
                <w:color w:val="FFFFFF"/>
                <w:sz w:val="20"/>
                <w:szCs w:val="20"/>
                <w:lang w:eastAsia="es-GT"/>
              </w:rPr>
            </w:pPr>
            <w:r w:rsidRPr="004A66F0">
              <w:rPr>
                <w:rFonts w:ascii="Times New Roman" w:eastAsia="Times New Roman" w:hAnsi="Times New Roman" w:cs="Times New Roman"/>
                <w:b/>
                <w:bCs/>
                <w:color w:val="FFFFFF"/>
                <w:sz w:val="20"/>
                <w:szCs w:val="20"/>
                <w:lang w:eastAsia="es-GT"/>
              </w:rPr>
              <w:t>Estado</w:t>
            </w:r>
          </w:p>
        </w:tc>
      </w:tr>
      <w:tr w:rsidR="004A66F0" w:rsidRPr="004A66F0" w14:paraId="685DB5DF" w14:textId="77777777" w:rsidTr="00F85317">
        <w:trPr>
          <w:trHeight w:val="600"/>
          <w:jc w:val="center"/>
        </w:trPr>
        <w:tc>
          <w:tcPr>
            <w:tcW w:w="4900" w:type="dxa"/>
            <w:tcBorders>
              <w:top w:val="nil"/>
              <w:left w:val="single" w:sz="8" w:space="0" w:color="auto"/>
              <w:bottom w:val="single" w:sz="4" w:space="0" w:color="auto"/>
              <w:right w:val="single" w:sz="4" w:space="0" w:color="auto"/>
            </w:tcBorders>
            <w:vAlign w:val="center"/>
            <w:hideMark/>
          </w:tcPr>
          <w:p w14:paraId="600D5748" w14:textId="77777777" w:rsidR="004A66F0" w:rsidRPr="004A66F0" w:rsidRDefault="004A66F0" w:rsidP="008D7BB4">
            <w:pPr>
              <w:spacing w:line="276" w:lineRule="auto"/>
              <w:contextualSpacing/>
              <w:rPr>
                <w:rFonts w:ascii="Times New Roman" w:eastAsia="Times New Roman" w:hAnsi="Times New Roman" w:cs="Times New Roman"/>
                <w:sz w:val="20"/>
                <w:szCs w:val="20"/>
                <w:lang w:eastAsia="es-GT"/>
              </w:rPr>
            </w:pPr>
            <w:r w:rsidRPr="004A66F0">
              <w:rPr>
                <w:rFonts w:ascii="Times New Roman" w:eastAsia="Times New Roman" w:hAnsi="Times New Roman" w:cs="Times New Roman"/>
                <w:sz w:val="20"/>
                <w:szCs w:val="20"/>
                <w:lang w:eastAsia="es-GT"/>
              </w:rPr>
              <w:t xml:space="preserve">Alcanzar una carga tributaria de al menos 11.0% para 2026 </w:t>
            </w:r>
          </w:p>
        </w:tc>
        <w:tc>
          <w:tcPr>
            <w:tcW w:w="1200" w:type="dxa"/>
            <w:tcBorders>
              <w:top w:val="nil"/>
              <w:left w:val="nil"/>
              <w:bottom w:val="single" w:sz="4" w:space="0" w:color="auto"/>
              <w:right w:val="single" w:sz="4" w:space="0" w:color="auto"/>
            </w:tcBorders>
            <w:noWrap/>
            <w:vAlign w:val="center"/>
            <w:hideMark/>
          </w:tcPr>
          <w:p w14:paraId="7ADA552C" w14:textId="77777777" w:rsidR="004A66F0" w:rsidRPr="004A66F0" w:rsidRDefault="004A66F0" w:rsidP="008D7BB4">
            <w:pPr>
              <w:spacing w:line="276" w:lineRule="auto"/>
              <w:contextualSpacing/>
              <w:jc w:val="center"/>
              <w:rPr>
                <w:rFonts w:ascii="Times New Roman" w:eastAsia="Times New Roman" w:hAnsi="Times New Roman" w:cs="Times New Roman"/>
                <w:sz w:val="20"/>
                <w:szCs w:val="20"/>
                <w:lang w:eastAsia="es-GT"/>
              </w:rPr>
            </w:pPr>
            <w:r w:rsidRPr="004A66F0">
              <w:rPr>
                <w:rFonts w:ascii="Times New Roman" w:eastAsia="Times New Roman" w:hAnsi="Times New Roman" w:cs="Times New Roman"/>
                <w:sz w:val="20"/>
                <w:szCs w:val="20"/>
                <w:lang w:eastAsia="es-GT"/>
              </w:rPr>
              <w:t>12.1%</w:t>
            </w:r>
          </w:p>
        </w:tc>
        <w:tc>
          <w:tcPr>
            <w:tcW w:w="1420" w:type="dxa"/>
            <w:tcBorders>
              <w:top w:val="nil"/>
              <w:left w:val="nil"/>
              <w:bottom w:val="single" w:sz="4" w:space="0" w:color="auto"/>
              <w:right w:val="single" w:sz="8" w:space="0" w:color="auto"/>
            </w:tcBorders>
            <w:noWrap/>
            <w:vAlign w:val="center"/>
            <w:hideMark/>
          </w:tcPr>
          <w:p w14:paraId="25026808" w14:textId="77777777" w:rsidR="004A66F0" w:rsidRPr="004A66F0" w:rsidRDefault="004A66F0" w:rsidP="008D7BB4">
            <w:pPr>
              <w:spacing w:line="276" w:lineRule="auto"/>
              <w:contextualSpacing/>
              <w:jc w:val="center"/>
              <w:rPr>
                <w:rFonts w:ascii="Times New Roman" w:eastAsia="Times New Roman" w:hAnsi="Times New Roman" w:cs="Times New Roman"/>
                <w:b/>
                <w:bCs/>
                <w:color w:val="00B0F0"/>
                <w:sz w:val="20"/>
                <w:szCs w:val="20"/>
                <w:lang w:eastAsia="es-GT"/>
              </w:rPr>
            </w:pPr>
            <w:r w:rsidRPr="004A66F0">
              <w:rPr>
                <w:rFonts w:ascii="Times New Roman" w:eastAsia="Times New Roman" w:hAnsi="Times New Roman" w:cs="Times New Roman"/>
                <w:b/>
                <w:bCs/>
                <w:color w:val="00B0F0"/>
                <w:sz w:val="20"/>
                <w:szCs w:val="20"/>
                <w:lang w:eastAsia="es-GT"/>
              </w:rPr>
              <w:t>Cumplido</w:t>
            </w:r>
          </w:p>
        </w:tc>
      </w:tr>
      <w:tr w:rsidR="004A66F0" w:rsidRPr="004A66F0" w14:paraId="4A101B7A" w14:textId="77777777" w:rsidTr="00F85317">
        <w:trPr>
          <w:trHeight w:val="510"/>
          <w:jc w:val="center"/>
        </w:trPr>
        <w:tc>
          <w:tcPr>
            <w:tcW w:w="4900" w:type="dxa"/>
            <w:tcBorders>
              <w:top w:val="single" w:sz="4" w:space="0" w:color="auto"/>
              <w:left w:val="single" w:sz="8" w:space="0" w:color="auto"/>
              <w:bottom w:val="single" w:sz="4" w:space="0" w:color="auto"/>
              <w:right w:val="single" w:sz="4" w:space="0" w:color="auto"/>
            </w:tcBorders>
            <w:vAlign w:val="center"/>
            <w:hideMark/>
          </w:tcPr>
          <w:p w14:paraId="6E172A57" w14:textId="77777777" w:rsidR="004A66F0" w:rsidRPr="004A66F0" w:rsidRDefault="004A66F0" w:rsidP="008D7BB4">
            <w:pPr>
              <w:spacing w:line="276" w:lineRule="auto"/>
              <w:contextualSpacing/>
              <w:rPr>
                <w:rFonts w:ascii="Times New Roman" w:eastAsia="Times New Roman" w:hAnsi="Times New Roman" w:cs="Times New Roman"/>
                <w:sz w:val="20"/>
                <w:szCs w:val="20"/>
                <w:lang w:eastAsia="es-GT"/>
              </w:rPr>
            </w:pPr>
            <w:r w:rsidRPr="004A66F0">
              <w:rPr>
                <w:rFonts w:ascii="Times New Roman" w:eastAsia="Times New Roman" w:hAnsi="Times New Roman" w:cs="Times New Roman"/>
                <w:sz w:val="20"/>
                <w:szCs w:val="20"/>
                <w:lang w:eastAsia="es-GT"/>
              </w:rPr>
              <w:t>El gasto total se sitúe en promedio en no menos del 13.8% del PIB</w:t>
            </w:r>
          </w:p>
        </w:tc>
        <w:tc>
          <w:tcPr>
            <w:tcW w:w="1200" w:type="dxa"/>
            <w:tcBorders>
              <w:top w:val="single" w:sz="4" w:space="0" w:color="auto"/>
              <w:left w:val="nil"/>
              <w:bottom w:val="single" w:sz="4" w:space="0" w:color="auto"/>
              <w:right w:val="single" w:sz="4" w:space="0" w:color="auto"/>
            </w:tcBorders>
            <w:noWrap/>
            <w:vAlign w:val="center"/>
            <w:hideMark/>
          </w:tcPr>
          <w:p w14:paraId="09C02EE4" w14:textId="77777777" w:rsidR="004A66F0" w:rsidRPr="004A66F0" w:rsidRDefault="004A66F0" w:rsidP="008D7BB4">
            <w:pPr>
              <w:spacing w:line="276" w:lineRule="auto"/>
              <w:contextualSpacing/>
              <w:jc w:val="center"/>
              <w:rPr>
                <w:rFonts w:ascii="Times New Roman" w:eastAsia="Times New Roman" w:hAnsi="Times New Roman" w:cs="Times New Roman"/>
                <w:sz w:val="20"/>
                <w:szCs w:val="20"/>
                <w:lang w:eastAsia="es-GT"/>
              </w:rPr>
            </w:pPr>
            <w:r w:rsidRPr="004A66F0">
              <w:rPr>
                <w:rFonts w:ascii="Times New Roman" w:eastAsia="Times New Roman" w:hAnsi="Times New Roman" w:cs="Times New Roman"/>
                <w:sz w:val="20"/>
                <w:szCs w:val="20"/>
                <w:lang w:eastAsia="es-GT"/>
              </w:rPr>
              <w:t>14.8%</w:t>
            </w:r>
          </w:p>
        </w:tc>
        <w:tc>
          <w:tcPr>
            <w:tcW w:w="1420" w:type="dxa"/>
            <w:tcBorders>
              <w:top w:val="single" w:sz="4" w:space="0" w:color="auto"/>
              <w:left w:val="nil"/>
              <w:bottom w:val="single" w:sz="4" w:space="0" w:color="auto"/>
              <w:right w:val="single" w:sz="8" w:space="0" w:color="auto"/>
            </w:tcBorders>
            <w:noWrap/>
            <w:vAlign w:val="center"/>
            <w:hideMark/>
          </w:tcPr>
          <w:p w14:paraId="2CD387DE" w14:textId="77777777" w:rsidR="004A66F0" w:rsidRPr="004A66F0" w:rsidRDefault="004A66F0" w:rsidP="008D7BB4">
            <w:pPr>
              <w:spacing w:line="276" w:lineRule="auto"/>
              <w:contextualSpacing/>
              <w:jc w:val="center"/>
              <w:rPr>
                <w:rFonts w:ascii="Times New Roman" w:eastAsia="Times New Roman" w:hAnsi="Times New Roman" w:cs="Times New Roman"/>
                <w:b/>
                <w:bCs/>
                <w:color w:val="00B0F0"/>
                <w:sz w:val="20"/>
                <w:szCs w:val="20"/>
                <w:lang w:eastAsia="es-GT"/>
              </w:rPr>
            </w:pPr>
            <w:r w:rsidRPr="004A66F0">
              <w:rPr>
                <w:rFonts w:ascii="Times New Roman" w:eastAsia="Times New Roman" w:hAnsi="Times New Roman" w:cs="Times New Roman"/>
                <w:b/>
                <w:bCs/>
                <w:color w:val="00B0F0"/>
                <w:sz w:val="20"/>
                <w:szCs w:val="20"/>
                <w:lang w:eastAsia="es-GT"/>
              </w:rPr>
              <w:t>Cumplido</w:t>
            </w:r>
          </w:p>
        </w:tc>
      </w:tr>
      <w:tr w:rsidR="004A66F0" w:rsidRPr="004A66F0" w14:paraId="66DA26BF" w14:textId="77777777" w:rsidTr="00F85317">
        <w:trPr>
          <w:trHeight w:val="510"/>
          <w:jc w:val="center"/>
        </w:trPr>
        <w:tc>
          <w:tcPr>
            <w:tcW w:w="4900" w:type="dxa"/>
            <w:tcBorders>
              <w:top w:val="single" w:sz="4" w:space="0" w:color="auto"/>
              <w:left w:val="single" w:sz="8" w:space="0" w:color="auto"/>
              <w:bottom w:val="single" w:sz="4" w:space="0" w:color="auto"/>
              <w:right w:val="single" w:sz="4" w:space="0" w:color="auto"/>
            </w:tcBorders>
            <w:vAlign w:val="center"/>
            <w:hideMark/>
          </w:tcPr>
          <w:p w14:paraId="66FAEA44" w14:textId="77777777" w:rsidR="004A66F0" w:rsidRPr="004A66F0" w:rsidRDefault="004A66F0" w:rsidP="008D7BB4">
            <w:pPr>
              <w:spacing w:line="276" w:lineRule="auto"/>
              <w:contextualSpacing/>
              <w:rPr>
                <w:rFonts w:ascii="Times New Roman" w:eastAsia="Times New Roman" w:hAnsi="Times New Roman" w:cs="Times New Roman"/>
                <w:sz w:val="20"/>
                <w:szCs w:val="20"/>
                <w:lang w:eastAsia="es-GT"/>
              </w:rPr>
            </w:pPr>
            <w:r w:rsidRPr="004A66F0">
              <w:rPr>
                <w:rFonts w:ascii="Times New Roman" w:eastAsia="Times New Roman" w:hAnsi="Times New Roman" w:cs="Times New Roman"/>
                <w:sz w:val="20"/>
                <w:szCs w:val="20"/>
                <w:lang w:eastAsia="es-GT"/>
              </w:rPr>
              <w:t>Asegurar que el gasto social (educación, salud y vivienda) sea igual o mayor al 5% del PIB</w:t>
            </w:r>
          </w:p>
        </w:tc>
        <w:tc>
          <w:tcPr>
            <w:tcW w:w="1200" w:type="dxa"/>
            <w:tcBorders>
              <w:top w:val="single" w:sz="4" w:space="0" w:color="auto"/>
              <w:left w:val="nil"/>
              <w:bottom w:val="single" w:sz="4" w:space="0" w:color="auto"/>
              <w:right w:val="single" w:sz="4" w:space="0" w:color="auto"/>
            </w:tcBorders>
            <w:noWrap/>
            <w:vAlign w:val="center"/>
            <w:hideMark/>
          </w:tcPr>
          <w:p w14:paraId="42FA0F77" w14:textId="77777777" w:rsidR="004A66F0" w:rsidRPr="004A66F0" w:rsidRDefault="004A66F0" w:rsidP="008D7BB4">
            <w:pPr>
              <w:spacing w:line="276" w:lineRule="auto"/>
              <w:contextualSpacing/>
              <w:jc w:val="center"/>
              <w:rPr>
                <w:rFonts w:ascii="Times New Roman" w:eastAsia="Times New Roman" w:hAnsi="Times New Roman" w:cs="Times New Roman"/>
                <w:sz w:val="20"/>
                <w:szCs w:val="20"/>
                <w:lang w:eastAsia="es-GT"/>
              </w:rPr>
            </w:pPr>
            <w:r w:rsidRPr="004A66F0">
              <w:rPr>
                <w:rFonts w:ascii="Times New Roman" w:eastAsia="Times New Roman" w:hAnsi="Times New Roman" w:cs="Times New Roman"/>
                <w:sz w:val="20"/>
                <w:szCs w:val="20"/>
                <w:lang w:eastAsia="es-GT"/>
              </w:rPr>
              <w:t>5.6%</w:t>
            </w:r>
          </w:p>
        </w:tc>
        <w:tc>
          <w:tcPr>
            <w:tcW w:w="1420" w:type="dxa"/>
            <w:tcBorders>
              <w:top w:val="single" w:sz="4" w:space="0" w:color="auto"/>
              <w:left w:val="nil"/>
              <w:bottom w:val="single" w:sz="4" w:space="0" w:color="auto"/>
              <w:right w:val="single" w:sz="8" w:space="0" w:color="auto"/>
            </w:tcBorders>
            <w:noWrap/>
            <w:vAlign w:val="center"/>
            <w:hideMark/>
          </w:tcPr>
          <w:p w14:paraId="0E301D21" w14:textId="77777777" w:rsidR="004A66F0" w:rsidRPr="004A66F0" w:rsidRDefault="004A66F0" w:rsidP="008D7BB4">
            <w:pPr>
              <w:spacing w:line="276" w:lineRule="auto"/>
              <w:contextualSpacing/>
              <w:jc w:val="center"/>
              <w:rPr>
                <w:rFonts w:ascii="Times New Roman" w:eastAsia="Times New Roman" w:hAnsi="Times New Roman" w:cs="Times New Roman"/>
                <w:b/>
                <w:bCs/>
                <w:color w:val="00B0F0"/>
                <w:sz w:val="20"/>
                <w:szCs w:val="20"/>
                <w:lang w:eastAsia="es-GT"/>
              </w:rPr>
            </w:pPr>
            <w:r w:rsidRPr="004A66F0">
              <w:rPr>
                <w:rFonts w:ascii="Times New Roman" w:eastAsia="Times New Roman" w:hAnsi="Times New Roman" w:cs="Times New Roman"/>
                <w:b/>
                <w:bCs/>
                <w:color w:val="00B0F0"/>
                <w:sz w:val="20"/>
                <w:szCs w:val="20"/>
                <w:lang w:eastAsia="es-GT"/>
              </w:rPr>
              <w:t>Cumplido</w:t>
            </w:r>
          </w:p>
        </w:tc>
      </w:tr>
      <w:tr w:rsidR="004A66F0" w:rsidRPr="004A66F0" w14:paraId="68CF77D7" w14:textId="77777777" w:rsidTr="00F85317">
        <w:trPr>
          <w:trHeight w:val="600"/>
          <w:jc w:val="center"/>
        </w:trPr>
        <w:tc>
          <w:tcPr>
            <w:tcW w:w="4900" w:type="dxa"/>
            <w:tcBorders>
              <w:top w:val="single" w:sz="4" w:space="0" w:color="auto"/>
              <w:left w:val="single" w:sz="8" w:space="0" w:color="auto"/>
              <w:bottom w:val="single" w:sz="4" w:space="0" w:color="auto"/>
              <w:right w:val="single" w:sz="4" w:space="0" w:color="auto"/>
            </w:tcBorders>
            <w:vAlign w:val="center"/>
            <w:hideMark/>
          </w:tcPr>
          <w:p w14:paraId="5A0D4A39" w14:textId="77777777" w:rsidR="004A66F0" w:rsidRPr="004A66F0" w:rsidRDefault="004A66F0" w:rsidP="008D7BB4">
            <w:pPr>
              <w:spacing w:line="276" w:lineRule="auto"/>
              <w:contextualSpacing/>
              <w:rPr>
                <w:rFonts w:ascii="Times New Roman" w:eastAsia="Times New Roman" w:hAnsi="Times New Roman" w:cs="Times New Roman"/>
                <w:sz w:val="20"/>
                <w:szCs w:val="20"/>
                <w:lang w:eastAsia="es-GT"/>
              </w:rPr>
            </w:pPr>
            <w:r w:rsidRPr="004A66F0">
              <w:rPr>
                <w:rFonts w:ascii="Times New Roman" w:eastAsia="Times New Roman" w:hAnsi="Times New Roman" w:cs="Times New Roman"/>
                <w:sz w:val="20"/>
                <w:szCs w:val="20"/>
                <w:lang w:eastAsia="es-GT"/>
              </w:rPr>
              <w:t>Alcanzar un nivel de gasto de capital promedio no menor al 2.4% del PIB</w:t>
            </w:r>
          </w:p>
        </w:tc>
        <w:tc>
          <w:tcPr>
            <w:tcW w:w="1200" w:type="dxa"/>
            <w:tcBorders>
              <w:top w:val="single" w:sz="4" w:space="0" w:color="auto"/>
              <w:left w:val="nil"/>
              <w:bottom w:val="single" w:sz="4" w:space="0" w:color="auto"/>
              <w:right w:val="single" w:sz="4" w:space="0" w:color="auto"/>
            </w:tcBorders>
            <w:noWrap/>
            <w:vAlign w:val="center"/>
            <w:hideMark/>
          </w:tcPr>
          <w:p w14:paraId="4AE54892" w14:textId="77777777" w:rsidR="004A66F0" w:rsidRPr="004A66F0" w:rsidRDefault="004A66F0" w:rsidP="008D7BB4">
            <w:pPr>
              <w:spacing w:line="276" w:lineRule="auto"/>
              <w:contextualSpacing/>
              <w:jc w:val="center"/>
              <w:rPr>
                <w:rFonts w:ascii="Times New Roman" w:eastAsia="Times New Roman" w:hAnsi="Times New Roman" w:cs="Times New Roman"/>
                <w:sz w:val="20"/>
                <w:szCs w:val="20"/>
                <w:lang w:eastAsia="es-GT"/>
              </w:rPr>
            </w:pPr>
            <w:r w:rsidRPr="004A66F0">
              <w:rPr>
                <w:rFonts w:ascii="Times New Roman" w:eastAsia="Times New Roman" w:hAnsi="Times New Roman" w:cs="Times New Roman"/>
                <w:sz w:val="20"/>
                <w:szCs w:val="20"/>
                <w:lang w:eastAsia="es-GT"/>
              </w:rPr>
              <w:t>2.5%</w:t>
            </w:r>
          </w:p>
        </w:tc>
        <w:tc>
          <w:tcPr>
            <w:tcW w:w="1420" w:type="dxa"/>
            <w:tcBorders>
              <w:top w:val="single" w:sz="4" w:space="0" w:color="auto"/>
              <w:left w:val="nil"/>
              <w:bottom w:val="single" w:sz="4" w:space="0" w:color="auto"/>
              <w:right w:val="single" w:sz="8" w:space="0" w:color="auto"/>
            </w:tcBorders>
            <w:noWrap/>
            <w:vAlign w:val="center"/>
            <w:hideMark/>
          </w:tcPr>
          <w:p w14:paraId="591DD70A" w14:textId="77777777" w:rsidR="004A66F0" w:rsidRPr="004A66F0" w:rsidRDefault="004A66F0" w:rsidP="008D7BB4">
            <w:pPr>
              <w:spacing w:line="276" w:lineRule="auto"/>
              <w:contextualSpacing/>
              <w:jc w:val="center"/>
              <w:rPr>
                <w:rFonts w:ascii="Times New Roman" w:eastAsia="Times New Roman" w:hAnsi="Times New Roman" w:cs="Times New Roman"/>
                <w:b/>
                <w:bCs/>
                <w:color w:val="00B0F0"/>
                <w:sz w:val="20"/>
                <w:szCs w:val="20"/>
                <w:lang w:eastAsia="es-GT"/>
              </w:rPr>
            </w:pPr>
            <w:r w:rsidRPr="004A66F0">
              <w:rPr>
                <w:rFonts w:ascii="Times New Roman" w:eastAsia="Times New Roman" w:hAnsi="Times New Roman" w:cs="Times New Roman"/>
                <w:b/>
                <w:bCs/>
                <w:color w:val="00B0F0"/>
                <w:sz w:val="20"/>
                <w:szCs w:val="20"/>
                <w:lang w:eastAsia="es-GT"/>
              </w:rPr>
              <w:t>Cumplido</w:t>
            </w:r>
          </w:p>
        </w:tc>
      </w:tr>
      <w:tr w:rsidR="004A66F0" w:rsidRPr="004A66F0" w14:paraId="777AAFE7" w14:textId="77777777" w:rsidTr="00F85317">
        <w:trPr>
          <w:trHeight w:val="510"/>
          <w:jc w:val="center"/>
        </w:trPr>
        <w:tc>
          <w:tcPr>
            <w:tcW w:w="4900" w:type="dxa"/>
            <w:tcBorders>
              <w:top w:val="single" w:sz="4" w:space="0" w:color="auto"/>
              <w:left w:val="single" w:sz="8" w:space="0" w:color="auto"/>
              <w:bottom w:val="single" w:sz="4" w:space="0" w:color="auto"/>
              <w:right w:val="single" w:sz="4" w:space="0" w:color="auto"/>
            </w:tcBorders>
            <w:vAlign w:val="bottom"/>
            <w:hideMark/>
          </w:tcPr>
          <w:p w14:paraId="7A3571CE" w14:textId="77777777" w:rsidR="004A66F0" w:rsidRPr="004A66F0" w:rsidRDefault="004A66F0" w:rsidP="008D7BB4">
            <w:pPr>
              <w:spacing w:line="276" w:lineRule="auto"/>
              <w:contextualSpacing/>
              <w:rPr>
                <w:rFonts w:ascii="Times New Roman" w:eastAsia="Times New Roman" w:hAnsi="Times New Roman" w:cs="Times New Roman"/>
                <w:sz w:val="20"/>
                <w:szCs w:val="20"/>
                <w:lang w:eastAsia="es-GT"/>
              </w:rPr>
            </w:pPr>
            <w:r w:rsidRPr="004A66F0">
              <w:rPr>
                <w:rFonts w:ascii="Times New Roman" w:eastAsia="Times New Roman" w:hAnsi="Times New Roman" w:cs="Times New Roman"/>
                <w:sz w:val="20"/>
                <w:szCs w:val="20"/>
                <w:lang w:eastAsia="es-GT"/>
              </w:rPr>
              <w:t>Lograr que el déficit fiscal en promedio se ubique en 2.2% del PIB (debe mostrar una tendencia decreciente)</w:t>
            </w:r>
          </w:p>
        </w:tc>
        <w:tc>
          <w:tcPr>
            <w:tcW w:w="1200" w:type="dxa"/>
            <w:tcBorders>
              <w:top w:val="single" w:sz="4" w:space="0" w:color="auto"/>
              <w:left w:val="nil"/>
              <w:bottom w:val="single" w:sz="4" w:space="0" w:color="auto"/>
              <w:right w:val="single" w:sz="4" w:space="0" w:color="auto"/>
            </w:tcBorders>
            <w:noWrap/>
            <w:vAlign w:val="center"/>
            <w:hideMark/>
          </w:tcPr>
          <w:p w14:paraId="6F5BF1F4" w14:textId="77777777" w:rsidR="004A66F0" w:rsidRPr="004A66F0" w:rsidRDefault="004A66F0" w:rsidP="008D7BB4">
            <w:pPr>
              <w:spacing w:line="276" w:lineRule="auto"/>
              <w:contextualSpacing/>
              <w:jc w:val="center"/>
              <w:rPr>
                <w:rFonts w:ascii="Times New Roman" w:eastAsia="Times New Roman" w:hAnsi="Times New Roman" w:cs="Times New Roman"/>
                <w:sz w:val="20"/>
                <w:szCs w:val="20"/>
                <w:lang w:eastAsia="es-GT"/>
              </w:rPr>
            </w:pPr>
            <w:r w:rsidRPr="004A66F0">
              <w:rPr>
                <w:rFonts w:ascii="Times New Roman" w:eastAsia="Times New Roman" w:hAnsi="Times New Roman" w:cs="Times New Roman"/>
                <w:sz w:val="20"/>
                <w:szCs w:val="20"/>
                <w:lang w:eastAsia="es-GT"/>
              </w:rPr>
              <w:t>1.7%</w:t>
            </w:r>
          </w:p>
        </w:tc>
        <w:tc>
          <w:tcPr>
            <w:tcW w:w="1420" w:type="dxa"/>
            <w:tcBorders>
              <w:top w:val="single" w:sz="4" w:space="0" w:color="auto"/>
              <w:left w:val="nil"/>
              <w:bottom w:val="single" w:sz="4" w:space="0" w:color="auto"/>
              <w:right w:val="single" w:sz="8" w:space="0" w:color="auto"/>
            </w:tcBorders>
            <w:noWrap/>
            <w:vAlign w:val="center"/>
            <w:hideMark/>
          </w:tcPr>
          <w:p w14:paraId="355E233D" w14:textId="77777777" w:rsidR="004A66F0" w:rsidRPr="004A66F0" w:rsidRDefault="004A66F0" w:rsidP="008D7BB4">
            <w:pPr>
              <w:spacing w:line="276" w:lineRule="auto"/>
              <w:contextualSpacing/>
              <w:jc w:val="center"/>
              <w:rPr>
                <w:rFonts w:ascii="Times New Roman" w:eastAsia="Times New Roman" w:hAnsi="Times New Roman" w:cs="Times New Roman"/>
                <w:b/>
                <w:bCs/>
                <w:color w:val="00B0F0"/>
                <w:sz w:val="20"/>
                <w:szCs w:val="20"/>
                <w:lang w:eastAsia="es-GT"/>
              </w:rPr>
            </w:pPr>
            <w:r w:rsidRPr="004A66F0">
              <w:rPr>
                <w:rFonts w:ascii="Times New Roman" w:eastAsia="Times New Roman" w:hAnsi="Times New Roman" w:cs="Times New Roman"/>
                <w:b/>
                <w:bCs/>
                <w:color w:val="00B0F0"/>
                <w:sz w:val="20"/>
                <w:szCs w:val="20"/>
                <w:lang w:eastAsia="es-GT"/>
              </w:rPr>
              <w:t>Cumplido</w:t>
            </w:r>
          </w:p>
        </w:tc>
      </w:tr>
      <w:tr w:rsidR="004A66F0" w:rsidRPr="004A66F0" w14:paraId="4428B28A" w14:textId="77777777" w:rsidTr="00F85317">
        <w:trPr>
          <w:trHeight w:val="510"/>
          <w:jc w:val="center"/>
        </w:trPr>
        <w:tc>
          <w:tcPr>
            <w:tcW w:w="4900" w:type="dxa"/>
            <w:tcBorders>
              <w:top w:val="single" w:sz="4" w:space="0" w:color="auto"/>
              <w:left w:val="single" w:sz="8" w:space="0" w:color="auto"/>
              <w:bottom w:val="single" w:sz="8" w:space="0" w:color="auto"/>
              <w:right w:val="single" w:sz="4" w:space="0" w:color="auto"/>
            </w:tcBorders>
            <w:vAlign w:val="center"/>
            <w:hideMark/>
          </w:tcPr>
          <w:p w14:paraId="38BB1B77" w14:textId="77777777" w:rsidR="004A66F0" w:rsidRPr="004A66F0" w:rsidRDefault="004A66F0" w:rsidP="008D7BB4">
            <w:pPr>
              <w:spacing w:line="276" w:lineRule="auto"/>
              <w:contextualSpacing/>
              <w:rPr>
                <w:rFonts w:ascii="Times New Roman" w:eastAsia="Times New Roman" w:hAnsi="Times New Roman" w:cs="Times New Roman"/>
                <w:sz w:val="20"/>
                <w:szCs w:val="20"/>
                <w:lang w:eastAsia="es-GT"/>
              </w:rPr>
            </w:pPr>
            <w:r w:rsidRPr="004A66F0">
              <w:rPr>
                <w:rFonts w:ascii="Times New Roman" w:eastAsia="Times New Roman" w:hAnsi="Times New Roman" w:cs="Times New Roman"/>
                <w:sz w:val="20"/>
                <w:szCs w:val="20"/>
                <w:lang w:eastAsia="es-GT"/>
              </w:rPr>
              <w:t xml:space="preserve">Lograr un nivel de deuda pública no mayor al 40% del PIB. </w:t>
            </w:r>
          </w:p>
        </w:tc>
        <w:tc>
          <w:tcPr>
            <w:tcW w:w="1200" w:type="dxa"/>
            <w:tcBorders>
              <w:top w:val="single" w:sz="4" w:space="0" w:color="auto"/>
              <w:left w:val="nil"/>
              <w:bottom w:val="single" w:sz="8" w:space="0" w:color="auto"/>
              <w:right w:val="single" w:sz="4" w:space="0" w:color="auto"/>
            </w:tcBorders>
            <w:noWrap/>
            <w:vAlign w:val="center"/>
            <w:hideMark/>
          </w:tcPr>
          <w:p w14:paraId="7D198975" w14:textId="77777777" w:rsidR="004A66F0" w:rsidRPr="004A66F0" w:rsidRDefault="004A66F0" w:rsidP="008D7BB4">
            <w:pPr>
              <w:spacing w:line="276" w:lineRule="auto"/>
              <w:contextualSpacing/>
              <w:jc w:val="center"/>
              <w:rPr>
                <w:rFonts w:ascii="Times New Roman" w:eastAsia="Times New Roman" w:hAnsi="Times New Roman" w:cs="Times New Roman"/>
                <w:sz w:val="20"/>
                <w:szCs w:val="20"/>
                <w:lang w:eastAsia="es-GT"/>
              </w:rPr>
            </w:pPr>
            <w:r w:rsidRPr="004A66F0">
              <w:rPr>
                <w:rFonts w:ascii="Times New Roman" w:eastAsia="Times New Roman" w:hAnsi="Times New Roman" w:cs="Times New Roman"/>
                <w:sz w:val="20"/>
                <w:szCs w:val="20"/>
                <w:lang w:eastAsia="es-GT"/>
              </w:rPr>
              <w:t>29.3%</w:t>
            </w:r>
          </w:p>
        </w:tc>
        <w:tc>
          <w:tcPr>
            <w:tcW w:w="1420" w:type="dxa"/>
            <w:tcBorders>
              <w:top w:val="single" w:sz="4" w:space="0" w:color="auto"/>
              <w:left w:val="nil"/>
              <w:bottom w:val="single" w:sz="8" w:space="0" w:color="auto"/>
              <w:right w:val="single" w:sz="8" w:space="0" w:color="auto"/>
            </w:tcBorders>
            <w:noWrap/>
            <w:vAlign w:val="center"/>
            <w:hideMark/>
          </w:tcPr>
          <w:p w14:paraId="57BB368D" w14:textId="77777777" w:rsidR="004A66F0" w:rsidRPr="004A66F0" w:rsidRDefault="004A66F0" w:rsidP="008D7BB4">
            <w:pPr>
              <w:spacing w:line="276" w:lineRule="auto"/>
              <w:contextualSpacing/>
              <w:jc w:val="center"/>
              <w:rPr>
                <w:rFonts w:ascii="Times New Roman" w:eastAsia="Times New Roman" w:hAnsi="Times New Roman" w:cs="Times New Roman"/>
                <w:b/>
                <w:bCs/>
                <w:color w:val="00B0F0"/>
                <w:sz w:val="20"/>
                <w:szCs w:val="20"/>
                <w:lang w:eastAsia="es-GT"/>
              </w:rPr>
            </w:pPr>
            <w:r w:rsidRPr="004A66F0">
              <w:rPr>
                <w:rFonts w:ascii="Times New Roman" w:eastAsia="Times New Roman" w:hAnsi="Times New Roman" w:cs="Times New Roman"/>
                <w:b/>
                <w:bCs/>
                <w:color w:val="00B0F0"/>
                <w:sz w:val="20"/>
                <w:szCs w:val="20"/>
                <w:lang w:eastAsia="es-GT"/>
              </w:rPr>
              <w:t>Cumplido</w:t>
            </w:r>
          </w:p>
        </w:tc>
      </w:tr>
    </w:tbl>
    <w:p w14:paraId="68562083" w14:textId="77777777" w:rsidR="004A66F0" w:rsidRPr="004A66F0" w:rsidRDefault="004A66F0" w:rsidP="008D7BB4">
      <w:pPr>
        <w:spacing w:line="276" w:lineRule="auto"/>
        <w:ind w:firstLine="708"/>
        <w:contextualSpacing/>
        <w:rPr>
          <w:rFonts w:ascii="Times New Roman" w:eastAsia="Times New Roman" w:hAnsi="Times New Roman" w:cs="Times New Roman"/>
          <w:sz w:val="18"/>
          <w:szCs w:val="18"/>
        </w:rPr>
      </w:pPr>
      <w:r w:rsidRPr="004A66F0">
        <w:rPr>
          <w:rFonts w:ascii="Times New Roman" w:eastAsia="Times New Roman" w:hAnsi="Times New Roman" w:cs="Times New Roman"/>
          <w:sz w:val="18"/>
          <w:szCs w:val="18"/>
        </w:rPr>
        <w:t>Fuente: Dirección de Análisis y Política Fiscal</w:t>
      </w:r>
    </w:p>
    <w:p w14:paraId="4B2A2D43" w14:textId="77777777" w:rsidR="004A66F0" w:rsidRPr="004A66F0" w:rsidRDefault="004A66F0" w:rsidP="008D7BB4">
      <w:pPr>
        <w:spacing w:line="276" w:lineRule="auto"/>
        <w:contextualSpacing/>
        <w:jc w:val="both"/>
        <w:rPr>
          <w:rFonts w:ascii="Times New Roman" w:eastAsia="Times New Roman" w:hAnsi="Times New Roman" w:cs="Times New Roman"/>
          <w:sz w:val="22"/>
          <w:szCs w:val="22"/>
        </w:rPr>
      </w:pPr>
    </w:p>
    <w:p w14:paraId="2C173DDB" w14:textId="77777777" w:rsidR="004A66F0" w:rsidRPr="004A66F0" w:rsidRDefault="004A66F0" w:rsidP="008D7BB4">
      <w:pPr>
        <w:spacing w:line="276" w:lineRule="auto"/>
        <w:contextualSpacing/>
        <w:jc w:val="both"/>
        <w:rPr>
          <w:rFonts w:ascii="Times New Roman" w:eastAsia="Times New Roman" w:hAnsi="Times New Roman" w:cs="Times New Roman"/>
          <w:sz w:val="22"/>
          <w:szCs w:val="22"/>
        </w:rPr>
      </w:pPr>
      <w:r w:rsidRPr="004A66F0">
        <w:rPr>
          <w:rFonts w:ascii="Times New Roman" w:eastAsia="Times New Roman" w:hAnsi="Times New Roman" w:cs="Times New Roman"/>
          <w:sz w:val="22"/>
          <w:szCs w:val="22"/>
        </w:rPr>
        <w:t xml:space="preserve">En ese sentido, al analizar los resultados de 2022, se observa que para todas las Metas de Política Fiscal fijadas en el Marco Fiscal de Mediano Plazo 2022-2026, para los indicadores fiscales se encuentran con estado “cumplido”, derivado del buen desempeño que tuvo la política fiscal en suavizar los shocks externos manteniendo una ejecución prudente, a pesar del buen desempeño en materia tributaria. Lo cual permitió un manejo de las finanzas públicas positivo que propició un déficit fiscal moderado y la sostenibilidad de la deuda pública, colocando a Guatemala entre los pocos países que han reducido este indicador respecto al PIB. </w:t>
      </w:r>
    </w:p>
    <w:p w14:paraId="12ACBE39" w14:textId="77777777" w:rsidR="004A66F0" w:rsidRPr="004A66F0" w:rsidRDefault="004A66F0" w:rsidP="008D7BB4">
      <w:pPr>
        <w:spacing w:line="276" w:lineRule="auto"/>
        <w:contextualSpacing/>
        <w:rPr>
          <w:rFonts w:ascii="Times New Roman" w:eastAsia="Times New Roman" w:hAnsi="Times New Roman" w:cs="Times New Roman"/>
          <w:sz w:val="22"/>
          <w:szCs w:val="22"/>
          <w:lang w:eastAsia="es-ES"/>
        </w:rPr>
      </w:pPr>
    </w:p>
    <w:p w14:paraId="080A4503" w14:textId="77777777" w:rsidR="004A66F0" w:rsidRPr="00A36506" w:rsidRDefault="004A66F0" w:rsidP="008D7BB4">
      <w:pPr>
        <w:pStyle w:val="Prrafodelista"/>
        <w:keepNext/>
        <w:keepLines/>
        <w:numPr>
          <w:ilvl w:val="1"/>
          <w:numId w:val="20"/>
        </w:numPr>
        <w:tabs>
          <w:tab w:val="left" w:pos="1134"/>
        </w:tabs>
        <w:spacing w:line="276" w:lineRule="auto"/>
        <w:jc w:val="both"/>
        <w:outlineLvl w:val="1"/>
        <w:rPr>
          <w:rFonts w:ascii="Times New Roman" w:eastAsiaTheme="majorEastAsia" w:hAnsi="Times New Roman" w:cs="Times New Roman"/>
          <w:b/>
          <w:bCs/>
        </w:rPr>
      </w:pPr>
      <w:bookmarkStart w:id="84" w:name="_Toc125723293"/>
      <w:r w:rsidRPr="00A36506">
        <w:rPr>
          <w:rFonts w:ascii="Times New Roman" w:eastAsiaTheme="majorEastAsia" w:hAnsi="Times New Roman" w:cs="Times New Roman"/>
          <w:b/>
          <w:bCs/>
        </w:rPr>
        <w:t>Orientación de la política fiscal en 2022</w:t>
      </w:r>
      <w:bookmarkEnd w:id="84"/>
    </w:p>
    <w:p w14:paraId="0D062F54" w14:textId="77777777" w:rsidR="004A66F0" w:rsidRPr="004A66F0" w:rsidRDefault="004A66F0" w:rsidP="008D7BB4">
      <w:pPr>
        <w:spacing w:line="276" w:lineRule="auto"/>
        <w:contextualSpacing/>
        <w:rPr>
          <w:rFonts w:ascii="Calibri" w:eastAsia="Times New Roman" w:hAnsi="Calibri" w:cs="Times New Roman"/>
          <w:sz w:val="22"/>
          <w:lang w:val="es-ES_tradnl" w:eastAsia="es-ES"/>
        </w:rPr>
      </w:pPr>
    </w:p>
    <w:p w14:paraId="41525593" w14:textId="5B3C78BE" w:rsidR="004A66F0" w:rsidRPr="004A66F0" w:rsidRDefault="004A66F0" w:rsidP="008D7BB4">
      <w:pPr>
        <w:spacing w:line="276" w:lineRule="auto"/>
        <w:contextualSpacing/>
        <w:jc w:val="both"/>
        <w:rPr>
          <w:rFonts w:ascii="Times New Roman" w:hAnsi="Times New Roman" w:cs="Times New Roman"/>
          <w:sz w:val="22"/>
          <w:szCs w:val="22"/>
          <w:lang w:val="es-ES_tradnl" w:eastAsia="es-ES"/>
        </w:rPr>
      </w:pPr>
      <w:r w:rsidRPr="004A66F0">
        <w:rPr>
          <w:rFonts w:ascii="Times New Roman" w:hAnsi="Times New Roman" w:cs="Times New Roman"/>
          <w:sz w:val="22"/>
          <w:szCs w:val="22"/>
          <w:lang w:val="es-ES_tradnl" w:eastAsia="es-ES"/>
        </w:rPr>
        <w:t xml:space="preserve">Después del fuerte estímulo fiscal que se dio a la economía nacional en 2020, derivado de la crisis provocada por la pandemia del COVID-19, la cual permitió que la economía no tuviera una fuerte contracción económica como ocurrió con muchos países en América Latina y el resto del mundo, facilitando con ello que en 2021 se observara una vigorosa recuperación económica en forma de </w:t>
      </w:r>
      <w:r w:rsidR="00135705">
        <w:rPr>
          <w:rFonts w:ascii="Times New Roman" w:hAnsi="Times New Roman" w:cs="Times New Roman"/>
          <w:sz w:val="22"/>
          <w:szCs w:val="22"/>
          <w:lang w:val="es-ES_tradnl" w:eastAsia="es-ES"/>
        </w:rPr>
        <w:t>“</w:t>
      </w:r>
      <w:r w:rsidRPr="004A66F0">
        <w:rPr>
          <w:rFonts w:ascii="Times New Roman" w:hAnsi="Times New Roman" w:cs="Times New Roman"/>
          <w:sz w:val="22"/>
          <w:szCs w:val="22"/>
          <w:lang w:val="es-ES_tradnl" w:eastAsia="es-ES"/>
        </w:rPr>
        <w:t>V</w:t>
      </w:r>
      <w:r w:rsidR="00135705">
        <w:rPr>
          <w:rFonts w:ascii="Times New Roman" w:hAnsi="Times New Roman" w:cs="Times New Roman"/>
          <w:sz w:val="22"/>
          <w:szCs w:val="22"/>
          <w:lang w:val="es-ES_tradnl" w:eastAsia="es-ES"/>
        </w:rPr>
        <w:t>”</w:t>
      </w:r>
      <w:r w:rsidRPr="004A66F0">
        <w:rPr>
          <w:rFonts w:ascii="Times New Roman" w:hAnsi="Times New Roman" w:cs="Times New Roman"/>
          <w:sz w:val="22"/>
          <w:szCs w:val="22"/>
          <w:lang w:val="es-ES_tradnl" w:eastAsia="es-ES"/>
        </w:rPr>
        <w:t xml:space="preserve">, </w:t>
      </w:r>
      <w:r w:rsidRPr="004A66F0">
        <w:rPr>
          <w:rFonts w:ascii="Times New Roman" w:hAnsi="Times New Roman" w:cs="Times New Roman"/>
          <w:sz w:val="22"/>
          <w:szCs w:val="22"/>
          <w:lang w:val="es-ES_tradnl" w:eastAsia="es-ES"/>
        </w:rPr>
        <w:lastRenderedPageBreak/>
        <w:t>la cual se produce luego de un freno brusco del crecimiento de la economía, pero una vuelta a la “normalidad” que también fue bastante rápida</w:t>
      </w:r>
      <w:r w:rsidR="00135705">
        <w:rPr>
          <w:rFonts w:ascii="Times New Roman" w:hAnsi="Times New Roman" w:cs="Times New Roman"/>
          <w:sz w:val="22"/>
          <w:szCs w:val="22"/>
          <w:lang w:val="es-ES_tradnl" w:eastAsia="es-ES"/>
        </w:rPr>
        <w:t>, e</w:t>
      </w:r>
      <w:r w:rsidRPr="004A66F0">
        <w:rPr>
          <w:rFonts w:ascii="Times New Roman" w:hAnsi="Times New Roman" w:cs="Times New Roman"/>
          <w:sz w:val="22"/>
          <w:szCs w:val="22"/>
          <w:lang w:val="es-ES_tradnl" w:eastAsia="es-ES"/>
        </w:rPr>
        <w:t>ste es el escenario de recuperación que los expertos consideran como el más dinámico</w:t>
      </w:r>
      <w:r w:rsidR="00531450">
        <w:rPr>
          <w:rFonts w:ascii="Times New Roman" w:hAnsi="Times New Roman" w:cs="Times New Roman"/>
          <w:sz w:val="22"/>
          <w:szCs w:val="22"/>
          <w:lang w:val="es-ES_tradnl" w:eastAsia="es-ES"/>
        </w:rPr>
        <w:t>.  D</w:t>
      </w:r>
      <w:r w:rsidRPr="004A66F0">
        <w:rPr>
          <w:rFonts w:ascii="Times New Roman" w:hAnsi="Times New Roman" w:cs="Times New Roman"/>
          <w:sz w:val="22"/>
          <w:szCs w:val="22"/>
          <w:lang w:val="es-ES_tradnl" w:eastAsia="es-ES"/>
        </w:rPr>
        <w:t xml:space="preserve">erivado de esta recuperación, los ingresos tributarios crecieron a tasas no vistas en años anteriores, y el gasto público fue moderado, revelando que la postura del gobierno en este año fuera contractiva y </w:t>
      </w:r>
      <w:proofErr w:type="spellStart"/>
      <w:r w:rsidRPr="004A66F0">
        <w:rPr>
          <w:rFonts w:ascii="Times New Roman" w:hAnsi="Times New Roman" w:cs="Times New Roman"/>
          <w:sz w:val="22"/>
          <w:szCs w:val="22"/>
          <w:lang w:val="es-ES_tradnl" w:eastAsia="es-ES"/>
        </w:rPr>
        <w:t>contra-cíclica</w:t>
      </w:r>
      <w:proofErr w:type="spellEnd"/>
      <w:r w:rsidRPr="004A66F0">
        <w:rPr>
          <w:rFonts w:ascii="Times New Roman" w:hAnsi="Times New Roman" w:cs="Times New Roman"/>
          <w:sz w:val="22"/>
          <w:szCs w:val="22"/>
          <w:lang w:val="es-ES_tradnl" w:eastAsia="es-ES"/>
        </w:rPr>
        <w:t xml:space="preserve">, la cual se identifica por: </w:t>
      </w:r>
    </w:p>
    <w:p w14:paraId="0EA9BAC0" w14:textId="77777777" w:rsidR="004A66F0" w:rsidRPr="004A66F0" w:rsidRDefault="004A66F0" w:rsidP="008D7BB4">
      <w:pPr>
        <w:spacing w:line="276" w:lineRule="auto"/>
        <w:contextualSpacing/>
        <w:jc w:val="both"/>
        <w:rPr>
          <w:rFonts w:ascii="Times New Roman" w:hAnsi="Times New Roman" w:cs="Times New Roman"/>
          <w:sz w:val="22"/>
          <w:szCs w:val="22"/>
          <w:lang w:val="es-ES_tradnl" w:eastAsia="es-ES"/>
        </w:rPr>
      </w:pPr>
    </w:p>
    <w:p w14:paraId="206E2321" w14:textId="77777777" w:rsidR="004A66F0" w:rsidRPr="004A66F0" w:rsidRDefault="004A66F0" w:rsidP="008D7BB4">
      <w:pPr>
        <w:numPr>
          <w:ilvl w:val="0"/>
          <w:numId w:val="29"/>
        </w:numPr>
        <w:spacing w:line="276" w:lineRule="auto"/>
        <w:contextualSpacing/>
        <w:jc w:val="both"/>
        <w:rPr>
          <w:rFonts w:ascii="Times New Roman" w:eastAsia="Times New Roman" w:hAnsi="Times New Roman" w:cs="Times New Roman"/>
          <w:sz w:val="22"/>
          <w:szCs w:val="22"/>
        </w:rPr>
      </w:pPr>
      <w:r w:rsidRPr="004A66F0">
        <w:rPr>
          <w:rFonts w:ascii="Times New Roman" w:eastAsia="Times New Roman" w:hAnsi="Times New Roman" w:cs="Times New Roman"/>
          <w:sz w:val="22"/>
          <w:szCs w:val="22"/>
          <w:lang w:val="es-ES_tradnl"/>
        </w:rPr>
        <w:t>U</w:t>
      </w:r>
      <w:r w:rsidRPr="004A66F0">
        <w:rPr>
          <w:rFonts w:ascii="Times New Roman" w:eastAsia="Times New Roman" w:hAnsi="Times New Roman" w:cs="Times New Roman"/>
          <w:sz w:val="22"/>
          <w:szCs w:val="22"/>
        </w:rPr>
        <w:t>n período de alta disponibilidad de ingresos, el gobierno optó por una postura moderada en cuanto al gasto público recortando el estímulo realizado en 2020 y únicamente atendió el gasto necesario en salud pública para contener la enfermedad e inmunizar a la población.</w:t>
      </w:r>
    </w:p>
    <w:p w14:paraId="3C46787D" w14:textId="77777777" w:rsidR="004A66F0" w:rsidRPr="004A66F0" w:rsidRDefault="004A66F0" w:rsidP="008D7BB4">
      <w:pPr>
        <w:numPr>
          <w:ilvl w:val="0"/>
          <w:numId w:val="29"/>
        </w:numPr>
        <w:spacing w:line="276" w:lineRule="auto"/>
        <w:contextualSpacing/>
        <w:jc w:val="both"/>
        <w:rPr>
          <w:rFonts w:ascii="Times New Roman" w:eastAsia="Times New Roman" w:hAnsi="Times New Roman" w:cs="Times New Roman"/>
          <w:sz w:val="22"/>
          <w:szCs w:val="22"/>
        </w:rPr>
      </w:pPr>
      <w:r w:rsidRPr="004A66F0">
        <w:rPr>
          <w:rFonts w:ascii="Times New Roman" w:eastAsia="Times New Roman" w:hAnsi="Times New Roman" w:cs="Times New Roman"/>
          <w:sz w:val="22"/>
          <w:szCs w:val="22"/>
        </w:rPr>
        <w:t>El presupuesto no fue aprobado para el ejercicio 2021 y el gasto público respecto al PIB fue menor en 2.1% del PIB respecto al 2020</w:t>
      </w:r>
    </w:p>
    <w:p w14:paraId="76892288" w14:textId="77777777" w:rsidR="004A66F0" w:rsidRPr="004A66F0" w:rsidRDefault="004A66F0" w:rsidP="008D7BB4">
      <w:pPr>
        <w:spacing w:line="276" w:lineRule="auto"/>
        <w:contextualSpacing/>
        <w:jc w:val="both"/>
        <w:rPr>
          <w:rFonts w:ascii="Times New Roman" w:hAnsi="Times New Roman" w:cs="Times New Roman"/>
          <w:sz w:val="22"/>
          <w:szCs w:val="22"/>
          <w:lang w:eastAsia="es-ES"/>
        </w:rPr>
      </w:pPr>
    </w:p>
    <w:p w14:paraId="05FEB46B" w14:textId="77777777" w:rsidR="004A66F0" w:rsidRPr="004A66F0" w:rsidRDefault="004A66F0" w:rsidP="008D7BB4">
      <w:pPr>
        <w:spacing w:line="276" w:lineRule="auto"/>
        <w:contextualSpacing/>
        <w:jc w:val="both"/>
        <w:rPr>
          <w:rFonts w:ascii="Times New Roman" w:hAnsi="Times New Roman" w:cs="Times New Roman"/>
          <w:sz w:val="22"/>
          <w:szCs w:val="22"/>
          <w:lang w:val="es-ES_tradnl" w:eastAsia="es-ES"/>
        </w:rPr>
      </w:pPr>
      <w:r w:rsidRPr="004A66F0">
        <w:rPr>
          <w:rFonts w:ascii="Times New Roman" w:hAnsi="Times New Roman" w:cs="Times New Roman"/>
          <w:sz w:val="22"/>
          <w:szCs w:val="22"/>
          <w:lang w:eastAsia="es-ES"/>
        </w:rPr>
        <w:t>Se</w:t>
      </w:r>
      <w:r w:rsidRPr="004A66F0">
        <w:rPr>
          <w:rFonts w:ascii="Times New Roman" w:hAnsi="Times New Roman" w:cs="Times New Roman"/>
          <w:sz w:val="22"/>
          <w:szCs w:val="22"/>
          <w:lang w:val="es-ES_tradnl" w:eastAsia="es-ES"/>
        </w:rPr>
        <w:t xml:space="preserve"> optó por una política fiscal de menor intervención, derivado que la actividad económica desde el primer trimestre mostró signos de recuperación y tomando en consideración que la evolución del gasto público afecta de forma directa a la actividad económica, se reflexionó sobre un gasto público más moderado, siendo la mejor estrategia a seguir en 2021. </w:t>
      </w:r>
    </w:p>
    <w:p w14:paraId="175C2DD6" w14:textId="77777777" w:rsidR="004A66F0" w:rsidRPr="004A66F0" w:rsidRDefault="004A66F0" w:rsidP="008D7BB4">
      <w:pPr>
        <w:spacing w:line="276" w:lineRule="auto"/>
        <w:contextualSpacing/>
        <w:jc w:val="both"/>
        <w:rPr>
          <w:rFonts w:ascii="Times New Roman" w:hAnsi="Times New Roman" w:cs="Times New Roman"/>
          <w:sz w:val="22"/>
          <w:szCs w:val="22"/>
          <w:lang w:val="es-ES_tradnl" w:eastAsia="es-ES"/>
        </w:rPr>
      </w:pPr>
    </w:p>
    <w:p w14:paraId="465730BA" w14:textId="77777777" w:rsidR="004A66F0" w:rsidRPr="004A66F0" w:rsidRDefault="004A66F0" w:rsidP="008D7BB4">
      <w:pPr>
        <w:spacing w:line="276" w:lineRule="auto"/>
        <w:contextualSpacing/>
        <w:jc w:val="both"/>
        <w:rPr>
          <w:rFonts w:ascii="Times New Roman" w:hAnsi="Times New Roman" w:cs="Times New Roman"/>
          <w:sz w:val="22"/>
          <w:szCs w:val="22"/>
          <w:lang w:val="es-ES_tradnl" w:eastAsia="es-ES"/>
        </w:rPr>
      </w:pPr>
      <w:r w:rsidRPr="004A66F0">
        <w:rPr>
          <w:rFonts w:ascii="Times New Roman" w:hAnsi="Times New Roman" w:cs="Times New Roman"/>
          <w:sz w:val="22"/>
          <w:szCs w:val="22"/>
          <w:lang w:val="es-ES_tradnl" w:eastAsia="es-ES"/>
        </w:rPr>
        <w:t xml:space="preserve">Para 2022, la dinámica fue diferente, tomando en cuenta que la economía se iba a desacelerar después del alto crecimiento observado en 2021, la política fiscal fue expansiva para contener la desaceleración  a través de una mayor gasto en infraestructura vial (principalmente mantenimiento de obras) y para mitigar los efectos negativos que tuvo, en dicho año, el alza súbita en los precios de las materias primas especialmente del petróleo y sus derivados, situación que se debió a factores geopolíticos como la guerra entre Rusia y Ucrania, así como también por las secuelas del COVID-19 en la economía mundial.  Asimismo, la política fiscal realizó intervenciones para atender las emergencias y gastos en reconstrucción derivado de la ocurrencia de desastres por fenómenos naturales acaecidos especialmente en 2021 y 2022.  </w:t>
      </w:r>
    </w:p>
    <w:p w14:paraId="19F51C13" w14:textId="77777777" w:rsidR="004A66F0" w:rsidRPr="004A66F0" w:rsidRDefault="004A66F0" w:rsidP="008D7BB4">
      <w:pPr>
        <w:spacing w:line="276" w:lineRule="auto"/>
        <w:contextualSpacing/>
        <w:jc w:val="both"/>
        <w:rPr>
          <w:rFonts w:ascii="Times New Roman" w:hAnsi="Times New Roman" w:cs="Times New Roman"/>
          <w:sz w:val="22"/>
          <w:szCs w:val="22"/>
          <w:lang w:val="es-ES_tradnl" w:eastAsia="es-ES"/>
        </w:rPr>
      </w:pPr>
    </w:p>
    <w:p w14:paraId="6B42C9D6" w14:textId="1A4067F8" w:rsidR="004A66F0" w:rsidRDefault="004A66F0" w:rsidP="008D7BB4">
      <w:pPr>
        <w:spacing w:line="276" w:lineRule="auto"/>
        <w:contextualSpacing/>
        <w:jc w:val="both"/>
        <w:rPr>
          <w:rFonts w:ascii="Times New Roman" w:hAnsi="Times New Roman" w:cs="Times New Roman"/>
          <w:sz w:val="22"/>
          <w:szCs w:val="22"/>
          <w:lang w:val="es-ES_tradnl" w:eastAsia="es-ES"/>
        </w:rPr>
      </w:pPr>
      <w:r w:rsidRPr="004A66F0">
        <w:rPr>
          <w:rFonts w:ascii="Times New Roman" w:hAnsi="Times New Roman" w:cs="Times New Roman"/>
          <w:sz w:val="22"/>
          <w:szCs w:val="22"/>
          <w:lang w:val="es-ES_tradnl" w:eastAsia="es-ES"/>
        </w:rPr>
        <w:t xml:space="preserve">Por lo anterior, la política fiscal ha sido contra cíclica en los 3 años de esta administración gubernamental, lo cual muestra una conducción adecuada de la gestión fiscal para no alterar la dinámica de la economía y promover el crecimiento y la estabilidad macroeconómica.  </w:t>
      </w:r>
    </w:p>
    <w:p w14:paraId="7C45F4C6" w14:textId="77777777" w:rsidR="004A66F0" w:rsidRPr="004A66F0" w:rsidRDefault="004A66F0" w:rsidP="008D7BB4">
      <w:pPr>
        <w:spacing w:line="276" w:lineRule="auto"/>
        <w:contextualSpacing/>
        <w:jc w:val="both"/>
        <w:rPr>
          <w:rFonts w:ascii="Times New Roman" w:hAnsi="Times New Roman" w:cs="Times New Roman"/>
          <w:sz w:val="22"/>
          <w:szCs w:val="22"/>
          <w:lang w:val="es-ES_tradnl" w:eastAsia="es-ES"/>
        </w:rPr>
      </w:pPr>
    </w:p>
    <w:tbl>
      <w:tblPr>
        <w:tblStyle w:val="Tablaconcuadrcula"/>
        <w:tblW w:w="814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5"/>
        <w:gridCol w:w="4365"/>
      </w:tblGrid>
      <w:tr w:rsidR="004A66F0" w:rsidRPr="004A66F0" w14:paraId="55492BA0" w14:textId="77777777" w:rsidTr="00A11E1A">
        <w:trPr>
          <w:trHeight w:val="225"/>
        </w:trPr>
        <w:tc>
          <w:tcPr>
            <w:tcW w:w="4033" w:type="dxa"/>
          </w:tcPr>
          <w:p w14:paraId="22CC4EA3" w14:textId="2185858A" w:rsidR="004A66F0" w:rsidRPr="004A66F0" w:rsidRDefault="00A11E1A" w:rsidP="008D7BB4">
            <w:pPr>
              <w:spacing w:line="276" w:lineRule="auto"/>
              <w:contextualSpacing/>
              <w:jc w:val="center"/>
              <w:rPr>
                <w:rFonts w:ascii="Times New Roman" w:hAnsi="Times New Roman"/>
                <w:b/>
                <w:bCs/>
                <w:sz w:val="22"/>
                <w:szCs w:val="22"/>
                <w:lang w:val="es-ES_tradnl" w:eastAsia="es-ES"/>
              </w:rPr>
            </w:pPr>
            <w:bookmarkStart w:id="85" w:name="_Toc125733215"/>
            <w:r w:rsidRPr="00A11E1A">
              <w:rPr>
                <w:rFonts w:ascii="Times New Roman" w:eastAsia="Times New Roman" w:hAnsi="Times New Roman"/>
                <w:b/>
                <w:sz w:val="22"/>
                <w:szCs w:val="22"/>
              </w:rPr>
              <w:t xml:space="preserve">Gráfico </w:t>
            </w:r>
            <w:r w:rsidRPr="00A11E1A">
              <w:rPr>
                <w:rFonts w:ascii="Times New Roman" w:eastAsia="Times New Roman" w:hAnsi="Times New Roman"/>
                <w:b/>
                <w:sz w:val="22"/>
                <w:szCs w:val="22"/>
              </w:rPr>
              <w:fldChar w:fldCharType="begin"/>
            </w:r>
            <w:r w:rsidRPr="00A11E1A">
              <w:rPr>
                <w:rFonts w:ascii="Times New Roman" w:eastAsia="Times New Roman" w:hAnsi="Times New Roman"/>
                <w:b/>
                <w:sz w:val="22"/>
                <w:szCs w:val="22"/>
              </w:rPr>
              <w:instrText xml:space="preserve"> SEQ Gráfico \* ARABIC </w:instrText>
            </w:r>
            <w:r w:rsidRPr="00A11E1A">
              <w:rPr>
                <w:rFonts w:ascii="Times New Roman" w:eastAsia="Times New Roman" w:hAnsi="Times New Roman"/>
                <w:b/>
                <w:sz w:val="22"/>
                <w:szCs w:val="22"/>
              </w:rPr>
              <w:fldChar w:fldCharType="separate"/>
            </w:r>
            <w:r w:rsidR="006F4BE5">
              <w:rPr>
                <w:rFonts w:ascii="Times New Roman" w:eastAsia="Times New Roman" w:hAnsi="Times New Roman"/>
                <w:b/>
                <w:noProof/>
                <w:sz w:val="22"/>
                <w:szCs w:val="22"/>
              </w:rPr>
              <w:t>19</w:t>
            </w:r>
            <w:r w:rsidRPr="00A11E1A">
              <w:rPr>
                <w:rFonts w:ascii="Times New Roman" w:eastAsia="Times New Roman" w:hAnsi="Times New Roman"/>
                <w:b/>
                <w:sz w:val="22"/>
                <w:szCs w:val="22"/>
              </w:rPr>
              <w:fldChar w:fldCharType="end"/>
            </w:r>
            <w:r>
              <w:rPr>
                <w:rFonts w:ascii="Times New Roman" w:eastAsia="Times New Roman" w:hAnsi="Times New Roman"/>
                <w:b/>
                <w:sz w:val="22"/>
                <w:szCs w:val="22"/>
              </w:rPr>
              <w:t xml:space="preserve">. </w:t>
            </w:r>
            <w:r w:rsidR="004A66F0" w:rsidRPr="004A66F0">
              <w:rPr>
                <w:rFonts w:ascii="Times New Roman" w:hAnsi="Times New Roman"/>
                <w:b/>
                <w:bCs/>
                <w:sz w:val="22"/>
                <w:szCs w:val="22"/>
                <w:lang w:val="es-ES_tradnl" w:eastAsia="es-ES"/>
              </w:rPr>
              <w:t>Impulso Fiscal</w:t>
            </w:r>
            <w:bookmarkEnd w:id="85"/>
          </w:p>
        </w:tc>
        <w:tc>
          <w:tcPr>
            <w:tcW w:w="4109" w:type="dxa"/>
          </w:tcPr>
          <w:p w14:paraId="12F17CB0" w14:textId="54AD5D99" w:rsidR="004A66F0" w:rsidRPr="004A66F0" w:rsidRDefault="00A11E1A" w:rsidP="008D7BB4">
            <w:pPr>
              <w:spacing w:line="276" w:lineRule="auto"/>
              <w:contextualSpacing/>
              <w:jc w:val="center"/>
              <w:rPr>
                <w:rFonts w:ascii="Times New Roman" w:hAnsi="Times New Roman"/>
                <w:b/>
                <w:bCs/>
                <w:sz w:val="22"/>
                <w:szCs w:val="22"/>
                <w:lang w:val="es-ES_tradnl" w:eastAsia="es-ES"/>
              </w:rPr>
            </w:pPr>
            <w:bookmarkStart w:id="86" w:name="_Toc125733216"/>
            <w:r w:rsidRPr="00A11E1A">
              <w:rPr>
                <w:rFonts w:ascii="Times New Roman" w:eastAsia="Times New Roman" w:hAnsi="Times New Roman"/>
                <w:b/>
                <w:sz w:val="22"/>
                <w:szCs w:val="22"/>
              </w:rPr>
              <w:t xml:space="preserve">Gráfico </w:t>
            </w:r>
            <w:r w:rsidRPr="00A11E1A">
              <w:rPr>
                <w:rFonts w:ascii="Times New Roman" w:eastAsia="Times New Roman" w:hAnsi="Times New Roman"/>
                <w:b/>
                <w:sz w:val="22"/>
                <w:szCs w:val="22"/>
              </w:rPr>
              <w:fldChar w:fldCharType="begin"/>
            </w:r>
            <w:r w:rsidRPr="00A11E1A">
              <w:rPr>
                <w:rFonts w:ascii="Times New Roman" w:eastAsia="Times New Roman" w:hAnsi="Times New Roman"/>
                <w:b/>
                <w:sz w:val="22"/>
                <w:szCs w:val="22"/>
              </w:rPr>
              <w:instrText xml:space="preserve"> SEQ Gráfico \* ARABIC </w:instrText>
            </w:r>
            <w:r w:rsidRPr="00A11E1A">
              <w:rPr>
                <w:rFonts w:ascii="Times New Roman" w:eastAsia="Times New Roman" w:hAnsi="Times New Roman"/>
                <w:b/>
                <w:sz w:val="22"/>
                <w:szCs w:val="22"/>
              </w:rPr>
              <w:fldChar w:fldCharType="separate"/>
            </w:r>
            <w:r w:rsidR="006F4BE5">
              <w:rPr>
                <w:rFonts w:ascii="Times New Roman" w:eastAsia="Times New Roman" w:hAnsi="Times New Roman"/>
                <w:b/>
                <w:noProof/>
                <w:sz w:val="22"/>
                <w:szCs w:val="22"/>
              </w:rPr>
              <w:t>20</w:t>
            </w:r>
            <w:r w:rsidRPr="00A11E1A">
              <w:rPr>
                <w:rFonts w:ascii="Times New Roman" w:eastAsia="Times New Roman" w:hAnsi="Times New Roman"/>
                <w:b/>
                <w:sz w:val="22"/>
                <w:szCs w:val="22"/>
              </w:rPr>
              <w:fldChar w:fldCharType="end"/>
            </w:r>
            <w:r>
              <w:rPr>
                <w:rFonts w:ascii="Times New Roman" w:eastAsia="Times New Roman" w:hAnsi="Times New Roman"/>
                <w:b/>
                <w:sz w:val="22"/>
                <w:szCs w:val="22"/>
              </w:rPr>
              <w:t xml:space="preserve">. </w:t>
            </w:r>
            <w:r w:rsidR="004A66F0" w:rsidRPr="004A66F0">
              <w:rPr>
                <w:rFonts w:ascii="Times New Roman" w:hAnsi="Times New Roman"/>
                <w:b/>
                <w:bCs/>
                <w:sz w:val="22"/>
                <w:szCs w:val="22"/>
                <w:lang w:val="es-ES_tradnl" w:eastAsia="es-ES"/>
              </w:rPr>
              <w:t>Orientación de la Política Fiscal</w:t>
            </w:r>
            <w:bookmarkEnd w:id="86"/>
          </w:p>
        </w:tc>
      </w:tr>
      <w:tr w:rsidR="004A66F0" w:rsidRPr="004A66F0" w14:paraId="171AB9B9" w14:textId="77777777" w:rsidTr="00A11E1A">
        <w:trPr>
          <w:trHeight w:val="2671"/>
        </w:trPr>
        <w:tc>
          <w:tcPr>
            <w:tcW w:w="4033" w:type="dxa"/>
          </w:tcPr>
          <w:p w14:paraId="731B8219" w14:textId="7DFDE708" w:rsidR="004A66F0" w:rsidRPr="004A66F0" w:rsidRDefault="004A66F0" w:rsidP="008D7BB4">
            <w:pPr>
              <w:spacing w:line="276" w:lineRule="auto"/>
              <w:contextualSpacing/>
              <w:jc w:val="both"/>
              <w:rPr>
                <w:rFonts w:ascii="Times New Roman" w:hAnsi="Times New Roman"/>
                <w:sz w:val="22"/>
                <w:szCs w:val="22"/>
                <w:lang w:val="es-ES_tradnl" w:eastAsia="es-ES"/>
              </w:rPr>
            </w:pPr>
            <w:r w:rsidRPr="004A66F0">
              <w:rPr>
                <w:rFonts w:ascii="Times New Roman" w:hAnsi="Times New Roman"/>
                <w:noProof/>
                <w:sz w:val="22"/>
                <w:szCs w:val="22"/>
                <w:lang w:val="es-ES_tradnl" w:eastAsia="es-ES"/>
              </w:rPr>
              <w:drawing>
                <wp:inline distT="0" distB="0" distL="0" distR="0" wp14:anchorId="58DE19AC" wp14:editId="59F43EDC">
                  <wp:extent cx="2700000" cy="1625159"/>
                  <wp:effectExtent l="0" t="0" r="571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00000" cy="1625159"/>
                          </a:xfrm>
                          <a:prstGeom prst="rect">
                            <a:avLst/>
                          </a:prstGeom>
                          <a:noFill/>
                          <a:ln>
                            <a:noFill/>
                          </a:ln>
                        </pic:spPr>
                      </pic:pic>
                    </a:graphicData>
                  </a:graphic>
                </wp:inline>
              </w:drawing>
            </w:r>
          </w:p>
        </w:tc>
        <w:tc>
          <w:tcPr>
            <w:tcW w:w="4109" w:type="dxa"/>
          </w:tcPr>
          <w:p w14:paraId="015AE548" w14:textId="3D6D03A1" w:rsidR="004A66F0" w:rsidRPr="004A66F0" w:rsidRDefault="004A66F0" w:rsidP="008D7BB4">
            <w:pPr>
              <w:spacing w:line="276" w:lineRule="auto"/>
              <w:contextualSpacing/>
              <w:jc w:val="both"/>
              <w:rPr>
                <w:rFonts w:ascii="Times New Roman" w:hAnsi="Times New Roman"/>
                <w:sz w:val="22"/>
                <w:szCs w:val="22"/>
                <w:lang w:val="es-ES_tradnl" w:eastAsia="es-ES"/>
              </w:rPr>
            </w:pPr>
            <w:r w:rsidRPr="004A66F0">
              <w:rPr>
                <w:rFonts w:ascii="Times New Roman" w:hAnsi="Times New Roman"/>
                <w:noProof/>
                <w:sz w:val="22"/>
                <w:szCs w:val="22"/>
                <w:lang w:val="es-ES_tradnl" w:eastAsia="es-ES"/>
              </w:rPr>
              <w:drawing>
                <wp:inline distT="0" distB="0" distL="0" distR="0" wp14:anchorId="5B8BB339" wp14:editId="376B770E">
                  <wp:extent cx="2700000" cy="1640836"/>
                  <wp:effectExtent l="0" t="0" r="571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00000" cy="1640836"/>
                          </a:xfrm>
                          <a:prstGeom prst="rect">
                            <a:avLst/>
                          </a:prstGeom>
                          <a:noFill/>
                          <a:ln>
                            <a:noFill/>
                          </a:ln>
                        </pic:spPr>
                      </pic:pic>
                    </a:graphicData>
                  </a:graphic>
                </wp:inline>
              </w:drawing>
            </w:r>
          </w:p>
        </w:tc>
      </w:tr>
    </w:tbl>
    <w:p w14:paraId="2759859D" w14:textId="5C0FFE55" w:rsidR="00A2662D" w:rsidRPr="00A2662D" w:rsidRDefault="004A66F0" w:rsidP="008D7BB4">
      <w:pPr>
        <w:spacing w:line="276" w:lineRule="auto"/>
        <w:ind w:firstLine="360"/>
        <w:contextualSpacing/>
        <w:jc w:val="both"/>
        <w:rPr>
          <w:rFonts w:ascii="Times New Roman" w:eastAsia="Times New Roman" w:hAnsi="Times New Roman" w:cs="Times New Roman"/>
          <w:sz w:val="18"/>
          <w:szCs w:val="22"/>
        </w:rPr>
        <w:sectPr w:rsidR="00A2662D" w:rsidRPr="00A2662D" w:rsidSect="00500E38">
          <w:pgSz w:w="12240" w:h="15840"/>
          <w:pgMar w:top="2189" w:right="1701" w:bottom="1417" w:left="1701" w:header="708" w:footer="708" w:gutter="0"/>
          <w:cols w:space="708"/>
          <w:docGrid w:linePitch="360"/>
        </w:sectPr>
      </w:pPr>
      <w:r w:rsidRPr="004A66F0">
        <w:rPr>
          <w:rFonts w:ascii="Times New Roman" w:eastAsia="Times New Roman" w:hAnsi="Times New Roman" w:cs="Times New Roman"/>
          <w:sz w:val="18"/>
          <w:szCs w:val="22"/>
        </w:rPr>
        <w:t xml:space="preserve">  Fuente: Dirección de Análisis y Política Fiscal</w:t>
      </w:r>
    </w:p>
    <w:p w14:paraId="7188B343" w14:textId="66ED9F0A" w:rsidR="00B72147" w:rsidRDefault="004A66F0" w:rsidP="008D7BB4">
      <w:pPr>
        <w:pStyle w:val="Prrafodelista"/>
        <w:numPr>
          <w:ilvl w:val="0"/>
          <w:numId w:val="20"/>
        </w:numPr>
        <w:spacing w:line="276" w:lineRule="auto"/>
        <w:ind w:left="284" w:hanging="284"/>
        <w:jc w:val="both"/>
        <w:outlineLvl w:val="0"/>
        <w:rPr>
          <w:rFonts w:ascii="Times New Roman" w:eastAsiaTheme="majorEastAsia" w:hAnsi="Times New Roman" w:cs="Times New Roman"/>
          <w:b/>
          <w:bCs/>
          <w:sz w:val="26"/>
          <w:szCs w:val="26"/>
          <w:lang w:val="es-ES_tradnl" w:eastAsia="es-ES"/>
        </w:rPr>
      </w:pPr>
      <w:bookmarkStart w:id="87" w:name="_Toc125723294"/>
      <w:r w:rsidRPr="00CD72A1">
        <w:rPr>
          <w:rFonts w:ascii="Times New Roman" w:eastAsiaTheme="majorEastAsia" w:hAnsi="Times New Roman" w:cs="Times New Roman"/>
          <w:b/>
          <w:bCs/>
          <w:sz w:val="26"/>
          <w:szCs w:val="26"/>
          <w:lang w:val="es-ES_tradnl" w:eastAsia="es-ES"/>
        </w:rPr>
        <w:lastRenderedPageBreak/>
        <w:t>Supuestos económicos y previsiones fiscales para 2023</w:t>
      </w:r>
      <w:bookmarkStart w:id="88" w:name="_Toc94250364"/>
      <w:bookmarkStart w:id="89" w:name="_Toc94250432"/>
      <w:bookmarkStart w:id="90" w:name="_Toc94251072"/>
      <w:bookmarkStart w:id="91" w:name="_Toc94257734"/>
      <w:bookmarkStart w:id="92" w:name="_Toc94259650"/>
      <w:bookmarkStart w:id="93" w:name="_Toc125451212"/>
      <w:bookmarkStart w:id="94" w:name="_Toc125451325"/>
      <w:bookmarkStart w:id="95" w:name="_Toc125458274"/>
      <w:bookmarkStart w:id="96" w:name="_Toc125458362"/>
      <w:bookmarkStart w:id="97" w:name="_Toc93398027"/>
      <w:bookmarkStart w:id="98" w:name="_Toc94259651"/>
      <w:bookmarkEnd w:id="87"/>
      <w:bookmarkEnd w:id="88"/>
      <w:bookmarkEnd w:id="89"/>
      <w:bookmarkEnd w:id="90"/>
      <w:bookmarkEnd w:id="91"/>
      <w:bookmarkEnd w:id="92"/>
      <w:bookmarkEnd w:id="93"/>
      <w:bookmarkEnd w:id="94"/>
      <w:bookmarkEnd w:id="95"/>
      <w:bookmarkEnd w:id="96"/>
    </w:p>
    <w:p w14:paraId="44FB387F" w14:textId="77777777" w:rsidR="007F09E5" w:rsidRPr="00A02621" w:rsidRDefault="007F09E5" w:rsidP="008D7BB4">
      <w:pPr>
        <w:pStyle w:val="Prrafodelista"/>
        <w:spacing w:line="276" w:lineRule="auto"/>
        <w:ind w:left="284"/>
        <w:jc w:val="both"/>
        <w:outlineLvl w:val="0"/>
        <w:rPr>
          <w:rFonts w:ascii="Times New Roman" w:eastAsiaTheme="majorEastAsia" w:hAnsi="Times New Roman" w:cs="Times New Roman"/>
          <w:b/>
          <w:bCs/>
          <w:sz w:val="26"/>
          <w:szCs w:val="26"/>
          <w:lang w:val="es-ES_tradnl" w:eastAsia="es-ES"/>
        </w:rPr>
      </w:pPr>
    </w:p>
    <w:p w14:paraId="1656EF83" w14:textId="51CC6811" w:rsidR="004A66F0" w:rsidRPr="00A36506" w:rsidRDefault="004A66F0" w:rsidP="008D7BB4">
      <w:pPr>
        <w:pStyle w:val="Prrafodelista"/>
        <w:keepNext/>
        <w:keepLines/>
        <w:numPr>
          <w:ilvl w:val="1"/>
          <w:numId w:val="20"/>
        </w:numPr>
        <w:tabs>
          <w:tab w:val="left" w:pos="1134"/>
        </w:tabs>
        <w:spacing w:line="276" w:lineRule="auto"/>
        <w:jc w:val="both"/>
        <w:outlineLvl w:val="1"/>
        <w:rPr>
          <w:rFonts w:ascii="Times New Roman" w:eastAsiaTheme="majorEastAsia" w:hAnsi="Times New Roman" w:cs="Times New Roman"/>
          <w:b/>
          <w:bCs/>
        </w:rPr>
      </w:pPr>
      <w:bookmarkStart w:id="99" w:name="_Toc125723295"/>
      <w:r w:rsidRPr="00A36506">
        <w:rPr>
          <w:rFonts w:ascii="Times New Roman" w:eastAsiaTheme="majorEastAsia" w:hAnsi="Times New Roman" w:cs="Times New Roman"/>
          <w:b/>
          <w:bCs/>
        </w:rPr>
        <w:t>Supuestos de la economía mundial</w:t>
      </w:r>
      <w:bookmarkEnd w:id="97"/>
      <w:bookmarkEnd w:id="98"/>
      <w:bookmarkEnd w:id="99"/>
    </w:p>
    <w:p w14:paraId="202F36C1" w14:textId="77777777" w:rsidR="004A66F0" w:rsidRPr="004A66F0" w:rsidRDefault="004A66F0" w:rsidP="008D7BB4">
      <w:pPr>
        <w:spacing w:line="276" w:lineRule="auto"/>
        <w:contextualSpacing/>
        <w:rPr>
          <w:rFonts w:ascii="Calibri" w:eastAsia="Times New Roman" w:hAnsi="Calibri" w:cs="Calibri"/>
          <w:sz w:val="18"/>
          <w:szCs w:val="22"/>
        </w:rPr>
      </w:pPr>
    </w:p>
    <w:p w14:paraId="4E544C80" w14:textId="77777777" w:rsidR="004A66F0" w:rsidRPr="004A66F0" w:rsidRDefault="004A66F0" w:rsidP="008D7BB4">
      <w:pPr>
        <w:numPr>
          <w:ilvl w:val="0"/>
          <w:numId w:val="33"/>
        </w:numPr>
        <w:spacing w:line="276" w:lineRule="auto"/>
        <w:contextualSpacing/>
        <w:jc w:val="both"/>
        <w:rPr>
          <w:rFonts w:ascii="Times New Roman" w:eastAsia="Times New Roman" w:hAnsi="Times New Roman" w:cs="Calibri"/>
          <w:sz w:val="22"/>
          <w:szCs w:val="22"/>
        </w:rPr>
      </w:pPr>
      <w:r w:rsidRPr="004A66F0">
        <w:rPr>
          <w:rFonts w:ascii="Times New Roman" w:eastAsia="Times New Roman" w:hAnsi="Times New Roman" w:cs="Calibri"/>
          <w:sz w:val="22"/>
          <w:szCs w:val="22"/>
        </w:rPr>
        <w:t>Los Organismos internacionales prevén una caída en la economía a nivel mundial para el presente año: el Fondo Monetario Internacional (FMI) indicó en sus perspectivas de octubre 2022 que se espera una desaceleración económica de 2.7%, siendo este el crecimiento más bajo desde 2001 sin considerar la crisis financiera global y la crisis por la pandemia COVID-19, además que los países que representan alrededor de un tercio de la economía mundial registrarán durante dos trimestres consecutivos una contracción del PIB.  La Organización para la Cooperación y el Desarrollo Económico (OCDE) en sus últimas previsiones de noviembre 2022 indica que, el crecimiento de 2023 se encontrará en 2.2% por las repercusiones de la crisis energética más grave desde los años 1970, lo cual es consecuencia de la guerra entre Ucrania-Rusia que ha hecho que la confianza se degrade, la incertidumbre aumente y con ello una elevada inflación persistente, disparándola a niveles inéditos en varias décadas.  Por su parte, el Banco Mundial (BM) en enero de 2023 revisó a la baja el crecimiento de la economía mundial del presente año situándolo en 1.7%, esto a la vez de revisar a la baja el 95% de las economías avanzadas y casi el 70% de las emergentes y en desarrollo; a la vez que advierte del riesgo de recesión global ante la fragilidad económica.</w:t>
      </w:r>
    </w:p>
    <w:p w14:paraId="1307A1CB" w14:textId="77777777" w:rsidR="004A66F0" w:rsidRPr="004F1F06" w:rsidRDefault="004A66F0" w:rsidP="008D7BB4">
      <w:pPr>
        <w:spacing w:line="276" w:lineRule="auto"/>
        <w:contextualSpacing/>
        <w:jc w:val="both"/>
        <w:rPr>
          <w:rFonts w:ascii="Times New Roman" w:eastAsia="Times New Roman" w:hAnsi="Times New Roman" w:cs="Calibri"/>
          <w:sz w:val="20"/>
          <w:szCs w:val="20"/>
        </w:rPr>
      </w:pPr>
    </w:p>
    <w:p w14:paraId="01F04C9C" w14:textId="6F2F040C" w:rsidR="004F1F06" w:rsidRDefault="004A66F0" w:rsidP="008D7BB4">
      <w:pPr>
        <w:numPr>
          <w:ilvl w:val="0"/>
          <w:numId w:val="33"/>
        </w:numPr>
        <w:spacing w:line="276" w:lineRule="auto"/>
        <w:contextualSpacing/>
        <w:jc w:val="both"/>
        <w:rPr>
          <w:rFonts w:ascii="Calibri" w:eastAsia="Times New Roman" w:hAnsi="Calibri" w:cs="Calibri"/>
          <w:color w:val="000000" w:themeColor="text1"/>
          <w:sz w:val="22"/>
          <w:szCs w:val="22"/>
          <w:lang w:val="es-MX"/>
        </w:rPr>
      </w:pPr>
      <w:r w:rsidRPr="004A66F0">
        <w:rPr>
          <w:rFonts w:ascii="Times New Roman" w:eastAsia="Times New Roman" w:hAnsi="Times New Roman" w:cs="Calibri"/>
          <w:sz w:val="22"/>
          <w:szCs w:val="22"/>
        </w:rPr>
        <w:t>La combinación del lento crecimiento, las condiciones financieras restrictivas y el alto nivel de endeudamiento podría inducir a un bajo nivel de inversión e inducir a incumplimientos por parte de las firmas. Nuevos choques negativos como un aumentó en la inflación, un mayor endurecimiento de la política monetaria, un mayor debilitamiento en las economías avanzadas y emergentes, como una desaceleración más pronunciada en China debido a los confinamientos prolongados y al empeoramiento de la crisis del mercado inmobiliario, o un incremento en las tensiones geopolíticas podría empujar a la economía global a una recesión</w:t>
      </w:r>
      <w:r w:rsidRPr="004A66F0">
        <w:rPr>
          <w:rFonts w:ascii="Calibri" w:eastAsia="Times New Roman" w:hAnsi="Calibri" w:cs="Calibri"/>
          <w:color w:val="000000" w:themeColor="text1"/>
          <w:sz w:val="22"/>
          <w:szCs w:val="22"/>
          <w:lang w:val="es-MX"/>
        </w:rPr>
        <w:t>.</w:t>
      </w:r>
    </w:p>
    <w:p w14:paraId="79BB371E" w14:textId="77777777" w:rsidR="004F1F06" w:rsidRPr="004F1F06" w:rsidRDefault="004F1F06" w:rsidP="004F1F06">
      <w:pPr>
        <w:spacing w:line="276" w:lineRule="auto"/>
        <w:contextualSpacing/>
        <w:jc w:val="both"/>
        <w:rPr>
          <w:rFonts w:ascii="Calibri" w:eastAsia="Times New Roman" w:hAnsi="Calibri" w:cs="Calibri"/>
          <w:color w:val="000000" w:themeColor="text1"/>
          <w:sz w:val="16"/>
          <w:szCs w:val="16"/>
          <w:lang w:val="es-MX"/>
        </w:rPr>
      </w:pPr>
    </w:p>
    <w:tbl>
      <w:tblPr>
        <w:tblStyle w:val="Tablaconcuadrcula"/>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5"/>
        <w:gridCol w:w="4223"/>
      </w:tblGrid>
      <w:tr w:rsidR="004A66F0" w:rsidRPr="004A66F0" w14:paraId="44AC1ABB" w14:textId="77777777" w:rsidTr="00F85317">
        <w:trPr>
          <w:jc w:val="center"/>
        </w:trPr>
        <w:tc>
          <w:tcPr>
            <w:tcW w:w="4697" w:type="dxa"/>
          </w:tcPr>
          <w:p w14:paraId="4549C268" w14:textId="2C388D5A" w:rsidR="004A66F0" w:rsidRPr="004A66F0" w:rsidRDefault="00A11E1A" w:rsidP="008D7BB4">
            <w:pPr>
              <w:spacing w:line="276" w:lineRule="auto"/>
              <w:contextualSpacing/>
              <w:jc w:val="center"/>
              <w:rPr>
                <w:rFonts w:ascii="Times New Roman" w:eastAsia="Times New Roman" w:hAnsi="Times New Roman" w:cs="Calibri"/>
                <w:b/>
                <w:bCs/>
                <w:sz w:val="20"/>
                <w:szCs w:val="20"/>
              </w:rPr>
            </w:pPr>
            <w:bookmarkStart w:id="100" w:name="_Toc125733217"/>
            <w:r w:rsidRPr="00A11E1A">
              <w:rPr>
                <w:rFonts w:ascii="Times New Roman" w:eastAsia="Times New Roman" w:hAnsi="Times New Roman"/>
                <w:b/>
                <w:sz w:val="22"/>
                <w:szCs w:val="22"/>
              </w:rPr>
              <w:t xml:space="preserve">Gráfico </w:t>
            </w:r>
            <w:r w:rsidRPr="00A11E1A">
              <w:rPr>
                <w:rFonts w:ascii="Times New Roman" w:eastAsia="Times New Roman" w:hAnsi="Times New Roman"/>
                <w:b/>
                <w:sz w:val="22"/>
                <w:szCs w:val="22"/>
              </w:rPr>
              <w:fldChar w:fldCharType="begin"/>
            </w:r>
            <w:r w:rsidRPr="00A11E1A">
              <w:rPr>
                <w:rFonts w:ascii="Times New Roman" w:eastAsia="Times New Roman" w:hAnsi="Times New Roman"/>
                <w:b/>
                <w:sz w:val="22"/>
                <w:szCs w:val="22"/>
              </w:rPr>
              <w:instrText xml:space="preserve"> SEQ Gráfico \* ARABIC </w:instrText>
            </w:r>
            <w:r w:rsidRPr="00A11E1A">
              <w:rPr>
                <w:rFonts w:ascii="Times New Roman" w:eastAsia="Times New Roman" w:hAnsi="Times New Roman"/>
                <w:b/>
                <w:sz w:val="22"/>
                <w:szCs w:val="22"/>
              </w:rPr>
              <w:fldChar w:fldCharType="separate"/>
            </w:r>
            <w:r w:rsidR="006F4BE5">
              <w:rPr>
                <w:rFonts w:ascii="Times New Roman" w:eastAsia="Times New Roman" w:hAnsi="Times New Roman"/>
                <w:b/>
                <w:noProof/>
                <w:sz w:val="22"/>
                <w:szCs w:val="22"/>
              </w:rPr>
              <w:t>21</w:t>
            </w:r>
            <w:r w:rsidRPr="00A11E1A">
              <w:rPr>
                <w:rFonts w:ascii="Times New Roman" w:eastAsia="Times New Roman" w:hAnsi="Times New Roman"/>
                <w:b/>
                <w:sz w:val="22"/>
                <w:szCs w:val="22"/>
              </w:rPr>
              <w:fldChar w:fldCharType="end"/>
            </w:r>
            <w:r>
              <w:rPr>
                <w:rFonts w:ascii="Times New Roman" w:eastAsia="Times New Roman" w:hAnsi="Times New Roman"/>
                <w:b/>
                <w:sz w:val="22"/>
                <w:szCs w:val="22"/>
              </w:rPr>
              <w:t xml:space="preserve">. </w:t>
            </w:r>
            <w:r w:rsidR="004A66F0" w:rsidRPr="00A11E1A">
              <w:rPr>
                <w:rFonts w:ascii="Times New Roman" w:eastAsia="Times New Roman" w:hAnsi="Times New Roman" w:cs="Calibri"/>
                <w:b/>
                <w:bCs/>
                <w:sz w:val="22"/>
                <w:szCs w:val="22"/>
              </w:rPr>
              <w:t>Perspectivas de crecimiento de la economía mundial (%)</w:t>
            </w:r>
            <w:bookmarkEnd w:id="100"/>
          </w:p>
        </w:tc>
        <w:tc>
          <w:tcPr>
            <w:tcW w:w="4229" w:type="dxa"/>
          </w:tcPr>
          <w:p w14:paraId="39B3E02E" w14:textId="15BB3F4E" w:rsidR="004A66F0" w:rsidRPr="00A11E1A" w:rsidRDefault="00A11E1A" w:rsidP="008D7BB4">
            <w:pPr>
              <w:spacing w:line="276" w:lineRule="auto"/>
              <w:contextualSpacing/>
              <w:jc w:val="center"/>
              <w:rPr>
                <w:rFonts w:ascii="Times New Roman" w:eastAsia="Times New Roman" w:hAnsi="Times New Roman" w:cs="Calibri"/>
                <w:b/>
                <w:bCs/>
                <w:sz w:val="22"/>
                <w:szCs w:val="22"/>
              </w:rPr>
            </w:pPr>
            <w:bookmarkStart w:id="101" w:name="_Toc125733218"/>
            <w:r w:rsidRPr="00A11E1A">
              <w:rPr>
                <w:rFonts w:ascii="Times New Roman" w:eastAsia="Times New Roman" w:hAnsi="Times New Roman"/>
                <w:b/>
                <w:sz w:val="22"/>
                <w:szCs w:val="22"/>
              </w:rPr>
              <w:t xml:space="preserve">Gráfico </w:t>
            </w:r>
            <w:r w:rsidRPr="00A11E1A">
              <w:rPr>
                <w:rFonts w:ascii="Times New Roman" w:eastAsia="Times New Roman" w:hAnsi="Times New Roman"/>
                <w:b/>
                <w:sz w:val="22"/>
                <w:szCs w:val="22"/>
              </w:rPr>
              <w:fldChar w:fldCharType="begin"/>
            </w:r>
            <w:r w:rsidRPr="00A11E1A">
              <w:rPr>
                <w:rFonts w:ascii="Times New Roman" w:eastAsia="Times New Roman" w:hAnsi="Times New Roman"/>
                <w:b/>
                <w:sz w:val="22"/>
                <w:szCs w:val="22"/>
              </w:rPr>
              <w:instrText xml:space="preserve"> SEQ Gráfico \* ARABIC </w:instrText>
            </w:r>
            <w:r w:rsidRPr="00A11E1A">
              <w:rPr>
                <w:rFonts w:ascii="Times New Roman" w:eastAsia="Times New Roman" w:hAnsi="Times New Roman"/>
                <w:b/>
                <w:sz w:val="22"/>
                <w:szCs w:val="22"/>
              </w:rPr>
              <w:fldChar w:fldCharType="separate"/>
            </w:r>
            <w:r w:rsidR="006F4BE5">
              <w:rPr>
                <w:rFonts w:ascii="Times New Roman" w:eastAsia="Times New Roman" w:hAnsi="Times New Roman"/>
                <w:b/>
                <w:noProof/>
                <w:sz w:val="22"/>
                <w:szCs w:val="22"/>
              </w:rPr>
              <w:t>22</w:t>
            </w:r>
            <w:r w:rsidRPr="00A11E1A">
              <w:rPr>
                <w:rFonts w:ascii="Times New Roman" w:eastAsia="Times New Roman" w:hAnsi="Times New Roman"/>
                <w:b/>
                <w:sz w:val="22"/>
                <w:szCs w:val="22"/>
              </w:rPr>
              <w:fldChar w:fldCharType="end"/>
            </w:r>
            <w:r w:rsidRPr="00A11E1A">
              <w:rPr>
                <w:rFonts w:ascii="Times New Roman" w:eastAsia="Times New Roman" w:hAnsi="Times New Roman"/>
                <w:b/>
                <w:sz w:val="22"/>
                <w:szCs w:val="22"/>
              </w:rPr>
              <w:t xml:space="preserve">. </w:t>
            </w:r>
            <w:r w:rsidR="004A66F0" w:rsidRPr="00A11E1A">
              <w:rPr>
                <w:rFonts w:ascii="Times New Roman" w:eastAsia="Times New Roman" w:hAnsi="Times New Roman" w:cs="Calibri"/>
                <w:b/>
                <w:bCs/>
                <w:sz w:val="22"/>
                <w:szCs w:val="22"/>
              </w:rPr>
              <w:t>Perspectivas de crecimiento para las economías avanzadas y emergentes (%)</w:t>
            </w:r>
            <w:bookmarkEnd w:id="101"/>
          </w:p>
        </w:tc>
      </w:tr>
      <w:tr w:rsidR="004A66F0" w:rsidRPr="004A66F0" w14:paraId="476B0203" w14:textId="77777777" w:rsidTr="00F85317">
        <w:trPr>
          <w:jc w:val="center"/>
        </w:trPr>
        <w:tc>
          <w:tcPr>
            <w:tcW w:w="4697" w:type="dxa"/>
          </w:tcPr>
          <w:p w14:paraId="198A3F7E" w14:textId="750880EF" w:rsidR="004A66F0" w:rsidRPr="004A66F0" w:rsidRDefault="004A66F0" w:rsidP="008D7BB4">
            <w:pPr>
              <w:spacing w:line="276" w:lineRule="auto"/>
              <w:contextualSpacing/>
              <w:jc w:val="center"/>
              <w:rPr>
                <w:rFonts w:ascii="Times New Roman" w:eastAsia="Times New Roman" w:hAnsi="Times New Roman" w:cs="Calibri"/>
                <w:sz w:val="22"/>
                <w:szCs w:val="22"/>
              </w:rPr>
            </w:pPr>
            <w:r w:rsidRPr="004A66F0">
              <w:rPr>
                <w:rFonts w:ascii="Times New Roman" w:eastAsia="Times New Roman" w:hAnsi="Times New Roman" w:cs="Calibri"/>
                <w:noProof/>
                <w:sz w:val="22"/>
                <w:szCs w:val="22"/>
              </w:rPr>
              <w:drawing>
                <wp:inline distT="0" distB="0" distL="0" distR="0" wp14:anchorId="19678673" wp14:editId="1B7BBCD9">
                  <wp:extent cx="2524125" cy="1798320"/>
                  <wp:effectExtent l="0" t="0" r="0" b="0"/>
                  <wp:docPr id="18" name="Gráfico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c>
          <w:tcPr>
            <w:tcW w:w="4229" w:type="dxa"/>
          </w:tcPr>
          <w:p w14:paraId="67B28A28" w14:textId="521BB248" w:rsidR="004A66F0" w:rsidRPr="004A66F0" w:rsidRDefault="004A66F0" w:rsidP="008D7BB4">
            <w:pPr>
              <w:spacing w:line="276" w:lineRule="auto"/>
              <w:contextualSpacing/>
              <w:jc w:val="both"/>
              <w:rPr>
                <w:rFonts w:ascii="Times New Roman" w:eastAsia="Times New Roman" w:hAnsi="Times New Roman" w:cs="Calibri"/>
                <w:sz w:val="22"/>
                <w:szCs w:val="22"/>
              </w:rPr>
            </w:pPr>
            <w:r w:rsidRPr="004A66F0">
              <w:rPr>
                <w:rFonts w:ascii="Times New Roman" w:eastAsia="Times New Roman" w:hAnsi="Times New Roman" w:cs="Calibri"/>
                <w:noProof/>
                <w:sz w:val="22"/>
                <w:szCs w:val="22"/>
              </w:rPr>
              <w:drawing>
                <wp:inline distT="0" distB="0" distL="0" distR="0" wp14:anchorId="339D9D1B" wp14:editId="65CBAF94">
                  <wp:extent cx="2524125" cy="1798320"/>
                  <wp:effectExtent l="0" t="0" r="0" b="0"/>
                  <wp:docPr id="17" name="Gráfico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r w:rsidR="004A66F0" w:rsidRPr="004A66F0" w14:paraId="6F934C36" w14:textId="77777777" w:rsidTr="00F85317">
        <w:trPr>
          <w:jc w:val="center"/>
        </w:trPr>
        <w:tc>
          <w:tcPr>
            <w:tcW w:w="4697" w:type="dxa"/>
          </w:tcPr>
          <w:p w14:paraId="6F3912FD" w14:textId="77777777" w:rsidR="004A66F0" w:rsidRPr="004A66F0" w:rsidRDefault="004A66F0" w:rsidP="008D7BB4">
            <w:pPr>
              <w:spacing w:line="276" w:lineRule="auto"/>
              <w:contextualSpacing/>
              <w:jc w:val="both"/>
              <w:rPr>
                <w:rFonts w:ascii="Times New Roman" w:eastAsia="Times New Roman" w:hAnsi="Times New Roman" w:cs="Calibri"/>
                <w:sz w:val="18"/>
                <w:szCs w:val="18"/>
              </w:rPr>
            </w:pPr>
            <w:r w:rsidRPr="004A66F0">
              <w:rPr>
                <w:rFonts w:ascii="Times New Roman" w:eastAsia="Times New Roman" w:hAnsi="Times New Roman" w:cs="Calibri"/>
                <w:sz w:val="18"/>
                <w:szCs w:val="18"/>
              </w:rPr>
              <w:t>Fuente: FMI, OCDE y Banco Mundial</w:t>
            </w:r>
          </w:p>
        </w:tc>
        <w:tc>
          <w:tcPr>
            <w:tcW w:w="4229" w:type="dxa"/>
          </w:tcPr>
          <w:p w14:paraId="7B9A754F" w14:textId="77777777" w:rsidR="004A66F0" w:rsidRPr="004A66F0" w:rsidRDefault="004A66F0" w:rsidP="008D7BB4">
            <w:pPr>
              <w:spacing w:line="276" w:lineRule="auto"/>
              <w:contextualSpacing/>
              <w:jc w:val="both"/>
              <w:rPr>
                <w:rFonts w:ascii="Times New Roman" w:eastAsia="Times New Roman" w:hAnsi="Times New Roman" w:cs="Calibri"/>
                <w:sz w:val="22"/>
                <w:szCs w:val="22"/>
              </w:rPr>
            </w:pPr>
            <w:r w:rsidRPr="004A66F0">
              <w:rPr>
                <w:rFonts w:ascii="Times New Roman" w:eastAsia="Times New Roman" w:hAnsi="Times New Roman" w:cs="Calibri"/>
                <w:sz w:val="18"/>
                <w:szCs w:val="18"/>
              </w:rPr>
              <w:t>Fuente: FMI, WEO octubre 2022</w:t>
            </w:r>
          </w:p>
        </w:tc>
      </w:tr>
    </w:tbl>
    <w:p w14:paraId="7F5F6754" w14:textId="77777777" w:rsidR="00A2662D" w:rsidRPr="004A66F0" w:rsidRDefault="00A2662D" w:rsidP="008D7BB4">
      <w:pPr>
        <w:spacing w:line="276" w:lineRule="auto"/>
        <w:contextualSpacing/>
        <w:jc w:val="both"/>
        <w:rPr>
          <w:rFonts w:ascii="Times New Roman" w:eastAsia="Times New Roman" w:hAnsi="Times New Roman" w:cs="Calibri"/>
          <w:sz w:val="22"/>
          <w:szCs w:val="22"/>
        </w:rPr>
      </w:pPr>
    </w:p>
    <w:p w14:paraId="1DDD7540" w14:textId="77777777" w:rsidR="004A66F0" w:rsidRPr="004A66F0" w:rsidRDefault="004A66F0" w:rsidP="008D7BB4">
      <w:pPr>
        <w:numPr>
          <w:ilvl w:val="0"/>
          <w:numId w:val="34"/>
        </w:numPr>
        <w:spacing w:line="276" w:lineRule="auto"/>
        <w:contextualSpacing/>
        <w:jc w:val="both"/>
        <w:rPr>
          <w:rFonts w:ascii="Times New Roman" w:eastAsia="Times New Roman" w:hAnsi="Times New Roman" w:cs="Calibri"/>
          <w:sz w:val="22"/>
          <w:szCs w:val="22"/>
        </w:rPr>
      </w:pPr>
      <w:r w:rsidRPr="004A66F0">
        <w:rPr>
          <w:rFonts w:ascii="Times New Roman" w:eastAsia="Times New Roman" w:hAnsi="Times New Roman" w:cs="Calibri"/>
          <w:sz w:val="22"/>
          <w:szCs w:val="22"/>
        </w:rPr>
        <w:t xml:space="preserve">Se espera que la desaceleración de las economías avanzadas sea profunda en el presente año, al pasar de 5.2% en 2021 a 2.4% en 2022 y 1.1% en 2023 concentrándose principalmente en Estados Unidos y las economías europeas. Estados Unidos crecerá únicamente 1.0% en 2023, contrario al 5.7% en 2021 y 1.6% en 2022, esto derivado a que la reducción de la renta real disponible sigue mermando la demanda de consumo y las tasas de interés más altas han dado un golpe importante al gasto, en especial el gasto en inversión de viviendas. En el caso de la zona euro la desaceleración es menos pronunciada que Estados Unidos en 2022, sin embargo, se prevé que este se intensifique aún más en el transcurso del año para pasar de 3.1% en 2022 a 0.5% en 2023. Por su parte, Alemania tendrá una contracción de 0.3% esto derivado principalmente a la guerra Rusia-Ucrania ya que es de las economías más expuestas a los recortes en el suministro de gas ruso; en el caso de Reino Unidos el pronóstico de crecimiento es de 0.3% en 2023 muy por debajo de lo estimado para 2022 el cual fue de 3.6%. </w:t>
      </w:r>
    </w:p>
    <w:p w14:paraId="53E7D53E" w14:textId="77777777" w:rsidR="004A66F0" w:rsidRPr="004A66F0" w:rsidRDefault="004A66F0" w:rsidP="008D7BB4">
      <w:pPr>
        <w:spacing w:line="276" w:lineRule="auto"/>
        <w:contextualSpacing/>
        <w:jc w:val="both"/>
        <w:rPr>
          <w:rFonts w:ascii="Times New Roman" w:eastAsia="Times New Roman" w:hAnsi="Times New Roman" w:cs="Calibri"/>
          <w:sz w:val="22"/>
          <w:szCs w:val="22"/>
        </w:rPr>
      </w:pPr>
    </w:p>
    <w:p w14:paraId="7FEC8B51" w14:textId="77777777" w:rsidR="004A66F0" w:rsidRPr="004A66F0" w:rsidRDefault="004A66F0" w:rsidP="008D7BB4">
      <w:pPr>
        <w:numPr>
          <w:ilvl w:val="0"/>
          <w:numId w:val="34"/>
        </w:numPr>
        <w:spacing w:line="276" w:lineRule="auto"/>
        <w:contextualSpacing/>
        <w:jc w:val="both"/>
        <w:rPr>
          <w:rFonts w:ascii="Times New Roman" w:eastAsia="Times New Roman" w:hAnsi="Times New Roman" w:cs="Calibri"/>
          <w:sz w:val="22"/>
          <w:szCs w:val="22"/>
        </w:rPr>
      </w:pPr>
      <w:r w:rsidRPr="004A66F0">
        <w:rPr>
          <w:rFonts w:ascii="Times New Roman" w:eastAsia="Times New Roman" w:hAnsi="Times New Roman" w:cs="Calibri"/>
          <w:sz w:val="22"/>
          <w:szCs w:val="22"/>
        </w:rPr>
        <w:t>Se proyecta que las economías de mercados emergentes y en desarrollo tengan un crecimiento de 3.7% igual al 2022. Las Economías Emergentes y en Desarrollo de Asia son las únicas a las que se prevé que puedan aumentar su crecimiento en 2023 con respecto al año anterior, pasando de 4.4% en 2022 a 4.9% en 2023; contrario a América Latina y el Caribe la cual se espera que pasé de 3.5% en 2022 a 1.7% en 2023, a medida que se debilite el crecimiento de los países socios, se endurezcan las condiciones financieras y se relajen los precios de materias primas.   Además, el Banco Mundial prevé que se reduzca la demanda de exportaciones, la inversión regional disminuirá como consecuencia del aumento de los costos de financiamiento, la escasa confianza empresarial y la fuerte incertidumbre en cuanto a normas.</w:t>
      </w:r>
    </w:p>
    <w:p w14:paraId="75413E22" w14:textId="77777777" w:rsidR="004A66F0" w:rsidRPr="004A66F0" w:rsidRDefault="004A66F0" w:rsidP="008D7BB4">
      <w:pPr>
        <w:spacing w:line="276" w:lineRule="auto"/>
        <w:contextualSpacing/>
        <w:jc w:val="both"/>
        <w:rPr>
          <w:rFonts w:ascii="Times New Roman" w:eastAsia="Times New Roman" w:hAnsi="Times New Roman" w:cs="Calibri"/>
          <w:sz w:val="22"/>
          <w:szCs w:val="22"/>
        </w:rPr>
      </w:pPr>
    </w:p>
    <w:p w14:paraId="62F99B7B" w14:textId="77777777" w:rsidR="004A66F0" w:rsidRPr="00A36506" w:rsidRDefault="004A66F0" w:rsidP="008D7BB4">
      <w:pPr>
        <w:pStyle w:val="Prrafodelista"/>
        <w:keepNext/>
        <w:keepLines/>
        <w:numPr>
          <w:ilvl w:val="1"/>
          <w:numId w:val="20"/>
        </w:numPr>
        <w:tabs>
          <w:tab w:val="left" w:pos="1134"/>
        </w:tabs>
        <w:spacing w:line="276" w:lineRule="auto"/>
        <w:jc w:val="both"/>
        <w:outlineLvl w:val="1"/>
        <w:rPr>
          <w:rFonts w:ascii="Times New Roman" w:eastAsiaTheme="majorEastAsia" w:hAnsi="Times New Roman" w:cs="Times New Roman"/>
          <w:b/>
          <w:bCs/>
        </w:rPr>
      </w:pPr>
      <w:bookmarkStart w:id="102" w:name="_Toc125723296"/>
      <w:r w:rsidRPr="00A36506">
        <w:rPr>
          <w:rFonts w:ascii="Times New Roman" w:eastAsiaTheme="majorEastAsia" w:hAnsi="Times New Roman" w:cs="Times New Roman"/>
          <w:b/>
          <w:bCs/>
        </w:rPr>
        <w:t>Supuestos del comercio mundial</w:t>
      </w:r>
      <w:bookmarkEnd w:id="102"/>
    </w:p>
    <w:p w14:paraId="1CCEA4B6" w14:textId="77777777" w:rsidR="004A66F0" w:rsidRPr="004A66F0" w:rsidRDefault="004A66F0" w:rsidP="008D7BB4">
      <w:pPr>
        <w:spacing w:line="276" w:lineRule="auto"/>
        <w:contextualSpacing/>
        <w:jc w:val="both"/>
        <w:rPr>
          <w:rFonts w:ascii="Times New Roman" w:eastAsia="Times New Roman" w:hAnsi="Times New Roman" w:cs="Calibri"/>
          <w:sz w:val="22"/>
          <w:szCs w:val="22"/>
        </w:rPr>
      </w:pPr>
    </w:p>
    <w:p w14:paraId="3E91AA97" w14:textId="77777777" w:rsidR="004A66F0" w:rsidRPr="004A66F0" w:rsidRDefault="004A66F0" w:rsidP="008D7BB4">
      <w:pPr>
        <w:numPr>
          <w:ilvl w:val="0"/>
          <w:numId w:val="35"/>
        </w:numPr>
        <w:spacing w:line="276" w:lineRule="auto"/>
        <w:contextualSpacing/>
        <w:jc w:val="both"/>
        <w:rPr>
          <w:rFonts w:ascii="Times New Roman" w:eastAsia="Times New Roman" w:hAnsi="Times New Roman" w:cs="Calibri"/>
          <w:sz w:val="22"/>
          <w:szCs w:val="22"/>
        </w:rPr>
      </w:pPr>
      <w:r w:rsidRPr="004A66F0">
        <w:rPr>
          <w:rFonts w:ascii="Times New Roman" w:eastAsia="Times New Roman" w:hAnsi="Times New Roman" w:cs="Calibri"/>
          <w:sz w:val="22"/>
          <w:szCs w:val="22"/>
        </w:rPr>
        <w:t>Según la Organización Mundial para el Comercio, previó desde octubre de 2022 que el volumen del comercio de mercancías mundial sufriría una brusca desaceleración ya que pasaría de 3.5% en 2022 a 1.0% en 2023 derivado de la difícil coyuntura por la que atraviesa la economía mundial y con ello la demanda de importaciones se reducirá; en Europa por los elevados precios de la energía a consecuencia de la guerra Ucrania-Rusia, provocarán una disminución en el gasto en los hogares y los costos de manufactura se elevarán. En Estados Unidos la política monetaria restrictiva afectará sectores con gasto sensible a los intereses como lo es la vivienda, el sector automovilista y la inversión fija. Por su parte, China sigue teniendo rebrotes de COVID-19, perturbaciones en la producción y enfrentando una débil demanda externa.</w:t>
      </w:r>
    </w:p>
    <w:p w14:paraId="754A3FD7" w14:textId="77777777" w:rsidR="004A66F0" w:rsidRPr="004A66F0" w:rsidRDefault="004A66F0" w:rsidP="008D7BB4">
      <w:pPr>
        <w:spacing w:line="276" w:lineRule="auto"/>
        <w:contextualSpacing/>
        <w:jc w:val="both"/>
        <w:rPr>
          <w:rFonts w:ascii="Times New Roman" w:eastAsia="Times New Roman" w:hAnsi="Times New Roman" w:cs="Calibri"/>
          <w:sz w:val="22"/>
          <w:szCs w:val="22"/>
        </w:rPr>
      </w:pPr>
    </w:p>
    <w:p w14:paraId="1648FE0B" w14:textId="57A9FFF8" w:rsidR="004A66F0" w:rsidRDefault="004A66F0" w:rsidP="008D7BB4">
      <w:pPr>
        <w:numPr>
          <w:ilvl w:val="0"/>
          <w:numId w:val="35"/>
        </w:numPr>
        <w:spacing w:line="276" w:lineRule="auto"/>
        <w:contextualSpacing/>
        <w:jc w:val="both"/>
        <w:rPr>
          <w:rFonts w:ascii="Times New Roman" w:eastAsia="Times New Roman" w:hAnsi="Times New Roman" w:cs="Calibri"/>
          <w:sz w:val="22"/>
          <w:szCs w:val="22"/>
        </w:rPr>
      </w:pPr>
      <w:r w:rsidRPr="004A66F0">
        <w:rPr>
          <w:rFonts w:ascii="Times New Roman" w:eastAsia="Times New Roman" w:hAnsi="Times New Roman" w:cs="Calibri"/>
          <w:sz w:val="22"/>
          <w:szCs w:val="22"/>
        </w:rPr>
        <w:t xml:space="preserve">Según las perspectivas de la Organización de las Naciones Unidas de diciembre 2022, se espera que el endurecimiento de las condiciones financieras aumente aún más la presión sobre los gobiernos altamente endeudados, amplificando las vulnerabilidades y afectando </w:t>
      </w:r>
      <w:r w:rsidRPr="004A66F0">
        <w:rPr>
          <w:rFonts w:ascii="Times New Roman" w:eastAsia="Times New Roman" w:hAnsi="Times New Roman" w:cs="Calibri"/>
          <w:sz w:val="22"/>
          <w:szCs w:val="22"/>
        </w:rPr>
        <w:lastRenderedPageBreak/>
        <w:t>negativamente a las inversiones y a los flujos comerciales internacionales.  Sin embargo, las tarifas de flete y carga siguen siendo superiores a las medias anteriores a la pandemia, pero su tendencia es a la baja, lo cual es muy positivo. Asimismo, el Banco Mundial prevé que entre otros riesgos a la baja se encuentran una demanda mundial más débil y posibles surgimientos de otros cuellos de botella en las cadenas de suministros, además, de la intensificación del proteccionismo comercial, la fragmentación de las redes comerciales; podrán aumentar los costos comerciales y disminuir el crecimiento del comercio.</w:t>
      </w:r>
    </w:p>
    <w:p w14:paraId="2FCDBA7E" w14:textId="77777777" w:rsidR="00531450" w:rsidRPr="007F09E5" w:rsidRDefault="00531450" w:rsidP="003818C0">
      <w:pPr>
        <w:spacing w:line="276" w:lineRule="auto"/>
        <w:contextualSpacing/>
        <w:jc w:val="both"/>
        <w:rPr>
          <w:rFonts w:ascii="Times New Roman" w:eastAsia="Times New Roman" w:hAnsi="Times New Roman" w:cs="Calibri"/>
          <w:sz w:val="22"/>
          <w:szCs w:val="22"/>
        </w:rPr>
      </w:pP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0"/>
      </w:tblGrid>
      <w:tr w:rsidR="004A66F0" w:rsidRPr="004A66F0" w14:paraId="75FECF83" w14:textId="77777777" w:rsidTr="00F85317">
        <w:tc>
          <w:tcPr>
            <w:tcW w:w="9394" w:type="dxa"/>
          </w:tcPr>
          <w:p w14:paraId="0946A399" w14:textId="342B5D1C" w:rsidR="004A66F0" w:rsidRPr="00A11E1A" w:rsidRDefault="00A11E1A" w:rsidP="008D7BB4">
            <w:pPr>
              <w:spacing w:line="276" w:lineRule="auto"/>
              <w:contextualSpacing/>
              <w:jc w:val="center"/>
              <w:rPr>
                <w:rFonts w:ascii="Times New Roman" w:eastAsiaTheme="majorEastAsia" w:hAnsi="Times New Roman" w:cs="Calibri"/>
                <w:b/>
                <w:bCs/>
                <w:sz w:val="22"/>
                <w:szCs w:val="22"/>
              </w:rPr>
            </w:pPr>
            <w:bookmarkStart w:id="103" w:name="_Toc125733219"/>
            <w:r w:rsidRPr="00A11E1A">
              <w:rPr>
                <w:rFonts w:ascii="Times New Roman" w:eastAsia="Times New Roman" w:hAnsi="Times New Roman"/>
                <w:b/>
                <w:sz w:val="22"/>
                <w:szCs w:val="22"/>
              </w:rPr>
              <w:t xml:space="preserve">Gráfico </w:t>
            </w:r>
            <w:r w:rsidRPr="00A11E1A">
              <w:rPr>
                <w:rFonts w:ascii="Times New Roman" w:eastAsia="Times New Roman" w:hAnsi="Times New Roman"/>
                <w:b/>
                <w:sz w:val="22"/>
                <w:szCs w:val="22"/>
              </w:rPr>
              <w:fldChar w:fldCharType="begin"/>
            </w:r>
            <w:r w:rsidRPr="00A11E1A">
              <w:rPr>
                <w:rFonts w:ascii="Times New Roman" w:eastAsia="Times New Roman" w:hAnsi="Times New Roman"/>
                <w:b/>
                <w:sz w:val="22"/>
                <w:szCs w:val="22"/>
              </w:rPr>
              <w:instrText xml:space="preserve"> SEQ Gráfico \* ARABIC </w:instrText>
            </w:r>
            <w:r w:rsidRPr="00A11E1A">
              <w:rPr>
                <w:rFonts w:ascii="Times New Roman" w:eastAsia="Times New Roman" w:hAnsi="Times New Roman"/>
                <w:b/>
                <w:sz w:val="22"/>
                <w:szCs w:val="22"/>
              </w:rPr>
              <w:fldChar w:fldCharType="separate"/>
            </w:r>
            <w:r w:rsidR="006F4BE5">
              <w:rPr>
                <w:rFonts w:ascii="Times New Roman" w:eastAsia="Times New Roman" w:hAnsi="Times New Roman"/>
                <w:b/>
                <w:noProof/>
                <w:sz w:val="22"/>
                <w:szCs w:val="22"/>
              </w:rPr>
              <w:t>23</w:t>
            </w:r>
            <w:r w:rsidRPr="00A11E1A">
              <w:rPr>
                <w:rFonts w:ascii="Times New Roman" w:eastAsia="Times New Roman" w:hAnsi="Times New Roman"/>
                <w:b/>
                <w:sz w:val="22"/>
                <w:szCs w:val="22"/>
              </w:rPr>
              <w:fldChar w:fldCharType="end"/>
            </w:r>
            <w:r w:rsidR="004A66F0" w:rsidRPr="00A11E1A">
              <w:rPr>
                <w:rFonts w:ascii="Times New Roman" w:eastAsiaTheme="majorEastAsia" w:hAnsi="Times New Roman" w:cs="Calibri"/>
                <w:b/>
                <w:bCs/>
                <w:sz w:val="22"/>
                <w:szCs w:val="22"/>
              </w:rPr>
              <w:t>. Perspectivas del volumen del comercio mundial de mercancías en 2023 (%)</w:t>
            </w:r>
            <w:bookmarkEnd w:id="103"/>
          </w:p>
        </w:tc>
      </w:tr>
      <w:tr w:rsidR="004A66F0" w:rsidRPr="004A66F0" w14:paraId="03451C1F" w14:textId="77777777" w:rsidTr="00F85317">
        <w:tc>
          <w:tcPr>
            <w:tcW w:w="9394" w:type="dxa"/>
          </w:tcPr>
          <w:p w14:paraId="4B6BD7DD" w14:textId="41558C6D" w:rsidR="004A66F0" w:rsidRPr="004A66F0" w:rsidRDefault="004A66F0" w:rsidP="008D7BB4">
            <w:pPr>
              <w:spacing w:line="276" w:lineRule="auto"/>
              <w:contextualSpacing/>
              <w:jc w:val="center"/>
              <w:rPr>
                <w:rFonts w:ascii="Times New Roman" w:eastAsiaTheme="majorEastAsia" w:hAnsi="Times New Roman" w:cs="Calibri"/>
                <w:b/>
                <w:bCs/>
                <w:sz w:val="22"/>
                <w:szCs w:val="26"/>
              </w:rPr>
            </w:pPr>
            <w:r w:rsidRPr="004A66F0">
              <w:rPr>
                <w:rFonts w:ascii="Times New Roman" w:eastAsiaTheme="majorEastAsia" w:hAnsi="Times New Roman" w:cs="Calibri"/>
                <w:b/>
                <w:noProof/>
                <w:sz w:val="22"/>
                <w:szCs w:val="26"/>
              </w:rPr>
              <w:drawing>
                <wp:inline distT="0" distB="0" distL="0" distR="0" wp14:anchorId="40A0D88B" wp14:editId="1124A91B">
                  <wp:extent cx="4952011" cy="1798320"/>
                  <wp:effectExtent l="0" t="0" r="1270" b="0"/>
                  <wp:docPr id="16" name="Gráfico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r w:rsidR="004A66F0" w:rsidRPr="004A66F0" w14:paraId="2C9D4A8D" w14:textId="77777777" w:rsidTr="00F85317">
        <w:tc>
          <w:tcPr>
            <w:tcW w:w="9394" w:type="dxa"/>
          </w:tcPr>
          <w:p w14:paraId="0D5474C8" w14:textId="2691BAB5" w:rsidR="004A66F0" w:rsidRPr="008C3120" w:rsidRDefault="004A66F0" w:rsidP="008D7BB4">
            <w:pPr>
              <w:spacing w:line="276" w:lineRule="auto"/>
              <w:contextualSpacing/>
              <w:jc w:val="both"/>
              <w:rPr>
                <w:rFonts w:ascii="Times New Roman" w:eastAsiaTheme="majorEastAsia" w:hAnsi="Times New Roman" w:cs="Calibri"/>
                <w:sz w:val="18"/>
                <w:szCs w:val="18"/>
              </w:rPr>
            </w:pPr>
            <w:r w:rsidRPr="004A66F0">
              <w:rPr>
                <w:rFonts w:ascii="Times New Roman" w:eastAsiaTheme="majorEastAsia" w:hAnsi="Times New Roman" w:cs="Calibri"/>
                <w:sz w:val="20"/>
                <w:szCs w:val="22"/>
              </w:rPr>
              <w:t xml:space="preserve">               </w:t>
            </w:r>
            <w:r w:rsidRPr="008C3120">
              <w:rPr>
                <w:rFonts w:ascii="Times New Roman" w:eastAsiaTheme="majorEastAsia" w:hAnsi="Times New Roman" w:cs="Calibri"/>
                <w:sz w:val="18"/>
                <w:szCs w:val="18"/>
              </w:rPr>
              <w:t>Fuente: OMC</w:t>
            </w:r>
          </w:p>
          <w:p w14:paraId="7C10D3E1" w14:textId="31D627E4" w:rsidR="004A66F0" w:rsidRPr="004A66F0" w:rsidRDefault="004A66F0" w:rsidP="008D7BB4">
            <w:pPr>
              <w:spacing w:line="276" w:lineRule="auto"/>
              <w:contextualSpacing/>
              <w:jc w:val="both"/>
              <w:rPr>
                <w:rFonts w:ascii="Times New Roman" w:eastAsiaTheme="majorEastAsia" w:hAnsi="Times New Roman" w:cs="Calibri"/>
                <w:sz w:val="20"/>
                <w:szCs w:val="22"/>
              </w:rPr>
            </w:pPr>
            <w:r w:rsidRPr="008C3120">
              <w:rPr>
                <w:rFonts w:ascii="Times New Roman" w:eastAsiaTheme="majorEastAsia" w:hAnsi="Times New Roman" w:cs="Calibri"/>
                <w:sz w:val="18"/>
                <w:szCs w:val="18"/>
              </w:rPr>
              <w:t xml:space="preserve">                 e/: estimación de cierre, </w:t>
            </w:r>
            <w:proofErr w:type="spellStart"/>
            <w:r w:rsidRPr="008C3120">
              <w:rPr>
                <w:rFonts w:ascii="Times New Roman" w:eastAsiaTheme="majorEastAsia" w:hAnsi="Times New Roman" w:cs="Calibri"/>
                <w:sz w:val="18"/>
                <w:szCs w:val="18"/>
              </w:rPr>
              <w:t>py</w:t>
            </w:r>
            <w:proofErr w:type="spellEnd"/>
            <w:r w:rsidRPr="008C3120">
              <w:rPr>
                <w:rFonts w:ascii="Times New Roman" w:eastAsiaTheme="majorEastAsia" w:hAnsi="Times New Roman" w:cs="Calibri"/>
                <w:sz w:val="18"/>
                <w:szCs w:val="18"/>
              </w:rPr>
              <w:t>/: proyección.</w:t>
            </w:r>
          </w:p>
        </w:tc>
      </w:tr>
    </w:tbl>
    <w:p w14:paraId="2941DC77" w14:textId="77777777" w:rsidR="004A66F0" w:rsidRPr="004A66F0" w:rsidRDefault="004A66F0" w:rsidP="008D7BB4">
      <w:pPr>
        <w:spacing w:line="276" w:lineRule="auto"/>
        <w:contextualSpacing/>
        <w:jc w:val="both"/>
        <w:rPr>
          <w:rFonts w:ascii="Times New Roman" w:eastAsiaTheme="majorEastAsia" w:hAnsi="Times New Roman" w:cs="Calibri"/>
          <w:b/>
          <w:bCs/>
          <w:sz w:val="22"/>
          <w:szCs w:val="26"/>
        </w:rPr>
      </w:pPr>
    </w:p>
    <w:p w14:paraId="5EB38184" w14:textId="77777777" w:rsidR="004A66F0" w:rsidRPr="00A36506" w:rsidRDefault="004A66F0" w:rsidP="008D7BB4">
      <w:pPr>
        <w:pStyle w:val="Prrafodelista"/>
        <w:keepNext/>
        <w:keepLines/>
        <w:numPr>
          <w:ilvl w:val="1"/>
          <w:numId w:val="20"/>
        </w:numPr>
        <w:tabs>
          <w:tab w:val="left" w:pos="1134"/>
        </w:tabs>
        <w:spacing w:line="276" w:lineRule="auto"/>
        <w:jc w:val="both"/>
        <w:outlineLvl w:val="1"/>
        <w:rPr>
          <w:rFonts w:ascii="Times New Roman" w:eastAsiaTheme="majorEastAsia" w:hAnsi="Times New Roman" w:cs="Times New Roman"/>
          <w:b/>
          <w:bCs/>
        </w:rPr>
      </w:pPr>
      <w:bookmarkStart w:id="104" w:name="_Toc125723297"/>
      <w:r w:rsidRPr="00A36506">
        <w:rPr>
          <w:rFonts w:ascii="Times New Roman" w:eastAsiaTheme="majorEastAsia" w:hAnsi="Times New Roman" w:cs="Times New Roman"/>
          <w:b/>
          <w:bCs/>
        </w:rPr>
        <w:t>Supuestos de los precios de las materias prima (</w:t>
      </w:r>
      <w:r w:rsidRPr="00531450">
        <w:rPr>
          <w:rFonts w:ascii="Times New Roman" w:eastAsiaTheme="majorEastAsia" w:hAnsi="Times New Roman" w:cs="Times New Roman"/>
          <w:b/>
          <w:bCs/>
          <w:i/>
          <w:iCs/>
        </w:rPr>
        <w:t>commodities</w:t>
      </w:r>
      <w:r w:rsidRPr="00A36506">
        <w:rPr>
          <w:rFonts w:ascii="Times New Roman" w:eastAsiaTheme="majorEastAsia" w:hAnsi="Times New Roman" w:cs="Times New Roman"/>
          <w:b/>
          <w:bCs/>
        </w:rPr>
        <w:t>)</w:t>
      </w:r>
      <w:bookmarkEnd w:id="104"/>
    </w:p>
    <w:p w14:paraId="277C9F50" w14:textId="77777777" w:rsidR="004A66F0" w:rsidRPr="004A66F0" w:rsidRDefault="004A66F0" w:rsidP="008D7BB4">
      <w:pPr>
        <w:spacing w:line="276" w:lineRule="auto"/>
        <w:contextualSpacing/>
        <w:jc w:val="both"/>
        <w:rPr>
          <w:rFonts w:ascii="Times New Roman" w:eastAsiaTheme="majorEastAsia" w:hAnsi="Times New Roman" w:cs="Calibri"/>
          <w:b/>
          <w:bCs/>
          <w:sz w:val="22"/>
          <w:szCs w:val="26"/>
        </w:rPr>
      </w:pPr>
    </w:p>
    <w:p w14:paraId="72F88B4A" w14:textId="39F0E9AA" w:rsidR="004A66F0" w:rsidRPr="004A66F0" w:rsidRDefault="004A66F0" w:rsidP="008D7BB4">
      <w:pPr>
        <w:numPr>
          <w:ilvl w:val="0"/>
          <w:numId w:val="36"/>
        </w:numPr>
        <w:spacing w:line="276" w:lineRule="auto"/>
        <w:contextualSpacing/>
        <w:jc w:val="both"/>
        <w:rPr>
          <w:rFonts w:ascii="Times New Roman" w:eastAsiaTheme="majorEastAsia" w:hAnsi="Times New Roman" w:cs="Calibri"/>
          <w:sz w:val="22"/>
          <w:szCs w:val="22"/>
        </w:rPr>
      </w:pPr>
      <w:r w:rsidRPr="004A66F0">
        <w:rPr>
          <w:rFonts w:ascii="Times New Roman" w:eastAsiaTheme="majorEastAsia" w:hAnsi="Times New Roman" w:cs="Calibri"/>
          <w:sz w:val="22"/>
          <w:szCs w:val="22"/>
        </w:rPr>
        <w:t xml:space="preserve">La fuerte desaceleración esperada en el crecimiento mundial en el segundo trimestre del 2022 y la preocupación acerca de una probable de una recesión en 2023 tendrán un fuerte impacto sobre los precios de las materias primas. No obstante, dado a las depreciaciones de las monedas han impulsado los precios en sus respectivas economías, </w:t>
      </w:r>
      <w:r w:rsidR="00531450">
        <w:rPr>
          <w:rFonts w:ascii="Times New Roman" w:eastAsiaTheme="majorEastAsia" w:hAnsi="Times New Roman" w:cs="Calibri"/>
          <w:sz w:val="22"/>
          <w:szCs w:val="22"/>
        </w:rPr>
        <w:t>se</w:t>
      </w:r>
      <w:r w:rsidRPr="004A66F0">
        <w:rPr>
          <w:rFonts w:ascii="Times New Roman" w:eastAsiaTheme="majorEastAsia" w:hAnsi="Times New Roman" w:cs="Calibri"/>
          <w:sz w:val="22"/>
          <w:szCs w:val="22"/>
        </w:rPr>
        <w:t xml:space="preserve"> podría profundizar la crisis en los alimentos y en la energía que se ha experimentado en varios países. Conforme la desaceleración económica se intensifique los precios de las materias prima</w:t>
      </w:r>
      <w:r w:rsidR="00531450">
        <w:rPr>
          <w:rFonts w:ascii="Times New Roman" w:eastAsiaTheme="majorEastAsia" w:hAnsi="Times New Roman" w:cs="Calibri"/>
          <w:sz w:val="22"/>
          <w:szCs w:val="22"/>
        </w:rPr>
        <w:t>s</w:t>
      </w:r>
      <w:r w:rsidRPr="004A66F0">
        <w:rPr>
          <w:rFonts w:ascii="Times New Roman" w:eastAsiaTheme="majorEastAsia" w:hAnsi="Times New Roman" w:cs="Calibri"/>
          <w:sz w:val="22"/>
          <w:szCs w:val="22"/>
        </w:rPr>
        <w:t xml:space="preserve"> disminuirán, no obstante, se mantendrán arriba del promedio de los últimos años.</w:t>
      </w:r>
    </w:p>
    <w:p w14:paraId="44047DCF" w14:textId="77777777" w:rsidR="004A66F0" w:rsidRPr="004A66F0" w:rsidRDefault="004A66F0" w:rsidP="008D7BB4">
      <w:pPr>
        <w:spacing w:line="276" w:lineRule="auto"/>
        <w:contextualSpacing/>
        <w:jc w:val="both"/>
        <w:rPr>
          <w:rFonts w:ascii="Times New Roman" w:eastAsiaTheme="majorEastAsia" w:hAnsi="Times New Roman" w:cs="Calibri"/>
          <w:sz w:val="22"/>
          <w:szCs w:val="22"/>
        </w:rPr>
      </w:pPr>
    </w:p>
    <w:p w14:paraId="7B5B45A3" w14:textId="574E6A55" w:rsidR="004A66F0" w:rsidRPr="004A66F0" w:rsidRDefault="004A66F0" w:rsidP="008D7BB4">
      <w:pPr>
        <w:numPr>
          <w:ilvl w:val="0"/>
          <w:numId w:val="36"/>
        </w:numPr>
        <w:spacing w:line="276" w:lineRule="auto"/>
        <w:contextualSpacing/>
        <w:jc w:val="both"/>
        <w:rPr>
          <w:rFonts w:ascii="Times New Roman" w:eastAsiaTheme="majorEastAsia" w:hAnsi="Times New Roman" w:cs="Calibri"/>
          <w:color w:val="000000" w:themeColor="text1"/>
          <w:sz w:val="22"/>
          <w:szCs w:val="22"/>
        </w:rPr>
      </w:pPr>
      <w:r w:rsidRPr="004A66F0">
        <w:rPr>
          <w:rFonts w:ascii="Times New Roman" w:eastAsiaTheme="majorEastAsia" w:hAnsi="Times New Roman" w:cs="Calibri"/>
          <w:sz w:val="22"/>
          <w:szCs w:val="22"/>
        </w:rPr>
        <w:t xml:space="preserve">Los </w:t>
      </w:r>
      <w:r w:rsidRPr="004A66F0">
        <w:rPr>
          <w:rFonts w:ascii="Times New Roman" w:eastAsiaTheme="majorEastAsia" w:hAnsi="Times New Roman" w:cs="Calibri"/>
          <w:color w:val="000000" w:themeColor="text1"/>
          <w:sz w:val="22"/>
          <w:szCs w:val="22"/>
        </w:rPr>
        <w:t>precios de las materias prima</w:t>
      </w:r>
      <w:r w:rsidR="00531450">
        <w:rPr>
          <w:rFonts w:ascii="Times New Roman" w:eastAsiaTheme="majorEastAsia" w:hAnsi="Times New Roman" w:cs="Calibri"/>
          <w:color w:val="000000" w:themeColor="text1"/>
          <w:sz w:val="22"/>
          <w:szCs w:val="22"/>
        </w:rPr>
        <w:t>s</w:t>
      </w:r>
      <w:r w:rsidRPr="004A66F0">
        <w:rPr>
          <w:rFonts w:ascii="Times New Roman" w:eastAsiaTheme="majorEastAsia" w:hAnsi="Times New Roman" w:cs="Calibri"/>
          <w:color w:val="000000" w:themeColor="text1"/>
          <w:sz w:val="22"/>
          <w:szCs w:val="22"/>
        </w:rPr>
        <w:t xml:space="preserve"> de energía se espera que disminuyan un 11.2% en 2023, después de un incremento de 60.0% en 2022. En particular, el Banco Mundial pronóstica que el precio del crudo de petróleo se encuentre en USD$80.0 en 2023, este pronóstico va en línea con el deterioro de las perspectivas macroeconómicas, que compensan un cambio en el consumo de gas natural con el consumo de petróleo y una menor producción de la OPEP+. Por su parte la OPEP, prevé que la demanda de crudo de petróleo mundial aumente 2.2 </w:t>
      </w:r>
      <w:proofErr w:type="spellStart"/>
      <w:r w:rsidRPr="004A66F0">
        <w:rPr>
          <w:rFonts w:ascii="Times New Roman" w:eastAsiaTheme="majorEastAsia" w:hAnsi="Times New Roman" w:cs="Calibri"/>
          <w:color w:val="000000" w:themeColor="text1"/>
          <w:sz w:val="22"/>
          <w:szCs w:val="22"/>
        </w:rPr>
        <w:t>mb</w:t>
      </w:r>
      <w:proofErr w:type="spellEnd"/>
      <w:r w:rsidRPr="004A66F0">
        <w:rPr>
          <w:rFonts w:ascii="Times New Roman" w:eastAsiaTheme="majorEastAsia" w:hAnsi="Times New Roman" w:cs="Calibri"/>
          <w:color w:val="000000" w:themeColor="text1"/>
          <w:sz w:val="22"/>
          <w:szCs w:val="22"/>
        </w:rPr>
        <w:t xml:space="preserve">/d y se ubique en 2022 en 101.8 </w:t>
      </w:r>
      <w:proofErr w:type="spellStart"/>
      <w:r w:rsidRPr="004A66F0">
        <w:rPr>
          <w:rFonts w:ascii="Times New Roman" w:eastAsiaTheme="majorEastAsia" w:hAnsi="Times New Roman" w:cs="Calibri"/>
          <w:color w:val="000000" w:themeColor="text1"/>
          <w:sz w:val="22"/>
          <w:szCs w:val="22"/>
        </w:rPr>
        <w:t>mb</w:t>
      </w:r>
      <w:proofErr w:type="spellEnd"/>
      <w:r w:rsidRPr="004A66F0">
        <w:rPr>
          <w:rFonts w:ascii="Times New Roman" w:eastAsiaTheme="majorEastAsia" w:hAnsi="Times New Roman" w:cs="Calibri"/>
          <w:color w:val="000000" w:themeColor="text1"/>
          <w:sz w:val="22"/>
          <w:szCs w:val="22"/>
        </w:rPr>
        <w:t xml:space="preserve">/d, por su parte la producción de crudo es estima que se encuentre en 72.6 </w:t>
      </w:r>
      <w:proofErr w:type="spellStart"/>
      <w:r w:rsidRPr="004A66F0">
        <w:rPr>
          <w:rFonts w:ascii="Times New Roman" w:eastAsiaTheme="majorEastAsia" w:hAnsi="Times New Roman" w:cs="Calibri"/>
          <w:color w:val="000000" w:themeColor="text1"/>
          <w:sz w:val="22"/>
          <w:szCs w:val="22"/>
        </w:rPr>
        <w:t>mb</w:t>
      </w:r>
      <w:proofErr w:type="spellEnd"/>
      <w:r w:rsidRPr="004A66F0">
        <w:rPr>
          <w:rFonts w:ascii="Times New Roman" w:eastAsiaTheme="majorEastAsia" w:hAnsi="Times New Roman" w:cs="Calibri"/>
          <w:color w:val="000000" w:themeColor="text1"/>
          <w:sz w:val="22"/>
          <w:szCs w:val="22"/>
        </w:rPr>
        <w:t>/d. No obstante, estos pronósticos están sujetos a una alta incertidumbre derivados del desempeño de la economía global, cambios en políticas para contener el Covid-19 y las tensiones geopolíticas.</w:t>
      </w:r>
    </w:p>
    <w:p w14:paraId="778B7D71" w14:textId="77777777" w:rsidR="004A66F0" w:rsidRPr="004A66F0" w:rsidRDefault="004A66F0" w:rsidP="008D7BB4">
      <w:pPr>
        <w:spacing w:line="276" w:lineRule="auto"/>
        <w:contextualSpacing/>
        <w:jc w:val="both"/>
        <w:rPr>
          <w:rFonts w:ascii="Times New Roman" w:eastAsia="AGaramondPro-Regular" w:hAnsi="Times New Roman" w:cs="Calibri"/>
          <w:color w:val="000000" w:themeColor="text1"/>
          <w:sz w:val="22"/>
          <w:szCs w:val="22"/>
        </w:rPr>
      </w:pPr>
    </w:p>
    <w:p w14:paraId="3D584260" w14:textId="46E9F83F" w:rsidR="004A66F0" w:rsidRPr="004A66F0" w:rsidRDefault="004A66F0" w:rsidP="008D7BB4">
      <w:pPr>
        <w:numPr>
          <w:ilvl w:val="0"/>
          <w:numId w:val="36"/>
        </w:numPr>
        <w:spacing w:line="276" w:lineRule="auto"/>
        <w:contextualSpacing/>
        <w:jc w:val="both"/>
        <w:rPr>
          <w:rFonts w:ascii="Times New Roman" w:eastAsia="AGaramondPro-Regular" w:hAnsi="Times New Roman" w:cs="Calibri"/>
          <w:sz w:val="22"/>
          <w:szCs w:val="22"/>
        </w:rPr>
      </w:pPr>
      <w:r w:rsidRPr="004A66F0">
        <w:rPr>
          <w:rFonts w:ascii="Times New Roman" w:eastAsia="AGaramondPro-Regular" w:hAnsi="Times New Roman" w:cs="Calibri"/>
          <w:sz w:val="22"/>
          <w:szCs w:val="22"/>
        </w:rPr>
        <w:t>Por su parte, el índice de precios de materias prima</w:t>
      </w:r>
      <w:r w:rsidR="00531450">
        <w:rPr>
          <w:rFonts w:ascii="Times New Roman" w:eastAsia="AGaramondPro-Regular" w:hAnsi="Times New Roman" w:cs="Calibri"/>
          <w:sz w:val="22"/>
          <w:szCs w:val="22"/>
        </w:rPr>
        <w:t>s</w:t>
      </w:r>
      <w:r w:rsidRPr="004A66F0">
        <w:rPr>
          <w:rFonts w:ascii="Times New Roman" w:eastAsia="AGaramondPro-Regular" w:hAnsi="Times New Roman" w:cs="Calibri"/>
          <w:sz w:val="22"/>
          <w:szCs w:val="22"/>
        </w:rPr>
        <w:t xml:space="preserve"> de agricultura se espera que disminuya 4.5% en 2023, derivado también del deterioro global, también se espera un declive en los inventarios de las materias prima</w:t>
      </w:r>
      <w:r w:rsidR="00531450">
        <w:rPr>
          <w:rFonts w:ascii="Times New Roman" w:eastAsia="AGaramondPro-Regular" w:hAnsi="Times New Roman" w:cs="Calibri"/>
          <w:sz w:val="22"/>
          <w:szCs w:val="22"/>
        </w:rPr>
        <w:t>s</w:t>
      </w:r>
      <w:r w:rsidRPr="004A66F0">
        <w:rPr>
          <w:rFonts w:ascii="Times New Roman" w:eastAsia="AGaramondPro-Regular" w:hAnsi="Times New Roman" w:cs="Calibri"/>
          <w:sz w:val="22"/>
          <w:szCs w:val="22"/>
        </w:rPr>
        <w:t xml:space="preserve"> de alimento debido a la demanda proyectada y una disminución de la producción mundial de maíz, trigo y arroz del 2.3% esta temporada según el Departamento de Agricultura de E.E.U.U. En lo que respecta a metales y minerales, el Banco Mundial proyecta una disminución del 15.2%. debido al debilitamiento industrial global después de la pandemia y que China, el país con mayor consumo de estos metales, continúa con restricciones por COVID-19 y por el estrés en el sector inmobiliario. Por último, para los metales preciosos se espera una disminución del 3.6% para 2023 por el aumento de las tasas de interés y la posibilidad de una posible recesión.</w:t>
      </w:r>
    </w:p>
    <w:p w14:paraId="7DF72D1F" w14:textId="77777777" w:rsidR="004A66F0" w:rsidRPr="004A66F0" w:rsidRDefault="004A66F0" w:rsidP="008D7BB4">
      <w:pPr>
        <w:spacing w:line="276" w:lineRule="auto"/>
        <w:contextualSpacing/>
        <w:jc w:val="both"/>
        <w:rPr>
          <w:rFonts w:ascii="Times New Roman" w:eastAsia="AGaramondPro-Regular" w:hAnsi="Times New Roman" w:cs="Calibri"/>
          <w:color w:val="C00000"/>
          <w:sz w:val="22"/>
          <w:szCs w:val="22"/>
        </w:rPr>
      </w:pP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5"/>
        <w:gridCol w:w="4365"/>
      </w:tblGrid>
      <w:tr w:rsidR="004A66F0" w:rsidRPr="004A66F0" w14:paraId="7572EAF5" w14:textId="77777777" w:rsidTr="00F85317">
        <w:tc>
          <w:tcPr>
            <w:tcW w:w="4697" w:type="dxa"/>
          </w:tcPr>
          <w:p w14:paraId="0E8AECB6" w14:textId="2C6B0070" w:rsidR="004A66F0" w:rsidRPr="009F246B" w:rsidRDefault="009F246B" w:rsidP="008D7BB4">
            <w:pPr>
              <w:spacing w:line="276" w:lineRule="auto"/>
              <w:contextualSpacing/>
              <w:jc w:val="center"/>
              <w:rPr>
                <w:rFonts w:ascii="Times New Roman" w:eastAsia="AGaramondPro-Regular" w:hAnsi="Times New Roman" w:cs="Calibri"/>
                <w:b/>
                <w:bCs/>
                <w:sz w:val="22"/>
                <w:szCs w:val="22"/>
              </w:rPr>
            </w:pPr>
            <w:bookmarkStart w:id="105" w:name="_Toc125733220"/>
            <w:r w:rsidRPr="009F246B">
              <w:rPr>
                <w:rFonts w:ascii="Times New Roman" w:eastAsia="Times New Roman" w:hAnsi="Times New Roman"/>
                <w:b/>
                <w:sz w:val="22"/>
                <w:szCs w:val="22"/>
              </w:rPr>
              <w:t xml:space="preserve">Gráfico </w:t>
            </w:r>
            <w:r w:rsidRPr="009F246B">
              <w:rPr>
                <w:rFonts w:ascii="Times New Roman" w:eastAsia="Times New Roman" w:hAnsi="Times New Roman"/>
                <w:b/>
                <w:sz w:val="22"/>
                <w:szCs w:val="22"/>
              </w:rPr>
              <w:fldChar w:fldCharType="begin"/>
            </w:r>
            <w:r w:rsidRPr="009F246B">
              <w:rPr>
                <w:rFonts w:ascii="Times New Roman" w:eastAsia="Times New Roman" w:hAnsi="Times New Roman"/>
                <w:b/>
                <w:sz w:val="22"/>
                <w:szCs w:val="22"/>
              </w:rPr>
              <w:instrText xml:space="preserve"> SEQ Gráfico \* ARABIC </w:instrText>
            </w:r>
            <w:r w:rsidRPr="009F246B">
              <w:rPr>
                <w:rFonts w:ascii="Times New Roman" w:eastAsia="Times New Roman" w:hAnsi="Times New Roman"/>
                <w:b/>
                <w:sz w:val="22"/>
                <w:szCs w:val="22"/>
              </w:rPr>
              <w:fldChar w:fldCharType="separate"/>
            </w:r>
            <w:r w:rsidR="006F4BE5">
              <w:rPr>
                <w:rFonts w:ascii="Times New Roman" w:eastAsia="Times New Roman" w:hAnsi="Times New Roman"/>
                <w:b/>
                <w:noProof/>
                <w:sz w:val="22"/>
                <w:szCs w:val="22"/>
              </w:rPr>
              <w:t>24</w:t>
            </w:r>
            <w:r w:rsidRPr="009F246B">
              <w:rPr>
                <w:rFonts w:ascii="Times New Roman" w:eastAsia="Times New Roman" w:hAnsi="Times New Roman"/>
                <w:b/>
                <w:sz w:val="22"/>
                <w:szCs w:val="22"/>
              </w:rPr>
              <w:fldChar w:fldCharType="end"/>
            </w:r>
            <w:r w:rsidRPr="009F246B">
              <w:rPr>
                <w:rFonts w:ascii="Times New Roman" w:eastAsiaTheme="majorEastAsia" w:hAnsi="Times New Roman" w:cs="Calibri"/>
                <w:b/>
                <w:bCs/>
                <w:sz w:val="22"/>
                <w:szCs w:val="22"/>
              </w:rPr>
              <w:t xml:space="preserve">. </w:t>
            </w:r>
            <w:r w:rsidR="004A66F0" w:rsidRPr="009F246B">
              <w:rPr>
                <w:rFonts w:ascii="Times New Roman" w:eastAsia="AGaramondPro-Regular" w:hAnsi="Times New Roman" w:cs="Calibri"/>
                <w:b/>
                <w:bCs/>
                <w:sz w:val="22"/>
                <w:szCs w:val="22"/>
              </w:rPr>
              <w:t>Pronóstico del precio del barril de crudo de petróleo WTI (USD$).</w:t>
            </w:r>
            <w:bookmarkEnd w:id="105"/>
          </w:p>
        </w:tc>
        <w:tc>
          <w:tcPr>
            <w:tcW w:w="4697" w:type="dxa"/>
          </w:tcPr>
          <w:p w14:paraId="02A7ABB5" w14:textId="5905EAC6" w:rsidR="004A66F0" w:rsidRPr="009F246B" w:rsidRDefault="009F246B" w:rsidP="008D7BB4">
            <w:pPr>
              <w:spacing w:line="276" w:lineRule="auto"/>
              <w:contextualSpacing/>
              <w:jc w:val="center"/>
              <w:rPr>
                <w:rFonts w:ascii="Times New Roman" w:eastAsia="AGaramondPro-Regular" w:hAnsi="Times New Roman" w:cs="Calibri"/>
                <w:b/>
                <w:bCs/>
                <w:sz w:val="22"/>
                <w:szCs w:val="22"/>
              </w:rPr>
            </w:pPr>
            <w:bookmarkStart w:id="106" w:name="_Toc125733221"/>
            <w:r w:rsidRPr="009F246B">
              <w:rPr>
                <w:rFonts w:ascii="Times New Roman" w:eastAsia="Times New Roman" w:hAnsi="Times New Roman"/>
                <w:b/>
                <w:sz w:val="22"/>
                <w:szCs w:val="22"/>
              </w:rPr>
              <w:t xml:space="preserve">Gráfico </w:t>
            </w:r>
            <w:r w:rsidRPr="009F246B">
              <w:rPr>
                <w:rFonts w:ascii="Times New Roman" w:eastAsia="Times New Roman" w:hAnsi="Times New Roman"/>
                <w:b/>
                <w:sz w:val="22"/>
                <w:szCs w:val="22"/>
              </w:rPr>
              <w:fldChar w:fldCharType="begin"/>
            </w:r>
            <w:r w:rsidRPr="009F246B">
              <w:rPr>
                <w:rFonts w:ascii="Times New Roman" w:eastAsia="Times New Roman" w:hAnsi="Times New Roman"/>
                <w:b/>
                <w:sz w:val="22"/>
                <w:szCs w:val="22"/>
              </w:rPr>
              <w:instrText xml:space="preserve"> SEQ Gráfico \* ARABIC </w:instrText>
            </w:r>
            <w:r w:rsidRPr="009F246B">
              <w:rPr>
                <w:rFonts w:ascii="Times New Roman" w:eastAsia="Times New Roman" w:hAnsi="Times New Roman"/>
                <w:b/>
                <w:sz w:val="22"/>
                <w:szCs w:val="22"/>
              </w:rPr>
              <w:fldChar w:fldCharType="separate"/>
            </w:r>
            <w:r w:rsidR="006F4BE5">
              <w:rPr>
                <w:rFonts w:ascii="Times New Roman" w:eastAsia="Times New Roman" w:hAnsi="Times New Roman"/>
                <w:b/>
                <w:noProof/>
                <w:sz w:val="22"/>
                <w:szCs w:val="22"/>
              </w:rPr>
              <w:t>25</w:t>
            </w:r>
            <w:r w:rsidRPr="009F246B">
              <w:rPr>
                <w:rFonts w:ascii="Times New Roman" w:eastAsia="Times New Roman" w:hAnsi="Times New Roman"/>
                <w:b/>
                <w:sz w:val="22"/>
                <w:szCs w:val="22"/>
              </w:rPr>
              <w:fldChar w:fldCharType="end"/>
            </w:r>
            <w:r w:rsidRPr="009F246B">
              <w:rPr>
                <w:rFonts w:ascii="Times New Roman" w:eastAsiaTheme="majorEastAsia" w:hAnsi="Times New Roman" w:cs="Calibri"/>
                <w:b/>
                <w:bCs/>
                <w:sz w:val="22"/>
                <w:szCs w:val="22"/>
              </w:rPr>
              <w:t xml:space="preserve">. </w:t>
            </w:r>
            <w:r w:rsidR="004A66F0" w:rsidRPr="009F246B">
              <w:rPr>
                <w:rFonts w:ascii="Times New Roman" w:eastAsia="AGaramondPro-Regular" w:hAnsi="Times New Roman" w:cs="Calibri"/>
                <w:b/>
                <w:bCs/>
                <w:sz w:val="22"/>
                <w:szCs w:val="22"/>
              </w:rPr>
              <w:t>Pronóstico de la variación interanual de los índices de precios del Banco Mundial (%)</w:t>
            </w:r>
            <w:bookmarkEnd w:id="106"/>
          </w:p>
        </w:tc>
      </w:tr>
      <w:tr w:rsidR="004A66F0" w:rsidRPr="004A66F0" w14:paraId="1CD32362" w14:textId="77777777" w:rsidTr="00F85317">
        <w:tc>
          <w:tcPr>
            <w:tcW w:w="4697" w:type="dxa"/>
          </w:tcPr>
          <w:p w14:paraId="54ACBFA7" w14:textId="4B7066CB" w:rsidR="004A66F0" w:rsidRPr="004A66F0" w:rsidRDefault="004A66F0" w:rsidP="008D7BB4">
            <w:pPr>
              <w:spacing w:line="276" w:lineRule="auto"/>
              <w:contextualSpacing/>
              <w:jc w:val="center"/>
              <w:rPr>
                <w:rFonts w:ascii="Times New Roman" w:eastAsia="AGaramondPro-Regular" w:hAnsi="Times New Roman" w:cs="Calibri"/>
                <w:sz w:val="22"/>
                <w:szCs w:val="22"/>
              </w:rPr>
            </w:pPr>
            <w:r w:rsidRPr="004A66F0">
              <w:rPr>
                <w:rFonts w:ascii="Times New Roman" w:eastAsiaTheme="majorEastAsia" w:hAnsi="Times New Roman" w:cs="Calibri"/>
                <w:b/>
                <w:noProof/>
                <w:sz w:val="22"/>
                <w:szCs w:val="26"/>
              </w:rPr>
              <w:drawing>
                <wp:inline distT="0" distB="0" distL="0" distR="0" wp14:anchorId="75A02E20" wp14:editId="672D2EFC">
                  <wp:extent cx="2524125" cy="1798320"/>
                  <wp:effectExtent l="0" t="0" r="0" b="0"/>
                  <wp:docPr id="15" name="Gráfico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c>
          <w:tcPr>
            <w:tcW w:w="4697" w:type="dxa"/>
          </w:tcPr>
          <w:p w14:paraId="024143D0" w14:textId="4947C67F" w:rsidR="004A66F0" w:rsidRPr="004A66F0" w:rsidRDefault="004A66F0" w:rsidP="008D7BB4">
            <w:pPr>
              <w:spacing w:line="276" w:lineRule="auto"/>
              <w:contextualSpacing/>
              <w:jc w:val="center"/>
              <w:rPr>
                <w:rFonts w:ascii="Times New Roman" w:eastAsia="AGaramondPro-Regular" w:hAnsi="Times New Roman" w:cs="Calibri"/>
                <w:sz w:val="22"/>
                <w:szCs w:val="22"/>
              </w:rPr>
            </w:pPr>
            <w:r w:rsidRPr="004A66F0">
              <w:rPr>
                <w:rFonts w:ascii="Times New Roman" w:eastAsia="Times New Roman" w:hAnsi="Times New Roman" w:cs="Calibri"/>
                <w:noProof/>
                <w:sz w:val="22"/>
                <w:szCs w:val="22"/>
              </w:rPr>
              <w:drawing>
                <wp:inline distT="0" distB="0" distL="0" distR="0" wp14:anchorId="1D167577" wp14:editId="090CC0A9">
                  <wp:extent cx="2524125" cy="1798320"/>
                  <wp:effectExtent l="0" t="0" r="0" b="0"/>
                  <wp:docPr id="14" name="Gráfico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r w:rsidR="004A66F0" w:rsidRPr="004A66F0" w14:paraId="38FB8FAE" w14:textId="77777777" w:rsidTr="00F85317">
        <w:tc>
          <w:tcPr>
            <w:tcW w:w="9394" w:type="dxa"/>
            <w:gridSpan w:val="2"/>
          </w:tcPr>
          <w:p w14:paraId="6B012F82" w14:textId="77777777" w:rsidR="004A66F0" w:rsidRPr="008C3120" w:rsidRDefault="004A66F0" w:rsidP="008D7BB4">
            <w:pPr>
              <w:spacing w:line="276" w:lineRule="auto"/>
              <w:contextualSpacing/>
              <w:jc w:val="both"/>
              <w:rPr>
                <w:rFonts w:ascii="Times New Roman" w:eastAsia="AGaramondPro-Regular" w:hAnsi="Times New Roman" w:cs="Calibri"/>
                <w:sz w:val="18"/>
                <w:szCs w:val="18"/>
              </w:rPr>
            </w:pPr>
            <w:r w:rsidRPr="004A66F0">
              <w:rPr>
                <w:rFonts w:ascii="Times New Roman" w:eastAsia="AGaramondPro-Regular" w:hAnsi="Times New Roman" w:cs="Calibri"/>
                <w:sz w:val="20"/>
                <w:szCs w:val="20"/>
              </w:rPr>
              <w:t xml:space="preserve"> </w:t>
            </w:r>
            <w:r w:rsidRPr="008C3120">
              <w:rPr>
                <w:rFonts w:ascii="Times New Roman" w:eastAsia="AGaramondPro-Regular" w:hAnsi="Times New Roman" w:cs="Calibri"/>
                <w:sz w:val="18"/>
                <w:szCs w:val="18"/>
              </w:rPr>
              <w:t>Fuente: Banco Mundial</w:t>
            </w:r>
          </w:p>
          <w:p w14:paraId="278874F4" w14:textId="77777777" w:rsidR="004A66F0" w:rsidRPr="004A66F0" w:rsidRDefault="004A66F0" w:rsidP="008D7BB4">
            <w:pPr>
              <w:spacing w:line="276" w:lineRule="auto"/>
              <w:contextualSpacing/>
              <w:jc w:val="both"/>
              <w:rPr>
                <w:rFonts w:ascii="Times New Roman" w:eastAsia="AGaramondPro-Regular" w:hAnsi="Times New Roman" w:cs="Calibri"/>
                <w:sz w:val="20"/>
                <w:szCs w:val="20"/>
              </w:rPr>
            </w:pPr>
            <w:r w:rsidRPr="008C3120">
              <w:rPr>
                <w:rFonts w:ascii="Times New Roman" w:eastAsia="AGaramondPro-Regular" w:hAnsi="Times New Roman" w:cs="Calibri"/>
                <w:sz w:val="18"/>
                <w:szCs w:val="18"/>
              </w:rPr>
              <w:t xml:space="preserve"> Nota: las perspectivas de las materias prima corresponden a octubre 2022.</w:t>
            </w:r>
          </w:p>
        </w:tc>
      </w:tr>
    </w:tbl>
    <w:p w14:paraId="25C3D44A" w14:textId="77777777" w:rsidR="004A66F0" w:rsidRPr="004A66F0" w:rsidRDefault="004A66F0" w:rsidP="008D7BB4">
      <w:pPr>
        <w:spacing w:line="276" w:lineRule="auto"/>
        <w:contextualSpacing/>
        <w:jc w:val="both"/>
        <w:rPr>
          <w:rFonts w:ascii="Times New Roman" w:eastAsia="AGaramondPro-Regular" w:hAnsi="Times New Roman" w:cs="Calibri"/>
          <w:sz w:val="20"/>
          <w:szCs w:val="20"/>
        </w:rPr>
      </w:pPr>
    </w:p>
    <w:p w14:paraId="64B3D8B2" w14:textId="77777777" w:rsidR="004A66F0" w:rsidRPr="004A66F0" w:rsidRDefault="004A66F0" w:rsidP="008D7BB4">
      <w:pPr>
        <w:spacing w:line="276" w:lineRule="auto"/>
        <w:contextualSpacing/>
        <w:jc w:val="both"/>
        <w:rPr>
          <w:rFonts w:ascii="Times New Roman" w:eastAsia="AGaramondPro-Regular" w:hAnsi="Times New Roman" w:cs="Calibri"/>
          <w:sz w:val="22"/>
          <w:szCs w:val="22"/>
        </w:rPr>
      </w:pPr>
    </w:p>
    <w:p w14:paraId="628D1F3F" w14:textId="77777777" w:rsidR="004A66F0" w:rsidRPr="00A36506" w:rsidRDefault="004A66F0" w:rsidP="008D7BB4">
      <w:pPr>
        <w:pStyle w:val="Prrafodelista"/>
        <w:keepNext/>
        <w:keepLines/>
        <w:numPr>
          <w:ilvl w:val="1"/>
          <w:numId w:val="20"/>
        </w:numPr>
        <w:tabs>
          <w:tab w:val="left" w:pos="1134"/>
        </w:tabs>
        <w:spacing w:line="276" w:lineRule="auto"/>
        <w:jc w:val="both"/>
        <w:outlineLvl w:val="1"/>
        <w:rPr>
          <w:rFonts w:ascii="Times New Roman" w:eastAsiaTheme="majorEastAsia" w:hAnsi="Times New Roman" w:cs="Times New Roman"/>
          <w:bCs/>
        </w:rPr>
      </w:pPr>
      <w:r w:rsidRPr="00A36506">
        <w:rPr>
          <w:rFonts w:ascii="Times New Roman" w:eastAsiaTheme="majorEastAsia" w:hAnsi="Times New Roman" w:cs="Times New Roman"/>
          <w:b/>
          <w:bCs/>
        </w:rPr>
        <w:t xml:space="preserve">  </w:t>
      </w:r>
      <w:bookmarkStart w:id="107" w:name="_Toc94259652"/>
      <w:bookmarkStart w:id="108" w:name="_Toc125723298"/>
      <w:r w:rsidRPr="00A36506">
        <w:rPr>
          <w:rFonts w:ascii="Times New Roman" w:eastAsiaTheme="majorEastAsia" w:hAnsi="Times New Roman" w:cs="Times New Roman"/>
          <w:b/>
          <w:bCs/>
        </w:rPr>
        <w:t>Supuestos para la economía interna</w:t>
      </w:r>
      <w:bookmarkEnd w:id="107"/>
      <w:bookmarkEnd w:id="108"/>
    </w:p>
    <w:p w14:paraId="5AF49405" w14:textId="77777777" w:rsidR="004A66F0" w:rsidRPr="004A66F0" w:rsidRDefault="004A66F0" w:rsidP="008D7BB4">
      <w:pPr>
        <w:spacing w:line="276" w:lineRule="auto"/>
        <w:contextualSpacing/>
        <w:jc w:val="both"/>
        <w:rPr>
          <w:rFonts w:ascii="Times New Roman" w:eastAsia="Times New Roman" w:hAnsi="Times New Roman" w:cs="Calibri"/>
          <w:sz w:val="22"/>
          <w:szCs w:val="22"/>
        </w:rPr>
      </w:pPr>
    </w:p>
    <w:p w14:paraId="73DF5F60" w14:textId="77777777" w:rsidR="004A66F0" w:rsidRPr="004A66F0" w:rsidRDefault="004A66F0" w:rsidP="008D7BB4">
      <w:pPr>
        <w:numPr>
          <w:ilvl w:val="0"/>
          <w:numId w:val="37"/>
        </w:numPr>
        <w:spacing w:line="276" w:lineRule="auto"/>
        <w:contextualSpacing/>
        <w:jc w:val="both"/>
        <w:rPr>
          <w:rFonts w:ascii="Times New Roman" w:eastAsia="Times New Roman" w:hAnsi="Times New Roman" w:cs="Calibri"/>
          <w:sz w:val="22"/>
          <w:szCs w:val="22"/>
        </w:rPr>
      </w:pPr>
      <w:r w:rsidRPr="004A66F0">
        <w:rPr>
          <w:rFonts w:ascii="Times New Roman" w:eastAsia="Times New Roman" w:hAnsi="Times New Roman" w:cs="Calibri"/>
          <w:sz w:val="22"/>
          <w:szCs w:val="22"/>
        </w:rPr>
        <w:t xml:space="preserve">Después de la recuperación en 2021, la economía nacional tuvo un crecimiento robusto y mayor al potencial al registrar 4.0%, según la estimación de cierre del Banco de Guatemala, esto derivado de un crecimiento observado en el consumo tanto público como privado, y una inversión moderada impulsada principalmente por la construcción, además de una demanda externa de bienes y servicios mayor en los principales socios comerciales. </w:t>
      </w:r>
    </w:p>
    <w:p w14:paraId="5B5AE4BA" w14:textId="77777777" w:rsidR="004A66F0" w:rsidRPr="004A66F0" w:rsidRDefault="004A66F0" w:rsidP="008D7BB4">
      <w:pPr>
        <w:spacing w:line="276" w:lineRule="auto"/>
        <w:contextualSpacing/>
        <w:jc w:val="both"/>
        <w:rPr>
          <w:rFonts w:ascii="Times New Roman" w:eastAsia="Times New Roman" w:hAnsi="Times New Roman" w:cs="Calibri"/>
          <w:sz w:val="22"/>
          <w:szCs w:val="22"/>
        </w:rPr>
      </w:pPr>
    </w:p>
    <w:p w14:paraId="4905A157" w14:textId="18E573D0" w:rsidR="004A66F0" w:rsidRPr="004A66F0" w:rsidRDefault="004A66F0" w:rsidP="008D7BB4">
      <w:pPr>
        <w:numPr>
          <w:ilvl w:val="0"/>
          <w:numId w:val="37"/>
        </w:numPr>
        <w:spacing w:line="276" w:lineRule="auto"/>
        <w:contextualSpacing/>
        <w:jc w:val="both"/>
        <w:rPr>
          <w:rFonts w:ascii="Times New Roman" w:eastAsia="Times New Roman" w:hAnsi="Times New Roman" w:cs="Calibri"/>
          <w:sz w:val="22"/>
          <w:szCs w:val="22"/>
        </w:rPr>
      </w:pPr>
      <w:r w:rsidRPr="004A66F0">
        <w:rPr>
          <w:rFonts w:ascii="Times New Roman" w:eastAsia="Times New Roman" w:hAnsi="Times New Roman" w:cs="Calibri"/>
          <w:sz w:val="22"/>
          <w:szCs w:val="22"/>
        </w:rPr>
        <w:t>Para el 2023, se espera un retorno al crecimiento de largo plazo de 3.5% con un rango de entre 2.5% y 4.5%</w:t>
      </w:r>
      <w:r w:rsidR="00531450">
        <w:rPr>
          <w:rFonts w:ascii="Times New Roman" w:eastAsia="Times New Roman" w:hAnsi="Times New Roman" w:cs="Calibri"/>
          <w:sz w:val="22"/>
          <w:szCs w:val="22"/>
        </w:rPr>
        <w:t>,</w:t>
      </w:r>
      <w:r w:rsidRPr="004A66F0">
        <w:rPr>
          <w:rFonts w:ascii="Times New Roman" w:eastAsia="Times New Roman" w:hAnsi="Times New Roman" w:cs="Calibri"/>
          <w:sz w:val="22"/>
          <w:szCs w:val="22"/>
        </w:rPr>
        <w:t xml:space="preserve"> esto a pesar de algún tipo de inestabilidad por ser año electoral y principalmente con observación del comportamiento de la inflación, el cual impacta directamente en la demanda interna. No obstante, se prevé que dicha demanda crezca 3.4%, estimulada en su mayor parte por el consumo privado, asociado al aumento de las </w:t>
      </w:r>
      <w:r w:rsidRPr="004A66F0">
        <w:rPr>
          <w:rFonts w:ascii="Times New Roman" w:eastAsia="Times New Roman" w:hAnsi="Times New Roman" w:cs="Calibri"/>
          <w:sz w:val="22"/>
          <w:szCs w:val="22"/>
        </w:rPr>
        <w:lastRenderedPageBreak/>
        <w:t>remuneraciones de los hogares, de las remesas familiares y de las condiciones crediticias favorables. Además, se estima un incremento de 2.8% en el consumo de gobierno general, según el presupuesto aprobado para el ejercicio fiscal 2023.  Asimismo, se prevé haya una recuperación de la inversión de 4.5% para el presente año, después de un crecimiento moderado de 1.6% en 2022, debido a las edificaciones y un crecimiento en las importaciones de bienes de capital.</w:t>
      </w:r>
    </w:p>
    <w:p w14:paraId="780B646A" w14:textId="77777777" w:rsidR="004A66F0" w:rsidRPr="004A66F0" w:rsidRDefault="004A66F0" w:rsidP="008D7BB4">
      <w:pPr>
        <w:spacing w:line="276" w:lineRule="auto"/>
        <w:contextualSpacing/>
        <w:jc w:val="both"/>
        <w:rPr>
          <w:rFonts w:ascii="Times New Roman" w:eastAsia="Times New Roman" w:hAnsi="Times New Roman" w:cs="Calibri"/>
          <w:sz w:val="22"/>
          <w:szCs w:val="22"/>
        </w:rPr>
      </w:pPr>
    </w:p>
    <w:p w14:paraId="6818203B" w14:textId="0A0BEB8B" w:rsidR="004A66F0" w:rsidRDefault="004A66F0" w:rsidP="008D7BB4">
      <w:pPr>
        <w:numPr>
          <w:ilvl w:val="0"/>
          <w:numId w:val="37"/>
        </w:numPr>
        <w:spacing w:line="276" w:lineRule="auto"/>
        <w:contextualSpacing/>
        <w:jc w:val="both"/>
        <w:rPr>
          <w:rFonts w:ascii="Times New Roman" w:eastAsia="Times New Roman" w:hAnsi="Times New Roman" w:cs="Calibri"/>
          <w:sz w:val="22"/>
          <w:szCs w:val="22"/>
        </w:rPr>
      </w:pPr>
      <w:r w:rsidRPr="004A66F0">
        <w:rPr>
          <w:rFonts w:ascii="Times New Roman" w:eastAsia="Times New Roman" w:hAnsi="Times New Roman" w:cs="Calibri"/>
          <w:sz w:val="22"/>
          <w:szCs w:val="22"/>
        </w:rPr>
        <w:t>A pesar de la alta incertidumbre de la economía mundial y de los principales socios comerciales en el 2023, se espera que las exportaciones de bienes y servicios tengan un crecimiento real de 3.4%, después de un crecimiento dinámico de 5.1% en 2022 a pesar de los distintos choques negativos en el comercio mundial. Por su parte para las importaciones se espera un crecimiento de 3.3%, debido a la perspectiva positiva de la demanda de bienes de consumo final.   No obstante, las importaciones en 2022 mostraron un débil crecimiento real de 0.7%, según la estimación de cierre del Banco de Guatemala.</w:t>
      </w:r>
    </w:p>
    <w:p w14:paraId="00995CAA" w14:textId="77777777" w:rsidR="004A66F0" w:rsidRPr="004A66F0" w:rsidRDefault="004A66F0" w:rsidP="00C91DF5">
      <w:pPr>
        <w:spacing w:line="276" w:lineRule="auto"/>
        <w:contextualSpacing/>
        <w:rPr>
          <w:rFonts w:ascii="Times New Roman" w:eastAsia="Times New Roman" w:hAnsi="Times New Roman" w:cs="Calibri"/>
          <w:sz w:val="22"/>
          <w:szCs w:val="22"/>
        </w:rPr>
      </w:pP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5"/>
        <w:gridCol w:w="4495"/>
      </w:tblGrid>
      <w:tr w:rsidR="004A66F0" w:rsidRPr="004A66F0" w14:paraId="5AAC2C4A" w14:textId="77777777" w:rsidTr="00F85317">
        <w:tc>
          <w:tcPr>
            <w:tcW w:w="4697" w:type="dxa"/>
          </w:tcPr>
          <w:p w14:paraId="1684A872" w14:textId="606B50C8" w:rsidR="004A66F0" w:rsidRPr="009F246B" w:rsidRDefault="009F246B" w:rsidP="008D7BB4">
            <w:pPr>
              <w:spacing w:line="276" w:lineRule="auto"/>
              <w:contextualSpacing/>
              <w:jc w:val="center"/>
              <w:rPr>
                <w:rFonts w:ascii="Times New Roman" w:eastAsia="AGaramondPro-Regular" w:hAnsi="Times New Roman" w:cs="Calibri"/>
                <w:b/>
                <w:bCs/>
                <w:sz w:val="22"/>
                <w:szCs w:val="22"/>
              </w:rPr>
            </w:pPr>
            <w:bookmarkStart w:id="109" w:name="_Toc125733222"/>
            <w:r w:rsidRPr="009F246B">
              <w:rPr>
                <w:rFonts w:ascii="Times New Roman" w:eastAsia="Times New Roman" w:hAnsi="Times New Roman"/>
                <w:b/>
                <w:sz w:val="22"/>
                <w:szCs w:val="22"/>
              </w:rPr>
              <w:t xml:space="preserve">Gráfico </w:t>
            </w:r>
            <w:r w:rsidRPr="009F246B">
              <w:rPr>
                <w:rFonts w:ascii="Times New Roman" w:eastAsia="Times New Roman" w:hAnsi="Times New Roman"/>
                <w:b/>
                <w:sz w:val="22"/>
                <w:szCs w:val="22"/>
              </w:rPr>
              <w:fldChar w:fldCharType="begin"/>
            </w:r>
            <w:r w:rsidRPr="009F246B">
              <w:rPr>
                <w:rFonts w:ascii="Times New Roman" w:eastAsia="Times New Roman" w:hAnsi="Times New Roman"/>
                <w:b/>
                <w:sz w:val="22"/>
                <w:szCs w:val="22"/>
              </w:rPr>
              <w:instrText xml:space="preserve"> SEQ Gráfico \* ARABIC </w:instrText>
            </w:r>
            <w:r w:rsidRPr="009F246B">
              <w:rPr>
                <w:rFonts w:ascii="Times New Roman" w:eastAsia="Times New Roman" w:hAnsi="Times New Roman"/>
                <w:b/>
                <w:sz w:val="22"/>
                <w:szCs w:val="22"/>
              </w:rPr>
              <w:fldChar w:fldCharType="separate"/>
            </w:r>
            <w:r w:rsidR="006F4BE5">
              <w:rPr>
                <w:rFonts w:ascii="Times New Roman" w:eastAsia="Times New Roman" w:hAnsi="Times New Roman"/>
                <w:b/>
                <w:noProof/>
                <w:sz w:val="22"/>
                <w:szCs w:val="22"/>
              </w:rPr>
              <w:t>26</w:t>
            </w:r>
            <w:r w:rsidRPr="009F246B">
              <w:rPr>
                <w:rFonts w:ascii="Times New Roman" w:eastAsia="Times New Roman" w:hAnsi="Times New Roman"/>
                <w:b/>
                <w:sz w:val="22"/>
                <w:szCs w:val="22"/>
              </w:rPr>
              <w:fldChar w:fldCharType="end"/>
            </w:r>
            <w:r w:rsidRPr="009F246B">
              <w:rPr>
                <w:rFonts w:ascii="Times New Roman" w:eastAsiaTheme="majorEastAsia" w:hAnsi="Times New Roman" w:cs="Calibri"/>
                <w:b/>
                <w:bCs/>
                <w:sz w:val="22"/>
                <w:szCs w:val="22"/>
              </w:rPr>
              <w:t xml:space="preserve">. </w:t>
            </w:r>
            <w:r w:rsidR="004A66F0" w:rsidRPr="009F246B">
              <w:rPr>
                <w:rFonts w:ascii="Times New Roman" w:eastAsia="AGaramondPro-Regular" w:hAnsi="Times New Roman" w:cs="Calibri"/>
                <w:b/>
                <w:bCs/>
                <w:sz w:val="22"/>
                <w:szCs w:val="22"/>
              </w:rPr>
              <w:t>Perspectivas de crecimiento del PIB (%)</w:t>
            </w:r>
            <w:bookmarkEnd w:id="109"/>
          </w:p>
        </w:tc>
        <w:tc>
          <w:tcPr>
            <w:tcW w:w="4697" w:type="dxa"/>
          </w:tcPr>
          <w:p w14:paraId="7A3EEA37" w14:textId="6812A1BC" w:rsidR="004A66F0" w:rsidRPr="009F246B" w:rsidRDefault="009F246B" w:rsidP="008D7BB4">
            <w:pPr>
              <w:spacing w:line="276" w:lineRule="auto"/>
              <w:contextualSpacing/>
              <w:jc w:val="center"/>
              <w:rPr>
                <w:rFonts w:ascii="Times New Roman" w:eastAsia="AGaramondPro-Regular" w:hAnsi="Times New Roman" w:cs="Calibri"/>
                <w:b/>
                <w:bCs/>
                <w:sz w:val="22"/>
                <w:szCs w:val="22"/>
              </w:rPr>
            </w:pPr>
            <w:bookmarkStart w:id="110" w:name="_Toc125733223"/>
            <w:r w:rsidRPr="009F246B">
              <w:rPr>
                <w:rFonts w:ascii="Times New Roman" w:eastAsia="Times New Roman" w:hAnsi="Times New Roman"/>
                <w:b/>
                <w:sz w:val="22"/>
                <w:szCs w:val="22"/>
              </w:rPr>
              <w:t xml:space="preserve">Gráfico </w:t>
            </w:r>
            <w:r w:rsidRPr="009F246B">
              <w:rPr>
                <w:rFonts w:ascii="Times New Roman" w:eastAsia="Times New Roman" w:hAnsi="Times New Roman"/>
                <w:b/>
                <w:sz w:val="22"/>
                <w:szCs w:val="22"/>
              </w:rPr>
              <w:fldChar w:fldCharType="begin"/>
            </w:r>
            <w:r w:rsidRPr="009F246B">
              <w:rPr>
                <w:rFonts w:ascii="Times New Roman" w:eastAsia="Times New Roman" w:hAnsi="Times New Roman"/>
                <w:b/>
                <w:sz w:val="22"/>
                <w:szCs w:val="22"/>
              </w:rPr>
              <w:instrText xml:space="preserve"> SEQ Gráfico \* ARABIC </w:instrText>
            </w:r>
            <w:r w:rsidRPr="009F246B">
              <w:rPr>
                <w:rFonts w:ascii="Times New Roman" w:eastAsia="Times New Roman" w:hAnsi="Times New Roman"/>
                <w:b/>
                <w:sz w:val="22"/>
                <w:szCs w:val="22"/>
              </w:rPr>
              <w:fldChar w:fldCharType="separate"/>
            </w:r>
            <w:r w:rsidR="006F4BE5">
              <w:rPr>
                <w:rFonts w:ascii="Times New Roman" w:eastAsia="Times New Roman" w:hAnsi="Times New Roman"/>
                <w:b/>
                <w:noProof/>
                <w:sz w:val="22"/>
                <w:szCs w:val="22"/>
              </w:rPr>
              <w:t>27</w:t>
            </w:r>
            <w:r w:rsidRPr="009F246B">
              <w:rPr>
                <w:rFonts w:ascii="Times New Roman" w:eastAsia="Times New Roman" w:hAnsi="Times New Roman"/>
                <w:b/>
                <w:sz w:val="22"/>
                <w:szCs w:val="22"/>
              </w:rPr>
              <w:fldChar w:fldCharType="end"/>
            </w:r>
            <w:r w:rsidRPr="009F246B">
              <w:rPr>
                <w:rFonts w:ascii="Times New Roman" w:eastAsiaTheme="majorEastAsia" w:hAnsi="Times New Roman" w:cs="Calibri"/>
                <w:b/>
                <w:bCs/>
                <w:sz w:val="22"/>
                <w:szCs w:val="22"/>
              </w:rPr>
              <w:t xml:space="preserve">. </w:t>
            </w:r>
            <w:r w:rsidR="004A66F0" w:rsidRPr="009F246B">
              <w:rPr>
                <w:rFonts w:ascii="Times New Roman" w:eastAsia="AGaramondPro-Regular" w:hAnsi="Times New Roman" w:cs="Calibri"/>
                <w:b/>
                <w:bCs/>
                <w:sz w:val="22"/>
                <w:szCs w:val="22"/>
              </w:rPr>
              <w:t>Perspectivas de crecimiento de los componentes del gasto del PIB (%)</w:t>
            </w:r>
            <w:bookmarkEnd w:id="110"/>
          </w:p>
        </w:tc>
      </w:tr>
      <w:tr w:rsidR="004A66F0" w:rsidRPr="004A66F0" w14:paraId="53EA3BA1" w14:textId="77777777" w:rsidTr="00F85317">
        <w:tc>
          <w:tcPr>
            <w:tcW w:w="4697" w:type="dxa"/>
          </w:tcPr>
          <w:p w14:paraId="1A2BEF1F" w14:textId="514A90D9" w:rsidR="004A66F0" w:rsidRPr="004A66F0" w:rsidRDefault="004A66F0" w:rsidP="008D7BB4">
            <w:pPr>
              <w:spacing w:line="276" w:lineRule="auto"/>
              <w:contextualSpacing/>
              <w:jc w:val="center"/>
              <w:rPr>
                <w:rFonts w:ascii="Times New Roman" w:eastAsia="AGaramondPro-Regular" w:hAnsi="Times New Roman" w:cs="Calibri"/>
                <w:sz w:val="22"/>
                <w:szCs w:val="22"/>
              </w:rPr>
            </w:pPr>
            <w:r w:rsidRPr="004A66F0">
              <w:rPr>
                <w:rFonts w:ascii="Times New Roman" w:eastAsiaTheme="majorEastAsia" w:hAnsi="Times New Roman" w:cs="Calibri"/>
                <w:b/>
                <w:noProof/>
                <w:sz w:val="22"/>
                <w:szCs w:val="26"/>
              </w:rPr>
              <w:drawing>
                <wp:inline distT="0" distB="0" distL="0" distR="0" wp14:anchorId="01A5292E" wp14:editId="02C817ED">
                  <wp:extent cx="2524125" cy="1798320"/>
                  <wp:effectExtent l="0" t="0" r="0" b="0"/>
                  <wp:docPr id="13" name="Gráfico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c>
          <w:tcPr>
            <w:tcW w:w="4697" w:type="dxa"/>
          </w:tcPr>
          <w:p w14:paraId="228142BE" w14:textId="38D19999" w:rsidR="004A66F0" w:rsidRPr="004A66F0" w:rsidRDefault="004A66F0" w:rsidP="008D7BB4">
            <w:pPr>
              <w:spacing w:line="276" w:lineRule="auto"/>
              <w:contextualSpacing/>
              <w:jc w:val="center"/>
              <w:rPr>
                <w:rFonts w:ascii="Times New Roman" w:eastAsia="AGaramondPro-Regular" w:hAnsi="Times New Roman" w:cs="Calibri"/>
                <w:sz w:val="22"/>
                <w:szCs w:val="22"/>
              </w:rPr>
            </w:pPr>
            <w:r w:rsidRPr="004A66F0">
              <w:rPr>
                <w:rFonts w:ascii="Times New Roman" w:eastAsia="Times New Roman" w:hAnsi="Times New Roman" w:cs="Calibri"/>
                <w:noProof/>
                <w:sz w:val="22"/>
                <w:szCs w:val="22"/>
              </w:rPr>
              <w:drawing>
                <wp:inline distT="0" distB="0" distL="0" distR="0" wp14:anchorId="3829801C" wp14:editId="369CCF83">
                  <wp:extent cx="2705100" cy="1798320"/>
                  <wp:effectExtent l="0" t="0" r="0" b="0"/>
                  <wp:docPr id="12" name="Gráfico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r w:rsidR="004A66F0" w:rsidRPr="004A66F0" w14:paraId="45645548" w14:textId="77777777" w:rsidTr="00F85317">
        <w:tc>
          <w:tcPr>
            <w:tcW w:w="9394" w:type="dxa"/>
            <w:gridSpan w:val="2"/>
          </w:tcPr>
          <w:p w14:paraId="5BFE69B3" w14:textId="77777777" w:rsidR="004A66F0" w:rsidRPr="008C3120" w:rsidRDefault="004A66F0" w:rsidP="008D7BB4">
            <w:pPr>
              <w:spacing w:line="276" w:lineRule="auto"/>
              <w:contextualSpacing/>
              <w:jc w:val="both"/>
              <w:rPr>
                <w:rFonts w:ascii="Times New Roman" w:eastAsia="AGaramondPro-Regular" w:hAnsi="Times New Roman" w:cs="Calibri"/>
                <w:sz w:val="18"/>
                <w:szCs w:val="18"/>
              </w:rPr>
            </w:pPr>
            <w:r w:rsidRPr="004A66F0">
              <w:rPr>
                <w:rFonts w:ascii="Times New Roman" w:eastAsia="AGaramondPro-Regular" w:hAnsi="Times New Roman" w:cs="Calibri"/>
                <w:sz w:val="18"/>
                <w:szCs w:val="18"/>
              </w:rPr>
              <w:t xml:space="preserve"> </w:t>
            </w:r>
            <w:r w:rsidRPr="008C3120">
              <w:rPr>
                <w:rFonts w:ascii="Times New Roman" w:eastAsia="AGaramondPro-Regular" w:hAnsi="Times New Roman" w:cs="Calibri"/>
                <w:sz w:val="18"/>
                <w:szCs w:val="18"/>
              </w:rPr>
              <w:t>Fuente: Banco de Guatemala</w:t>
            </w:r>
          </w:p>
          <w:p w14:paraId="4A29EC8A" w14:textId="77777777" w:rsidR="004A66F0" w:rsidRPr="004A66F0" w:rsidRDefault="004A66F0" w:rsidP="008D7BB4">
            <w:pPr>
              <w:spacing w:line="276" w:lineRule="auto"/>
              <w:contextualSpacing/>
              <w:jc w:val="both"/>
              <w:rPr>
                <w:rFonts w:ascii="Times New Roman" w:eastAsia="AGaramondPro-Regular" w:hAnsi="Times New Roman" w:cs="Calibri"/>
                <w:sz w:val="20"/>
                <w:szCs w:val="20"/>
              </w:rPr>
            </w:pPr>
            <w:r w:rsidRPr="008C3120">
              <w:rPr>
                <w:rFonts w:ascii="Times New Roman" w:eastAsiaTheme="majorEastAsia" w:hAnsi="Times New Roman" w:cs="Calibri"/>
                <w:sz w:val="18"/>
                <w:szCs w:val="18"/>
              </w:rPr>
              <w:t xml:space="preserve"> e/: estimación de cierre, </w:t>
            </w:r>
            <w:proofErr w:type="spellStart"/>
            <w:r w:rsidRPr="008C3120">
              <w:rPr>
                <w:rFonts w:ascii="Times New Roman" w:eastAsiaTheme="majorEastAsia" w:hAnsi="Times New Roman" w:cs="Calibri"/>
                <w:sz w:val="18"/>
                <w:szCs w:val="18"/>
              </w:rPr>
              <w:t>py</w:t>
            </w:r>
            <w:proofErr w:type="spellEnd"/>
            <w:r w:rsidRPr="008C3120">
              <w:rPr>
                <w:rFonts w:ascii="Times New Roman" w:eastAsiaTheme="majorEastAsia" w:hAnsi="Times New Roman" w:cs="Calibri"/>
                <w:sz w:val="18"/>
                <w:szCs w:val="18"/>
              </w:rPr>
              <w:t>/: proyección.</w:t>
            </w:r>
          </w:p>
        </w:tc>
      </w:tr>
    </w:tbl>
    <w:p w14:paraId="35287B41" w14:textId="77777777" w:rsidR="004A66F0" w:rsidRPr="004A66F0" w:rsidRDefault="004A66F0" w:rsidP="008D7BB4">
      <w:pPr>
        <w:spacing w:line="276" w:lineRule="auto"/>
        <w:contextualSpacing/>
        <w:jc w:val="both"/>
        <w:rPr>
          <w:rFonts w:ascii="Times New Roman" w:eastAsia="Times New Roman" w:hAnsi="Times New Roman" w:cs="Calibri"/>
          <w:color w:val="C00000"/>
          <w:sz w:val="22"/>
          <w:szCs w:val="22"/>
        </w:rPr>
      </w:pPr>
    </w:p>
    <w:p w14:paraId="6D0D4D1E" w14:textId="77777777" w:rsidR="004A66F0" w:rsidRPr="004A66F0" w:rsidRDefault="004A66F0" w:rsidP="008D7BB4">
      <w:pPr>
        <w:numPr>
          <w:ilvl w:val="0"/>
          <w:numId w:val="38"/>
        </w:numPr>
        <w:spacing w:line="276" w:lineRule="auto"/>
        <w:contextualSpacing/>
        <w:jc w:val="both"/>
        <w:rPr>
          <w:rFonts w:ascii="Times New Roman" w:eastAsia="Times New Roman" w:hAnsi="Times New Roman" w:cs="Calibri"/>
          <w:sz w:val="22"/>
          <w:szCs w:val="22"/>
        </w:rPr>
      </w:pPr>
      <w:r w:rsidRPr="004A66F0">
        <w:rPr>
          <w:rFonts w:ascii="Times New Roman" w:eastAsia="Times New Roman" w:hAnsi="Times New Roman" w:cs="Calibri"/>
          <w:sz w:val="22"/>
          <w:szCs w:val="22"/>
        </w:rPr>
        <w:t>En lo que respecta a las actividades económicas el Banco de Guatemala espera que el comercio al por mayor y menor, mantenimiento y reparación de vehículos automotores y motocicletas, que representó el 21.1% de la estructura porcentual en 2022, crezca un 3.2% en 2023, dicho crecimiento se debe a las expectativas para comercializar tanto bienes de origen nacional como importado. La industria manufacturera, que representó 13.8% en 2022, se proyecta que tenga un crecimiento 2.9%, debido a la mayor demanda de actividades relacionadas a la fabricación de metales comunes, prendas de vestir, entre otros.</w:t>
      </w:r>
    </w:p>
    <w:p w14:paraId="3254764E" w14:textId="77777777" w:rsidR="004A66F0" w:rsidRPr="004A66F0" w:rsidRDefault="004A66F0" w:rsidP="008D7BB4">
      <w:pPr>
        <w:spacing w:line="276" w:lineRule="auto"/>
        <w:contextualSpacing/>
        <w:jc w:val="both"/>
        <w:rPr>
          <w:rFonts w:ascii="Times New Roman" w:eastAsia="Times New Roman" w:hAnsi="Times New Roman" w:cs="Calibri"/>
          <w:sz w:val="22"/>
          <w:szCs w:val="22"/>
        </w:rPr>
      </w:pPr>
    </w:p>
    <w:p w14:paraId="6D4B524B" w14:textId="552608F8" w:rsidR="004A66F0" w:rsidRDefault="004A66F0" w:rsidP="008D7BB4">
      <w:pPr>
        <w:numPr>
          <w:ilvl w:val="0"/>
          <w:numId w:val="38"/>
        </w:numPr>
        <w:spacing w:line="276" w:lineRule="auto"/>
        <w:contextualSpacing/>
        <w:jc w:val="both"/>
        <w:rPr>
          <w:rFonts w:ascii="Times New Roman" w:eastAsia="Times New Roman" w:hAnsi="Times New Roman" w:cs="Calibri"/>
          <w:sz w:val="22"/>
          <w:szCs w:val="22"/>
        </w:rPr>
      </w:pPr>
      <w:r w:rsidRPr="004A66F0">
        <w:rPr>
          <w:rFonts w:ascii="Times New Roman" w:eastAsia="Times New Roman" w:hAnsi="Times New Roman" w:cs="Calibri"/>
          <w:sz w:val="22"/>
          <w:szCs w:val="22"/>
        </w:rPr>
        <w:t xml:space="preserve">Las actividades inmobiliarias que representaron el 7.9% en el año anterior, se espera tengan un crecimiento de 3.9% en 2023, esto por el incremento en los alquileres residenciales debido al mayor número de viviendas construidas. Sin embargo, se prevé un crecimiento de 1.9% en el sector construcción para el presente año. Respecto a las Actividades financieras y de </w:t>
      </w:r>
      <w:r w:rsidRPr="004A66F0">
        <w:rPr>
          <w:rFonts w:ascii="Times New Roman" w:eastAsia="Times New Roman" w:hAnsi="Times New Roman" w:cs="Calibri"/>
          <w:sz w:val="22"/>
          <w:szCs w:val="22"/>
        </w:rPr>
        <w:lastRenderedPageBreak/>
        <w:t>seguros se espera un crecimiento de 6.5% debido a la expectativa de un buen desempeño del crédito al sector privado por lo que los bancos e instituciones financieras se verían beneficiados. La actividad de Agricultura, ganadería, silviculturas crecerá alrededor del 2.2% derivado al incremento que se prevé de café, banano, cereales. Asimismo, para todas las actividades restantes se espera un crecimiento positivo en el presente año.</w:t>
      </w:r>
    </w:p>
    <w:p w14:paraId="53AB324B" w14:textId="77777777" w:rsidR="00A2662D" w:rsidRDefault="00A2662D" w:rsidP="008D7BB4">
      <w:pPr>
        <w:pStyle w:val="Prrafodelista"/>
        <w:spacing w:line="276" w:lineRule="auto"/>
        <w:rPr>
          <w:rFonts w:ascii="Times New Roman" w:eastAsia="Times New Roman" w:hAnsi="Times New Roman"/>
        </w:rPr>
      </w:pPr>
    </w:p>
    <w:p w14:paraId="7DA0FDC7" w14:textId="1E7031E5" w:rsidR="004A66F0" w:rsidRPr="00C91DF5" w:rsidRDefault="00A2662D" w:rsidP="00C91DF5">
      <w:pPr>
        <w:numPr>
          <w:ilvl w:val="0"/>
          <w:numId w:val="38"/>
        </w:numPr>
        <w:spacing w:line="276" w:lineRule="auto"/>
        <w:contextualSpacing/>
        <w:jc w:val="both"/>
        <w:rPr>
          <w:rFonts w:ascii="Times New Roman" w:eastAsia="Times New Roman" w:hAnsi="Times New Roman" w:cs="Calibri"/>
          <w:sz w:val="22"/>
          <w:szCs w:val="22"/>
        </w:rPr>
      </w:pPr>
      <w:r w:rsidRPr="004A66F0">
        <w:rPr>
          <w:rFonts w:ascii="Times New Roman" w:eastAsia="Times New Roman" w:hAnsi="Times New Roman" w:cs="Calibri"/>
          <w:sz w:val="22"/>
          <w:szCs w:val="22"/>
        </w:rPr>
        <w:t xml:space="preserve">Por su parte, el ritmo inflacionario se prevé se situé en 5.0% en el </w:t>
      </w:r>
      <w:r w:rsidR="001567F3" w:rsidRPr="004A66F0">
        <w:rPr>
          <w:rFonts w:ascii="Times New Roman" w:eastAsia="Times New Roman" w:hAnsi="Times New Roman" w:cs="Calibri"/>
          <w:sz w:val="22"/>
          <w:szCs w:val="22"/>
        </w:rPr>
        <w:t>límite</w:t>
      </w:r>
      <w:r w:rsidRPr="004A66F0">
        <w:rPr>
          <w:rFonts w:ascii="Times New Roman" w:eastAsia="Times New Roman" w:hAnsi="Times New Roman" w:cs="Calibri"/>
          <w:sz w:val="22"/>
          <w:szCs w:val="22"/>
        </w:rPr>
        <w:t xml:space="preserve"> superior de la meta del Banco de Guatemala, después de terminar fuera de la meta en 2022 (9.24%) por las múltiples presiones inflacionarias de dicho año. Para la inflación subyacente que se ubicó en 5.04% en 2022, el Banco de Guatemala proyecta que se encuentre en 4.75% para diciembre de 2023. Los pronósticos consideraron una demanda resiliente y que por parte de la oferta estará influenciado por la evolución de los precios de alimentos según la estacionalidad de la producción, precios internacionales de productos agrícolas y los precios de los combustibles, gas propano y servicio de electricidad.</w:t>
      </w:r>
    </w:p>
    <w:p w14:paraId="2434C949" w14:textId="77777777" w:rsidR="004A66F0" w:rsidRPr="004A66F0" w:rsidRDefault="004A66F0" w:rsidP="008D7BB4">
      <w:pPr>
        <w:spacing w:line="276" w:lineRule="auto"/>
        <w:contextualSpacing/>
        <w:jc w:val="both"/>
        <w:rPr>
          <w:rFonts w:ascii="Times New Roman" w:eastAsia="Times New Roman" w:hAnsi="Times New Roman" w:cs="Calibri"/>
          <w:sz w:val="22"/>
          <w:szCs w:val="22"/>
        </w:rPr>
      </w:pP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0"/>
      </w:tblGrid>
      <w:tr w:rsidR="004A66F0" w:rsidRPr="004A66F0" w14:paraId="53088257" w14:textId="77777777" w:rsidTr="00F85317">
        <w:tc>
          <w:tcPr>
            <w:tcW w:w="9456" w:type="dxa"/>
          </w:tcPr>
          <w:p w14:paraId="181AB117" w14:textId="7858776F" w:rsidR="004A66F0" w:rsidRPr="009F246B" w:rsidRDefault="009F246B" w:rsidP="008D7BB4">
            <w:pPr>
              <w:spacing w:line="276" w:lineRule="auto"/>
              <w:contextualSpacing/>
              <w:jc w:val="center"/>
              <w:rPr>
                <w:rFonts w:ascii="Times New Roman" w:eastAsia="Times New Roman" w:hAnsi="Times New Roman" w:cs="Calibri"/>
                <w:b/>
                <w:bCs/>
                <w:sz w:val="22"/>
                <w:szCs w:val="22"/>
              </w:rPr>
            </w:pPr>
            <w:bookmarkStart w:id="111" w:name="_Toc125733224"/>
            <w:r w:rsidRPr="009F246B">
              <w:rPr>
                <w:rFonts w:ascii="Times New Roman" w:eastAsia="Times New Roman" w:hAnsi="Times New Roman"/>
                <w:b/>
                <w:sz w:val="22"/>
                <w:szCs w:val="22"/>
              </w:rPr>
              <w:t xml:space="preserve">Gráfico </w:t>
            </w:r>
            <w:r w:rsidRPr="009F246B">
              <w:rPr>
                <w:rFonts w:ascii="Times New Roman" w:eastAsia="Times New Roman" w:hAnsi="Times New Roman"/>
                <w:b/>
                <w:sz w:val="22"/>
                <w:szCs w:val="22"/>
              </w:rPr>
              <w:fldChar w:fldCharType="begin"/>
            </w:r>
            <w:r w:rsidRPr="009F246B">
              <w:rPr>
                <w:rFonts w:ascii="Times New Roman" w:eastAsia="Times New Roman" w:hAnsi="Times New Roman"/>
                <w:b/>
                <w:sz w:val="22"/>
                <w:szCs w:val="22"/>
              </w:rPr>
              <w:instrText xml:space="preserve"> SEQ Gráfico \* ARABIC </w:instrText>
            </w:r>
            <w:r w:rsidRPr="009F246B">
              <w:rPr>
                <w:rFonts w:ascii="Times New Roman" w:eastAsia="Times New Roman" w:hAnsi="Times New Roman"/>
                <w:b/>
                <w:sz w:val="22"/>
                <w:szCs w:val="22"/>
              </w:rPr>
              <w:fldChar w:fldCharType="separate"/>
            </w:r>
            <w:r w:rsidR="006F4BE5">
              <w:rPr>
                <w:rFonts w:ascii="Times New Roman" w:eastAsia="Times New Roman" w:hAnsi="Times New Roman"/>
                <w:b/>
                <w:noProof/>
                <w:sz w:val="22"/>
                <w:szCs w:val="22"/>
              </w:rPr>
              <w:t>28</w:t>
            </w:r>
            <w:r w:rsidRPr="009F246B">
              <w:rPr>
                <w:rFonts w:ascii="Times New Roman" w:eastAsia="Times New Roman" w:hAnsi="Times New Roman"/>
                <w:b/>
                <w:sz w:val="22"/>
                <w:szCs w:val="22"/>
              </w:rPr>
              <w:fldChar w:fldCharType="end"/>
            </w:r>
            <w:r w:rsidRPr="009F246B">
              <w:rPr>
                <w:rFonts w:ascii="Times New Roman" w:eastAsiaTheme="majorEastAsia" w:hAnsi="Times New Roman" w:cs="Calibri"/>
                <w:b/>
                <w:bCs/>
                <w:sz w:val="22"/>
                <w:szCs w:val="22"/>
              </w:rPr>
              <w:t xml:space="preserve">. </w:t>
            </w:r>
            <w:r w:rsidR="004A66F0" w:rsidRPr="009F246B">
              <w:rPr>
                <w:rFonts w:ascii="Times New Roman" w:eastAsia="Times New Roman" w:hAnsi="Times New Roman" w:cs="Calibri"/>
                <w:b/>
                <w:bCs/>
                <w:sz w:val="22"/>
                <w:szCs w:val="22"/>
              </w:rPr>
              <w:t>Perspectivas de crecimiento por actividad económica del PIB (%)</w:t>
            </w:r>
            <w:bookmarkEnd w:id="111"/>
          </w:p>
        </w:tc>
      </w:tr>
      <w:tr w:rsidR="004A66F0" w:rsidRPr="004A66F0" w14:paraId="4518967B" w14:textId="77777777" w:rsidTr="00F85317">
        <w:tc>
          <w:tcPr>
            <w:tcW w:w="9456" w:type="dxa"/>
          </w:tcPr>
          <w:p w14:paraId="087D2C49" w14:textId="506E28AC" w:rsidR="004A66F0" w:rsidRPr="004A66F0" w:rsidRDefault="004A66F0" w:rsidP="008D7BB4">
            <w:pPr>
              <w:spacing w:line="276" w:lineRule="auto"/>
              <w:contextualSpacing/>
              <w:jc w:val="both"/>
              <w:rPr>
                <w:rFonts w:ascii="Times New Roman" w:eastAsia="Times New Roman" w:hAnsi="Times New Roman" w:cs="Calibri"/>
                <w:sz w:val="22"/>
                <w:szCs w:val="22"/>
              </w:rPr>
            </w:pPr>
            <w:r w:rsidRPr="004A66F0">
              <w:rPr>
                <w:rFonts w:ascii="Times New Roman" w:eastAsia="Times New Roman" w:hAnsi="Times New Roman" w:cs="Calibri"/>
                <w:noProof/>
                <w:sz w:val="22"/>
                <w:szCs w:val="22"/>
              </w:rPr>
              <w:drawing>
                <wp:inline distT="0" distB="0" distL="0" distR="0" wp14:anchorId="2B248712" wp14:editId="00337077">
                  <wp:extent cx="5867400" cy="3600450"/>
                  <wp:effectExtent l="0" t="0" r="0" b="0"/>
                  <wp:docPr id="11" name="Gráfico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r w:rsidR="004A66F0" w:rsidRPr="004A66F0" w14:paraId="1CF8C9D5" w14:textId="77777777" w:rsidTr="00F85317">
        <w:tc>
          <w:tcPr>
            <w:tcW w:w="9456" w:type="dxa"/>
          </w:tcPr>
          <w:p w14:paraId="5B51BBBB" w14:textId="77777777" w:rsidR="004A66F0" w:rsidRPr="008C3120" w:rsidRDefault="004A66F0" w:rsidP="008D7BB4">
            <w:pPr>
              <w:spacing w:line="276" w:lineRule="auto"/>
              <w:contextualSpacing/>
              <w:jc w:val="both"/>
              <w:rPr>
                <w:rFonts w:ascii="Times New Roman" w:eastAsia="Times New Roman" w:hAnsi="Times New Roman" w:cs="Calibri"/>
                <w:sz w:val="18"/>
                <w:szCs w:val="18"/>
              </w:rPr>
            </w:pPr>
            <w:r w:rsidRPr="008C3120">
              <w:rPr>
                <w:rFonts w:ascii="Times New Roman" w:eastAsia="Times New Roman" w:hAnsi="Times New Roman" w:cs="Calibri"/>
                <w:sz w:val="18"/>
                <w:szCs w:val="18"/>
              </w:rPr>
              <w:t>Fuente: Banco de Guatemala</w:t>
            </w:r>
          </w:p>
          <w:p w14:paraId="699BE6F9" w14:textId="77777777" w:rsidR="004A66F0" w:rsidRPr="004A66F0" w:rsidRDefault="004A66F0" w:rsidP="008D7BB4">
            <w:pPr>
              <w:spacing w:line="276" w:lineRule="auto"/>
              <w:contextualSpacing/>
              <w:jc w:val="both"/>
              <w:rPr>
                <w:rFonts w:ascii="Times New Roman" w:eastAsia="Times New Roman" w:hAnsi="Times New Roman" w:cs="Calibri"/>
                <w:sz w:val="18"/>
                <w:szCs w:val="20"/>
              </w:rPr>
            </w:pPr>
            <w:r w:rsidRPr="008C3120">
              <w:rPr>
                <w:rFonts w:ascii="Times New Roman" w:eastAsiaTheme="majorEastAsia" w:hAnsi="Times New Roman" w:cs="Calibri"/>
                <w:sz w:val="18"/>
                <w:szCs w:val="18"/>
              </w:rPr>
              <w:t xml:space="preserve">e/: estimación de cierre, </w:t>
            </w:r>
            <w:proofErr w:type="spellStart"/>
            <w:r w:rsidRPr="008C3120">
              <w:rPr>
                <w:rFonts w:ascii="Times New Roman" w:eastAsiaTheme="majorEastAsia" w:hAnsi="Times New Roman" w:cs="Calibri"/>
                <w:sz w:val="18"/>
                <w:szCs w:val="18"/>
              </w:rPr>
              <w:t>py</w:t>
            </w:r>
            <w:proofErr w:type="spellEnd"/>
            <w:r w:rsidRPr="008C3120">
              <w:rPr>
                <w:rFonts w:ascii="Times New Roman" w:eastAsiaTheme="majorEastAsia" w:hAnsi="Times New Roman" w:cs="Calibri"/>
                <w:sz w:val="18"/>
                <w:szCs w:val="18"/>
              </w:rPr>
              <w:t>/: proyección.</w:t>
            </w:r>
          </w:p>
        </w:tc>
      </w:tr>
    </w:tbl>
    <w:p w14:paraId="0F63AF06" w14:textId="77777777" w:rsidR="004A66F0" w:rsidRPr="004A66F0" w:rsidRDefault="004A66F0" w:rsidP="008D7BB4">
      <w:pPr>
        <w:spacing w:line="276" w:lineRule="auto"/>
        <w:contextualSpacing/>
        <w:rPr>
          <w:rFonts w:ascii="Times New Roman" w:eastAsia="Times New Roman" w:hAnsi="Times New Roman" w:cs="Calibri"/>
          <w:b/>
          <w:sz w:val="22"/>
          <w:szCs w:val="22"/>
        </w:rPr>
      </w:pPr>
    </w:p>
    <w:p w14:paraId="31698488" w14:textId="46782FE6" w:rsidR="004A66F0" w:rsidRDefault="004A66F0" w:rsidP="008D7BB4">
      <w:pPr>
        <w:spacing w:line="276" w:lineRule="auto"/>
        <w:contextualSpacing/>
        <w:jc w:val="both"/>
        <w:rPr>
          <w:rFonts w:ascii="Times New Roman" w:eastAsia="Times New Roman" w:hAnsi="Times New Roman" w:cs="Calibri"/>
          <w:sz w:val="22"/>
          <w:szCs w:val="22"/>
        </w:rPr>
      </w:pPr>
    </w:p>
    <w:p w14:paraId="0BD26226" w14:textId="77777777" w:rsidR="006C7DA1" w:rsidRPr="004A66F0" w:rsidRDefault="006C7DA1" w:rsidP="008D7BB4">
      <w:pPr>
        <w:spacing w:line="276" w:lineRule="auto"/>
        <w:contextualSpacing/>
        <w:jc w:val="both"/>
        <w:rPr>
          <w:rFonts w:ascii="Times New Roman" w:eastAsia="Times New Roman" w:hAnsi="Times New Roman" w:cs="Calibri"/>
          <w:sz w:val="22"/>
          <w:szCs w:val="22"/>
        </w:rPr>
      </w:pPr>
    </w:p>
    <w:p w14:paraId="42DB3F98" w14:textId="7E997B09" w:rsidR="004A66F0" w:rsidRPr="00C91DF5" w:rsidRDefault="004A66F0" w:rsidP="008D7BB4">
      <w:pPr>
        <w:numPr>
          <w:ilvl w:val="0"/>
          <w:numId w:val="39"/>
        </w:numPr>
        <w:spacing w:line="276" w:lineRule="auto"/>
        <w:contextualSpacing/>
        <w:jc w:val="both"/>
        <w:rPr>
          <w:rFonts w:ascii="Times New Roman" w:eastAsia="Times New Roman" w:hAnsi="Times New Roman" w:cs="Calibri"/>
          <w:sz w:val="22"/>
          <w:szCs w:val="22"/>
        </w:rPr>
      </w:pPr>
      <w:r w:rsidRPr="004A66F0">
        <w:rPr>
          <w:rFonts w:ascii="Times New Roman" w:eastAsia="Times New Roman" w:hAnsi="Times New Roman" w:cs="Calibri"/>
          <w:sz w:val="22"/>
          <w:szCs w:val="22"/>
        </w:rPr>
        <w:lastRenderedPageBreak/>
        <w:t>Por su parte en el sector monetario, se espera que la emisión monetaria muestre un crecimiento entre 9.0% y 12.0% para 2023, dado que se mantendrá la preferencia de liquidez de los agentes económicos, entre otros factores. Los medios de pago (M2) tendrán un crecimiento entre 9.5% y 11.5% para 2023, influenciado por la actividad económica resiliente esperada. Para el crédito bancario al sector privado se estima que tenga un crecimiento entre 8.0% a 11.0%. En resumen, las principales variables del programa monetario tendrán un aumento absoluto de Q8,461.9 millones, para la demanda de emisión monetaria se espera un incremento de USD$500.0 millones, así como una disminución en los depósitos del Gobierno Central en el Banco de Guatemala de Q8,477.8, además de un aumento de los saldos de encaje de los bancos de Q2,082.2 millones y el incremento de operaciones de estabilización monetaria por Q674.6 millones.</w:t>
      </w:r>
    </w:p>
    <w:p w14:paraId="7023700D" w14:textId="77777777" w:rsidR="004A66F0" w:rsidRPr="004A66F0" w:rsidRDefault="004A66F0" w:rsidP="008D7BB4">
      <w:pPr>
        <w:spacing w:line="276" w:lineRule="auto"/>
        <w:contextualSpacing/>
        <w:jc w:val="both"/>
        <w:rPr>
          <w:rFonts w:ascii="Times New Roman" w:eastAsia="Times New Roman" w:hAnsi="Times New Roman" w:cs="Calibri"/>
          <w:sz w:val="22"/>
          <w:szCs w:val="22"/>
        </w:rPr>
      </w:pP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5"/>
        <w:gridCol w:w="4365"/>
      </w:tblGrid>
      <w:tr w:rsidR="004A66F0" w:rsidRPr="004A66F0" w14:paraId="61D2C1A0" w14:textId="77777777" w:rsidTr="00F85317">
        <w:tc>
          <w:tcPr>
            <w:tcW w:w="4697" w:type="dxa"/>
          </w:tcPr>
          <w:p w14:paraId="1A8E87A7" w14:textId="0700AFC0" w:rsidR="004A66F0" w:rsidRPr="009F246B" w:rsidRDefault="009F246B" w:rsidP="008D7BB4">
            <w:pPr>
              <w:spacing w:line="276" w:lineRule="auto"/>
              <w:contextualSpacing/>
              <w:jc w:val="center"/>
              <w:rPr>
                <w:rFonts w:ascii="Times New Roman" w:eastAsia="AGaramondPro-Regular" w:hAnsi="Times New Roman" w:cs="Calibri"/>
                <w:b/>
                <w:bCs/>
                <w:sz w:val="22"/>
                <w:szCs w:val="22"/>
              </w:rPr>
            </w:pPr>
            <w:bookmarkStart w:id="112" w:name="_Toc125733225"/>
            <w:r w:rsidRPr="009F246B">
              <w:rPr>
                <w:rFonts w:ascii="Times New Roman" w:eastAsia="Times New Roman" w:hAnsi="Times New Roman"/>
                <w:b/>
                <w:sz w:val="22"/>
                <w:szCs w:val="22"/>
              </w:rPr>
              <w:t xml:space="preserve">Gráfico </w:t>
            </w:r>
            <w:r w:rsidRPr="009F246B">
              <w:rPr>
                <w:rFonts w:ascii="Times New Roman" w:eastAsia="Times New Roman" w:hAnsi="Times New Roman"/>
                <w:b/>
                <w:sz w:val="22"/>
                <w:szCs w:val="22"/>
              </w:rPr>
              <w:fldChar w:fldCharType="begin"/>
            </w:r>
            <w:r w:rsidRPr="009F246B">
              <w:rPr>
                <w:rFonts w:ascii="Times New Roman" w:eastAsia="Times New Roman" w:hAnsi="Times New Roman"/>
                <w:b/>
                <w:sz w:val="22"/>
                <w:szCs w:val="22"/>
              </w:rPr>
              <w:instrText xml:space="preserve"> SEQ Gráfico \* ARABIC </w:instrText>
            </w:r>
            <w:r w:rsidRPr="009F246B">
              <w:rPr>
                <w:rFonts w:ascii="Times New Roman" w:eastAsia="Times New Roman" w:hAnsi="Times New Roman"/>
                <w:b/>
                <w:sz w:val="22"/>
                <w:szCs w:val="22"/>
              </w:rPr>
              <w:fldChar w:fldCharType="separate"/>
            </w:r>
            <w:r w:rsidR="006F4BE5">
              <w:rPr>
                <w:rFonts w:ascii="Times New Roman" w:eastAsia="Times New Roman" w:hAnsi="Times New Roman"/>
                <w:b/>
                <w:noProof/>
                <w:sz w:val="22"/>
                <w:szCs w:val="22"/>
              </w:rPr>
              <w:t>29</w:t>
            </w:r>
            <w:r w:rsidRPr="009F246B">
              <w:rPr>
                <w:rFonts w:ascii="Times New Roman" w:eastAsia="Times New Roman" w:hAnsi="Times New Roman"/>
                <w:b/>
                <w:sz w:val="22"/>
                <w:szCs w:val="22"/>
              </w:rPr>
              <w:fldChar w:fldCharType="end"/>
            </w:r>
            <w:r w:rsidRPr="009F246B">
              <w:rPr>
                <w:rFonts w:ascii="Times New Roman" w:eastAsiaTheme="majorEastAsia" w:hAnsi="Times New Roman" w:cs="Calibri"/>
                <w:b/>
                <w:bCs/>
                <w:sz w:val="22"/>
                <w:szCs w:val="22"/>
              </w:rPr>
              <w:t xml:space="preserve">. </w:t>
            </w:r>
            <w:r w:rsidR="004A66F0" w:rsidRPr="009F246B">
              <w:rPr>
                <w:rFonts w:ascii="Times New Roman" w:eastAsia="AGaramondPro-Regular" w:hAnsi="Times New Roman" w:cs="Calibri"/>
                <w:b/>
                <w:bCs/>
                <w:sz w:val="22"/>
                <w:szCs w:val="22"/>
              </w:rPr>
              <w:t>Pronóstico de la inflación para el 2023 (%)</w:t>
            </w:r>
            <w:bookmarkEnd w:id="112"/>
          </w:p>
        </w:tc>
        <w:tc>
          <w:tcPr>
            <w:tcW w:w="4697" w:type="dxa"/>
          </w:tcPr>
          <w:p w14:paraId="68F6DEEB" w14:textId="67AE1B9B" w:rsidR="004A66F0" w:rsidRPr="009F246B" w:rsidRDefault="009F246B" w:rsidP="008D7BB4">
            <w:pPr>
              <w:spacing w:line="276" w:lineRule="auto"/>
              <w:contextualSpacing/>
              <w:jc w:val="center"/>
              <w:rPr>
                <w:rFonts w:ascii="Times New Roman" w:eastAsia="AGaramondPro-Regular" w:hAnsi="Times New Roman" w:cs="Calibri"/>
                <w:b/>
                <w:bCs/>
                <w:sz w:val="22"/>
                <w:szCs w:val="22"/>
              </w:rPr>
            </w:pPr>
            <w:bookmarkStart w:id="113" w:name="_Toc125733226"/>
            <w:r w:rsidRPr="009F246B">
              <w:rPr>
                <w:rFonts w:ascii="Times New Roman" w:eastAsia="Times New Roman" w:hAnsi="Times New Roman"/>
                <w:b/>
                <w:sz w:val="22"/>
                <w:szCs w:val="22"/>
              </w:rPr>
              <w:t xml:space="preserve">Gráfico </w:t>
            </w:r>
            <w:r w:rsidRPr="009F246B">
              <w:rPr>
                <w:rFonts w:ascii="Times New Roman" w:eastAsia="Times New Roman" w:hAnsi="Times New Roman"/>
                <w:b/>
                <w:sz w:val="22"/>
                <w:szCs w:val="22"/>
              </w:rPr>
              <w:fldChar w:fldCharType="begin"/>
            </w:r>
            <w:r w:rsidRPr="009F246B">
              <w:rPr>
                <w:rFonts w:ascii="Times New Roman" w:eastAsia="Times New Roman" w:hAnsi="Times New Roman"/>
                <w:b/>
                <w:sz w:val="22"/>
                <w:szCs w:val="22"/>
              </w:rPr>
              <w:instrText xml:space="preserve"> SEQ Gráfico \* ARABIC </w:instrText>
            </w:r>
            <w:r w:rsidRPr="009F246B">
              <w:rPr>
                <w:rFonts w:ascii="Times New Roman" w:eastAsia="Times New Roman" w:hAnsi="Times New Roman"/>
                <w:b/>
                <w:sz w:val="22"/>
                <w:szCs w:val="22"/>
              </w:rPr>
              <w:fldChar w:fldCharType="separate"/>
            </w:r>
            <w:r w:rsidR="006F4BE5">
              <w:rPr>
                <w:rFonts w:ascii="Times New Roman" w:eastAsia="Times New Roman" w:hAnsi="Times New Roman"/>
                <w:b/>
                <w:noProof/>
                <w:sz w:val="22"/>
                <w:szCs w:val="22"/>
              </w:rPr>
              <w:t>30</w:t>
            </w:r>
            <w:r w:rsidRPr="009F246B">
              <w:rPr>
                <w:rFonts w:ascii="Times New Roman" w:eastAsia="Times New Roman" w:hAnsi="Times New Roman"/>
                <w:b/>
                <w:sz w:val="22"/>
                <w:szCs w:val="22"/>
              </w:rPr>
              <w:fldChar w:fldCharType="end"/>
            </w:r>
            <w:r w:rsidRPr="009F246B">
              <w:rPr>
                <w:rFonts w:ascii="Times New Roman" w:eastAsiaTheme="majorEastAsia" w:hAnsi="Times New Roman" w:cs="Calibri"/>
                <w:b/>
                <w:bCs/>
                <w:sz w:val="22"/>
                <w:szCs w:val="22"/>
              </w:rPr>
              <w:t xml:space="preserve">. </w:t>
            </w:r>
            <w:r w:rsidR="004A66F0" w:rsidRPr="009F246B">
              <w:rPr>
                <w:rFonts w:ascii="Times New Roman" w:eastAsia="AGaramondPro-Regular" w:hAnsi="Times New Roman" w:cs="Calibri"/>
                <w:b/>
                <w:bCs/>
                <w:sz w:val="22"/>
                <w:szCs w:val="22"/>
              </w:rPr>
              <w:t>Pronóstico de crecimiento de las principales variables monetarias (%)</w:t>
            </w:r>
            <w:bookmarkEnd w:id="113"/>
          </w:p>
        </w:tc>
      </w:tr>
      <w:tr w:rsidR="004A66F0" w:rsidRPr="004A66F0" w14:paraId="325E8BD7" w14:textId="77777777" w:rsidTr="00F85317">
        <w:tc>
          <w:tcPr>
            <w:tcW w:w="4697" w:type="dxa"/>
          </w:tcPr>
          <w:p w14:paraId="6D5AF24F" w14:textId="38BAEBC3" w:rsidR="004A66F0" w:rsidRPr="004A66F0" w:rsidRDefault="004A66F0" w:rsidP="008D7BB4">
            <w:pPr>
              <w:spacing w:line="276" w:lineRule="auto"/>
              <w:contextualSpacing/>
              <w:jc w:val="center"/>
              <w:rPr>
                <w:rFonts w:ascii="Times New Roman" w:eastAsia="AGaramondPro-Regular" w:hAnsi="Times New Roman" w:cs="Calibri"/>
                <w:sz w:val="22"/>
                <w:szCs w:val="22"/>
              </w:rPr>
            </w:pPr>
            <w:r w:rsidRPr="004A66F0">
              <w:rPr>
                <w:rFonts w:ascii="Times New Roman" w:eastAsiaTheme="majorEastAsia" w:hAnsi="Times New Roman" w:cs="Calibri"/>
                <w:b/>
                <w:noProof/>
                <w:sz w:val="22"/>
                <w:szCs w:val="26"/>
              </w:rPr>
              <w:drawing>
                <wp:inline distT="0" distB="0" distL="0" distR="0" wp14:anchorId="335E74C3" wp14:editId="48712C3D">
                  <wp:extent cx="2524125" cy="1798320"/>
                  <wp:effectExtent l="0" t="0" r="0" b="0"/>
                  <wp:docPr id="10" name="Gráfico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c>
          <w:tcPr>
            <w:tcW w:w="4697" w:type="dxa"/>
          </w:tcPr>
          <w:p w14:paraId="550EC313" w14:textId="22F36E33" w:rsidR="004A66F0" w:rsidRPr="004A66F0" w:rsidRDefault="004A66F0" w:rsidP="008D7BB4">
            <w:pPr>
              <w:spacing w:line="276" w:lineRule="auto"/>
              <w:contextualSpacing/>
              <w:jc w:val="center"/>
              <w:rPr>
                <w:rFonts w:ascii="Times New Roman" w:eastAsia="AGaramondPro-Regular" w:hAnsi="Times New Roman" w:cs="Calibri"/>
                <w:sz w:val="22"/>
                <w:szCs w:val="22"/>
              </w:rPr>
            </w:pPr>
            <w:r w:rsidRPr="004A66F0">
              <w:rPr>
                <w:rFonts w:ascii="Times New Roman" w:eastAsia="Times New Roman" w:hAnsi="Times New Roman" w:cs="Calibri"/>
                <w:noProof/>
                <w:sz w:val="22"/>
                <w:szCs w:val="22"/>
              </w:rPr>
              <w:drawing>
                <wp:inline distT="0" distB="0" distL="0" distR="0" wp14:anchorId="49B231A9" wp14:editId="78990F78">
                  <wp:extent cx="2524125" cy="1798320"/>
                  <wp:effectExtent l="0" t="0" r="0" b="0"/>
                  <wp:docPr id="9" name="Gráfico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r>
      <w:tr w:rsidR="004A66F0" w:rsidRPr="004A66F0" w14:paraId="38358DFE" w14:textId="77777777" w:rsidTr="00F85317">
        <w:tc>
          <w:tcPr>
            <w:tcW w:w="9394" w:type="dxa"/>
            <w:gridSpan w:val="2"/>
          </w:tcPr>
          <w:p w14:paraId="70278C12" w14:textId="77777777" w:rsidR="004A66F0" w:rsidRPr="008C3120" w:rsidRDefault="004A66F0" w:rsidP="008D7BB4">
            <w:pPr>
              <w:spacing w:line="276" w:lineRule="auto"/>
              <w:contextualSpacing/>
              <w:jc w:val="both"/>
              <w:rPr>
                <w:rFonts w:ascii="Times New Roman" w:eastAsia="Times New Roman" w:hAnsi="Times New Roman" w:cs="Calibri"/>
                <w:noProof/>
                <w:sz w:val="18"/>
                <w:szCs w:val="18"/>
              </w:rPr>
            </w:pPr>
            <w:r w:rsidRPr="008C3120">
              <w:rPr>
                <w:rFonts w:ascii="Times New Roman" w:eastAsia="Times New Roman" w:hAnsi="Times New Roman" w:cs="Calibri"/>
                <w:sz w:val="18"/>
                <w:szCs w:val="18"/>
              </w:rPr>
              <w:t>Fuente: Banco de Guatemala</w:t>
            </w:r>
          </w:p>
        </w:tc>
      </w:tr>
    </w:tbl>
    <w:p w14:paraId="7995220F" w14:textId="77777777" w:rsidR="004A66F0" w:rsidRPr="004A66F0" w:rsidRDefault="004A66F0" w:rsidP="008D7BB4">
      <w:pPr>
        <w:spacing w:line="276" w:lineRule="auto"/>
        <w:contextualSpacing/>
        <w:jc w:val="both"/>
        <w:rPr>
          <w:rFonts w:ascii="Times New Roman" w:eastAsia="Times New Roman" w:hAnsi="Times New Roman" w:cs="Calibri"/>
          <w:sz w:val="22"/>
          <w:szCs w:val="22"/>
        </w:rPr>
      </w:pPr>
    </w:p>
    <w:p w14:paraId="6948A304" w14:textId="77777777" w:rsidR="004A66F0" w:rsidRPr="004A66F0" w:rsidRDefault="004A66F0" w:rsidP="008D7BB4">
      <w:pPr>
        <w:numPr>
          <w:ilvl w:val="0"/>
          <w:numId w:val="40"/>
        </w:numPr>
        <w:spacing w:line="276" w:lineRule="auto"/>
        <w:contextualSpacing/>
        <w:jc w:val="both"/>
        <w:rPr>
          <w:rFonts w:ascii="Times New Roman" w:eastAsia="Times New Roman" w:hAnsi="Times New Roman" w:cs="Calibri"/>
          <w:color w:val="000000" w:themeColor="text1"/>
          <w:sz w:val="22"/>
          <w:szCs w:val="22"/>
        </w:rPr>
      </w:pPr>
      <w:r w:rsidRPr="004A66F0">
        <w:rPr>
          <w:rFonts w:ascii="Times New Roman" w:eastAsia="Times New Roman" w:hAnsi="Times New Roman" w:cs="Calibri"/>
          <w:sz w:val="22"/>
          <w:szCs w:val="22"/>
        </w:rPr>
        <w:t xml:space="preserve">En el sector </w:t>
      </w:r>
      <w:r w:rsidRPr="004A66F0">
        <w:rPr>
          <w:rFonts w:ascii="Times New Roman" w:eastAsia="Times New Roman" w:hAnsi="Times New Roman" w:cs="Calibri"/>
          <w:color w:val="000000" w:themeColor="text1"/>
          <w:sz w:val="22"/>
          <w:szCs w:val="22"/>
        </w:rPr>
        <w:t>externo se prevé que el comercio exterior desacelere su crecimiento en la misma línea que la economía mundial, en ese orden de ideas se espera que las exportaciones FOB se sitúen en US$ 15,254.9 millones, con un crecimiento en un rango de 4.5% y 7.5% con un valor central de 6.0%; en el caso de las importaciones FOB se situaran en US$ 30,705.7 millones, con un crecimiento en un rango de 6.5% a 9.5% con un valor central de 8.0%.</w:t>
      </w:r>
    </w:p>
    <w:p w14:paraId="22A2BD2D" w14:textId="77777777" w:rsidR="004A66F0" w:rsidRPr="004A66F0" w:rsidRDefault="004A66F0" w:rsidP="008D7BB4">
      <w:pPr>
        <w:spacing w:line="276" w:lineRule="auto"/>
        <w:contextualSpacing/>
        <w:jc w:val="both"/>
        <w:rPr>
          <w:rFonts w:ascii="Times New Roman" w:eastAsia="Times New Roman" w:hAnsi="Times New Roman" w:cs="Calibri"/>
          <w:sz w:val="22"/>
          <w:szCs w:val="22"/>
        </w:rPr>
      </w:pPr>
    </w:p>
    <w:p w14:paraId="58403054" w14:textId="77777777" w:rsidR="004A66F0" w:rsidRPr="004A66F0" w:rsidRDefault="004A66F0" w:rsidP="008D7BB4">
      <w:pPr>
        <w:numPr>
          <w:ilvl w:val="0"/>
          <w:numId w:val="40"/>
        </w:numPr>
        <w:spacing w:line="276" w:lineRule="auto"/>
        <w:contextualSpacing/>
        <w:jc w:val="both"/>
        <w:rPr>
          <w:rFonts w:ascii="Times New Roman" w:eastAsia="Times New Roman" w:hAnsi="Times New Roman" w:cs="Calibri"/>
          <w:sz w:val="22"/>
          <w:szCs w:val="22"/>
        </w:rPr>
      </w:pPr>
      <w:r w:rsidRPr="004A66F0">
        <w:rPr>
          <w:rFonts w:ascii="Times New Roman" w:eastAsia="Times New Roman" w:hAnsi="Times New Roman" w:cs="Calibri"/>
          <w:sz w:val="22"/>
          <w:szCs w:val="22"/>
        </w:rPr>
        <w:t>Además, en el ingreso secundario se espera que las remesas continúen crecientes, pero no a los niveles de los años anteriores derivado a las condiciones externas descritas anteriormente, destacando los altos costos de los intereses en la adquisición de casas en Estados Unidos que puede ser representativo dado que la comunidad migrante se mueve en el campo laboral de la construcción. Por lo que el crecimiento esperado de las remesas familiares es de 7.5%, que nuevamente compensarán parte de los déficits de balanza comercial y del ingreso primario.</w:t>
      </w:r>
    </w:p>
    <w:p w14:paraId="318ADD35" w14:textId="77777777" w:rsidR="004A66F0" w:rsidRPr="004A66F0" w:rsidRDefault="004A66F0" w:rsidP="008D7BB4">
      <w:pPr>
        <w:spacing w:line="276" w:lineRule="auto"/>
        <w:contextualSpacing/>
        <w:jc w:val="both"/>
        <w:rPr>
          <w:rFonts w:ascii="Times New Roman" w:eastAsia="Times New Roman" w:hAnsi="Times New Roman" w:cs="Calibri"/>
          <w:sz w:val="22"/>
          <w:szCs w:val="22"/>
        </w:rPr>
      </w:pPr>
    </w:p>
    <w:p w14:paraId="37551A2A" w14:textId="77777777" w:rsidR="004A66F0" w:rsidRPr="004A66F0" w:rsidRDefault="004A66F0" w:rsidP="008D7BB4">
      <w:pPr>
        <w:numPr>
          <w:ilvl w:val="0"/>
          <w:numId w:val="40"/>
        </w:numPr>
        <w:spacing w:line="276" w:lineRule="auto"/>
        <w:contextualSpacing/>
        <w:jc w:val="both"/>
        <w:rPr>
          <w:rFonts w:ascii="Times New Roman" w:eastAsia="Times New Roman" w:hAnsi="Times New Roman" w:cs="Calibri"/>
          <w:sz w:val="22"/>
          <w:szCs w:val="22"/>
        </w:rPr>
      </w:pPr>
      <w:r w:rsidRPr="004A66F0">
        <w:rPr>
          <w:rFonts w:ascii="Times New Roman" w:eastAsia="Times New Roman" w:hAnsi="Times New Roman" w:cs="Calibri"/>
          <w:sz w:val="22"/>
          <w:szCs w:val="22"/>
        </w:rPr>
        <w:t xml:space="preserve">Por lo anterior, se prevé que la cuenta corriente de la balanza de pagos registre un superávit respecto del PIB de 1.1% en 2023, menor en 0.5 puntos porcentuales respecto al preliminar de 2022. Dicho resultado, permitirá aumentar los activos y disminuir pasivos de no </w:t>
      </w:r>
      <w:r w:rsidRPr="004A66F0">
        <w:rPr>
          <w:rFonts w:ascii="Times New Roman" w:eastAsia="Times New Roman" w:hAnsi="Times New Roman" w:cs="Calibri"/>
          <w:sz w:val="22"/>
          <w:szCs w:val="22"/>
        </w:rPr>
        <w:lastRenderedPageBreak/>
        <w:t>residentes. En lo que respecta a las Reservas Internacionales Netas se proyectan a finales del 2023 en USD$21,439.6, incrementando USD$500.0 con respecto el año anterior.</w:t>
      </w:r>
    </w:p>
    <w:p w14:paraId="56D983EA" w14:textId="77777777" w:rsidR="004A66F0" w:rsidRPr="004A66F0" w:rsidRDefault="004A66F0" w:rsidP="008D7BB4">
      <w:pPr>
        <w:spacing w:line="276" w:lineRule="auto"/>
        <w:contextualSpacing/>
        <w:jc w:val="both"/>
        <w:rPr>
          <w:rFonts w:ascii="Times New Roman" w:eastAsia="Times New Roman" w:hAnsi="Times New Roman" w:cs="Calibri"/>
          <w:sz w:val="22"/>
          <w:szCs w:val="22"/>
        </w:rPr>
      </w:pP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0"/>
      </w:tblGrid>
      <w:tr w:rsidR="004A66F0" w:rsidRPr="004A66F0" w14:paraId="1D76C07F" w14:textId="77777777" w:rsidTr="00F85317">
        <w:tc>
          <w:tcPr>
            <w:tcW w:w="9394" w:type="dxa"/>
          </w:tcPr>
          <w:p w14:paraId="71A68CDC" w14:textId="7493D279" w:rsidR="004A66F0" w:rsidRPr="009F246B" w:rsidRDefault="009F246B" w:rsidP="008D7BB4">
            <w:pPr>
              <w:spacing w:line="276" w:lineRule="auto"/>
              <w:contextualSpacing/>
              <w:jc w:val="center"/>
              <w:rPr>
                <w:rFonts w:ascii="Times New Roman" w:eastAsia="AGaramondPro-Regular" w:hAnsi="Times New Roman" w:cs="Calibri"/>
                <w:b/>
                <w:bCs/>
                <w:sz w:val="22"/>
                <w:szCs w:val="22"/>
              </w:rPr>
            </w:pPr>
            <w:bookmarkStart w:id="114" w:name="_Toc125733227"/>
            <w:r w:rsidRPr="009F246B">
              <w:rPr>
                <w:rFonts w:ascii="Times New Roman" w:eastAsia="Times New Roman" w:hAnsi="Times New Roman"/>
                <w:b/>
                <w:sz w:val="22"/>
                <w:szCs w:val="22"/>
              </w:rPr>
              <w:t xml:space="preserve">Gráfico </w:t>
            </w:r>
            <w:r w:rsidRPr="009F246B">
              <w:rPr>
                <w:rFonts w:ascii="Times New Roman" w:eastAsia="Times New Roman" w:hAnsi="Times New Roman"/>
                <w:b/>
                <w:sz w:val="22"/>
                <w:szCs w:val="22"/>
              </w:rPr>
              <w:fldChar w:fldCharType="begin"/>
            </w:r>
            <w:r w:rsidRPr="009F246B">
              <w:rPr>
                <w:rFonts w:ascii="Times New Roman" w:eastAsia="Times New Roman" w:hAnsi="Times New Roman"/>
                <w:b/>
                <w:sz w:val="22"/>
                <w:szCs w:val="22"/>
              </w:rPr>
              <w:instrText xml:space="preserve"> SEQ Gráfico \* ARABIC </w:instrText>
            </w:r>
            <w:r w:rsidRPr="009F246B">
              <w:rPr>
                <w:rFonts w:ascii="Times New Roman" w:eastAsia="Times New Roman" w:hAnsi="Times New Roman"/>
                <w:b/>
                <w:sz w:val="22"/>
                <w:szCs w:val="22"/>
              </w:rPr>
              <w:fldChar w:fldCharType="separate"/>
            </w:r>
            <w:r w:rsidR="006F4BE5">
              <w:rPr>
                <w:rFonts w:ascii="Times New Roman" w:eastAsia="Times New Roman" w:hAnsi="Times New Roman"/>
                <w:b/>
                <w:noProof/>
                <w:sz w:val="22"/>
                <w:szCs w:val="22"/>
              </w:rPr>
              <w:t>31</w:t>
            </w:r>
            <w:r w:rsidRPr="009F246B">
              <w:rPr>
                <w:rFonts w:ascii="Times New Roman" w:eastAsia="Times New Roman" w:hAnsi="Times New Roman"/>
                <w:b/>
                <w:sz w:val="22"/>
                <w:szCs w:val="22"/>
              </w:rPr>
              <w:fldChar w:fldCharType="end"/>
            </w:r>
            <w:r w:rsidRPr="009F246B">
              <w:rPr>
                <w:rFonts w:ascii="Times New Roman" w:eastAsia="Times New Roman" w:hAnsi="Times New Roman"/>
                <w:b/>
                <w:sz w:val="22"/>
                <w:szCs w:val="22"/>
              </w:rPr>
              <w:t>.</w:t>
            </w:r>
            <w:r w:rsidR="004A66F0" w:rsidRPr="009F246B">
              <w:rPr>
                <w:rFonts w:ascii="Times New Roman" w:eastAsia="AGaramondPro-Regular" w:hAnsi="Times New Roman" w:cs="Calibri"/>
                <w:b/>
                <w:bCs/>
                <w:sz w:val="22"/>
                <w:szCs w:val="22"/>
              </w:rPr>
              <w:t xml:space="preserve"> Pronóstico de las variables del sector externo</w:t>
            </w:r>
            <w:bookmarkEnd w:id="114"/>
          </w:p>
        </w:tc>
      </w:tr>
      <w:tr w:rsidR="004A66F0" w:rsidRPr="004A66F0" w14:paraId="3A8F3A84" w14:textId="77777777" w:rsidTr="00F85317">
        <w:tc>
          <w:tcPr>
            <w:tcW w:w="9394" w:type="dxa"/>
          </w:tcPr>
          <w:p w14:paraId="6FC38341" w14:textId="6FA3B56A" w:rsidR="004A66F0" w:rsidRPr="004A66F0" w:rsidRDefault="004A66F0" w:rsidP="008D7BB4">
            <w:pPr>
              <w:spacing w:line="276" w:lineRule="auto"/>
              <w:contextualSpacing/>
              <w:jc w:val="center"/>
              <w:rPr>
                <w:rFonts w:ascii="Times New Roman" w:eastAsia="AGaramondPro-Regular" w:hAnsi="Times New Roman" w:cs="Calibri"/>
                <w:sz w:val="22"/>
                <w:szCs w:val="22"/>
              </w:rPr>
            </w:pPr>
            <w:r w:rsidRPr="004A66F0">
              <w:rPr>
                <w:rFonts w:ascii="Times New Roman" w:eastAsia="Times New Roman" w:hAnsi="Times New Roman" w:cs="Calibri"/>
                <w:noProof/>
                <w:sz w:val="22"/>
                <w:szCs w:val="22"/>
              </w:rPr>
              <w:drawing>
                <wp:inline distT="0" distB="0" distL="0" distR="0" wp14:anchorId="5427EB8C" wp14:editId="0322F87E">
                  <wp:extent cx="5036185" cy="1798320"/>
                  <wp:effectExtent l="0" t="0" r="0" b="0"/>
                  <wp:docPr id="8" name="Gráfico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r w:rsidR="004A66F0" w:rsidRPr="004A66F0" w14:paraId="4C604259" w14:textId="77777777" w:rsidTr="00F85317">
        <w:tc>
          <w:tcPr>
            <w:tcW w:w="9394" w:type="dxa"/>
          </w:tcPr>
          <w:p w14:paraId="23C4B4FE" w14:textId="77777777" w:rsidR="004A66F0" w:rsidRPr="004A66F0" w:rsidRDefault="004A66F0" w:rsidP="008D7BB4">
            <w:pPr>
              <w:spacing w:line="276" w:lineRule="auto"/>
              <w:contextualSpacing/>
              <w:jc w:val="both"/>
              <w:rPr>
                <w:rFonts w:ascii="Times New Roman" w:eastAsia="Times New Roman" w:hAnsi="Times New Roman" w:cs="Calibri"/>
                <w:noProof/>
                <w:sz w:val="22"/>
                <w:szCs w:val="22"/>
              </w:rPr>
            </w:pPr>
            <w:r w:rsidRPr="004A66F0">
              <w:rPr>
                <w:rFonts w:ascii="Times New Roman" w:eastAsia="Times New Roman" w:hAnsi="Times New Roman" w:cs="Calibri"/>
                <w:sz w:val="18"/>
                <w:szCs w:val="20"/>
              </w:rPr>
              <w:t>Fuente: Banco de Guatemala</w:t>
            </w:r>
          </w:p>
        </w:tc>
      </w:tr>
    </w:tbl>
    <w:p w14:paraId="23DE3483" w14:textId="77777777" w:rsidR="004A66F0" w:rsidRPr="004A66F0" w:rsidRDefault="004A66F0" w:rsidP="008D7BB4">
      <w:pPr>
        <w:spacing w:line="276" w:lineRule="auto"/>
        <w:contextualSpacing/>
        <w:rPr>
          <w:rFonts w:ascii="Times New Roman" w:eastAsia="Times New Roman" w:hAnsi="Times New Roman" w:cs="Calibri"/>
          <w:b/>
          <w:sz w:val="22"/>
          <w:szCs w:val="22"/>
        </w:rPr>
      </w:pPr>
    </w:p>
    <w:p w14:paraId="1E9159D0" w14:textId="77777777" w:rsidR="004A66F0" w:rsidRPr="00A36506" w:rsidRDefault="004A66F0" w:rsidP="008D7BB4">
      <w:pPr>
        <w:pStyle w:val="Prrafodelista"/>
        <w:keepNext/>
        <w:keepLines/>
        <w:numPr>
          <w:ilvl w:val="1"/>
          <w:numId w:val="20"/>
        </w:numPr>
        <w:tabs>
          <w:tab w:val="left" w:pos="1134"/>
        </w:tabs>
        <w:spacing w:line="276" w:lineRule="auto"/>
        <w:jc w:val="both"/>
        <w:outlineLvl w:val="1"/>
        <w:rPr>
          <w:rFonts w:ascii="Times New Roman" w:eastAsiaTheme="majorEastAsia" w:hAnsi="Times New Roman" w:cs="Times New Roman"/>
          <w:b/>
          <w:bCs/>
        </w:rPr>
      </w:pPr>
      <w:bookmarkStart w:id="115" w:name="_Toc94259653"/>
      <w:bookmarkStart w:id="116" w:name="_Toc125723299"/>
      <w:r w:rsidRPr="00A36506">
        <w:rPr>
          <w:rFonts w:ascii="Times New Roman" w:eastAsiaTheme="majorEastAsia" w:hAnsi="Times New Roman" w:cs="Times New Roman"/>
          <w:b/>
          <w:bCs/>
        </w:rPr>
        <w:t>Perspectivas fiscales para 202</w:t>
      </w:r>
      <w:bookmarkEnd w:id="115"/>
      <w:r w:rsidRPr="00A36506">
        <w:rPr>
          <w:rFonts w:ascii="Times New Roman" w:eastAsiaTheme="majorEastAsia" w:hAnsi="Times New Roman" w:cs="Times New Roman"/>
          <w:b/>
          <w:bCs/>
        </w:rPr>
        <w:t>3</w:t>
      </w:r>
      <w:bookmarkEnd w:id="116"/>
    </w:p>
    <w:p w14:paraId="492F3A55" w14:textId="77777777" w:rsidR="004A66F0" w:rsidRPr="004A66F0" w:rsidRDefault="004A66F0" w:rsidP="008D7BB4">
      <w:pPr>
        <w:spacing w:line="276" w:lineRule="auto"/>
        <w:contextualSpacing/>
        <w:rPr>
          <w:rFonts w:ascii="Times New Roman" w:eastAsiaTheme="majorEastAsia" w:hAnsi="Times New Roman" w:cs="Calibri"/>
          <w:b/>
          <w:bCs/>
          <w:sz w:val="20"/>
          <w:szCs w:val="26"/>
        </w:rPr>
      </w:pPr>
    </w:p>
    <w:p w14:paraId="33DDAA71" w14:textId="77777777" w:rsidR="004A66F0" w:rsidRPr="004A66F0" w:rsidRDefault="004A66F0" w:rsidP="008D7BB4">
      <w:pPr>
        <w:spacing w:line="276" w:lineRule="auto"/>
        <w:contextualSpacing/>
        <w:jc w:val="both"/>
        <w:rPr>
          <w:rFonts w:ascii="Times New Roman" w:eastAsia="Times New Roman" w:hAnsi="Times New Roman" w:cs="Calibri"/>
          <w:sz w:val="22"/>
          <w:szCs w:val="22"/>
        </w:rPr>
      </w:pPr>
      <w:r w:rsidRPr="004A66F0">
        <w:rPr>
          <w:rFonts w:ascii="Times New Roman" w:eastAsia="Times New Roman" w:hAnsi="Times New Roman" w:cs="Calibri"/>
          <w:sz w:val="22"/>
          <w:szCs w:val="22"/>
        </w:rPr>
        <w:t>El 2023 inicia con perspectivas fiscales favorables, luego que fuera aprobado el presupuesto por medio del Decreto número 54-2022 “Ley del Presupuesto General de Ingresos y Egresos del Estado para el Ejercicio Fiscal 2023”, siendo el segundo año consecutivo que se cuenta con un presupuesto aprobado en los términos que establece la Constitución Política.</w:t>
      </w:r>
    </w:p>
    <w:p w14:paraId="59E0898A" w14:textId="77777777" w:rsidR="004A66F0" w:rsidRPr="004A66F0" w:rsidRDefault="004A66F0" w:rsidP="008D7BB4">
      <w:pPr>
        <w:spacing w:line="276" w:lineRule="auto"/>
        <w:contextualSpacing/>
        <w:jc w:val="both"/>
        <w:rPr>
          <w:rFonts w:ascii="Times New Roman" w:eastAsia="Times New Roman" w:hAnsi="Times New Roman" w:cs="Calibri"/>
          <w:sz w:val="22"/>
          <w:szCs w:val="22"/>
        </w:rPr>
      </w:pPr>
    </w:p>
    <w:p w14:paraId="160960D5" w14:textId="7CFB6179" w:rsidR="004A66F0" w:rsidRDefault="004A66F0" w:rsidP="008D7BB4">
      <w:pPr>
        <w:spacing w:line="276" w:lineRule="auto"/>
        <w:contextualSpacing/>
        <w:jc w:val="both"/>
        <w:rPr>
          <w:rFonts w:ascii="Times New Roman" w:eastAsia="Times New Roman" w:hAnsi="Times New Roman" w:cs="Calibri"/>
          <w:sz w:val="22"/>
          <w:szCs w:val="22"/>
        </w:rPr>
      </w:pPr>
      <w:r w:rsidRPr="004A66F0">
        <w:rPr>
          <w:rFonts w:ascii="Times New Roman" w:eastAsia="Times New Roman" w:hAnsi="Times New Roman" w:cs="Calibri"/>
          <w:sz w:val="22"/>
          <w:szCs w:val="22"/>
        </w:rPr>
        <w:t>Esta medida es sumamente favorable para el manejo de la política fiscal y de la política pública en general, dado que desde el principio de año las entidades saben con certeza como manejar sus presupuestos y las reprogramaciones y readecuaciones presupuestarias son menores, dinamizando la ejecución en el primer trimestre del año. Adicionalmente, el presupuesto aprobado es consistente y congruente con la planificación de las entidades y los objetivos estratégicos que han sido definidos con antelación en beneficio de las necesidades de la población guatemalteca.</w:t>
      </w:r>
    </w:p>
    <w:p w14:paraId="52D750FF" w14:textId="294B3229" w:rsidR="006C7DA1" w:rsidRDefault="006C7DA1" w:rsidP="008D7BB4">
      <w:pPr>
        <w:spacing w:line="276" w:lineRule="auto"/>
        <w:contextualSpacing/>
        <w:jc w:val="both"/>
        <w:rPr>
          <w:rFonts w:ascii="Times New Roman" w:eastAsia="Times New Roman" w:hAnsi="Times New Roman" w:cs="Calibri"/>
          <w:sz w:val="22"/>
          <w:szCs w:val="22"/>
        </w:rPr>
      </w:pPr>
    </w:p>
    <w:p w14:paraId="7EBABCDB" w14:textId="77777777" w:rsidR="006C7DA1" w:rsidRPr="004A66F0" w:rsidRDefault="006C7DA1" w:rsidP="006C7DA1">
      <w:pPr>
        <w:spacing w:line="276" w:lineRule="auto"/>
        <w:contextualSpacing/>
        <w:jc w:val="both"/>
        <w:rPr>
          <w:rFonts w:ascii="Times New Roman" w:eastAsia="Times New Roman" w:hAnsi="Times New Roman" w:cs="Calibri"/>
          <w:sz w:val="22"/>
          <w:szCs w:val="22"/>
        </w:rPr>
      </w:pPr>
      <w:r w:rsidRPr="004A66F0">
        <w:rPr>
          <w:rFonts w:ascii="Times New Roman" w:eastAsia="Times New Roman" w:hAnsi="Times New Roman" w:cs="Calibri"/>
          <w:sz w:val="22"/>
          <w:szCs w:val="22"/>
        </w:rPr>
        <w:t xml:space="preserve">El Proyecto de Presupuesto consideraba un monto de Q112,294.8 millones, el cual fue modificado por la Comisión de Finanzas </w:t>
      </w:r>
      <w:r>
        <w:rPr>
          <w:rFonts w:ascii="Times New Roman" w:eastAsia="Times New Roman" w:hAnsi="Times New Roman" w:cs="Calibri"/>
          <w:sz w:val="22"/>
          <w:szCs w:val="22"/>
        </w:rPr>
        <w:t xml:space="preserve">del Congreso de la República, </w:t>
      </w:r>
      <w:r w:rsidRPr="004A66F0">
        <w:rPr>
          <w:rFonts w:ascii="Times New Roman" w:eastAsia="Times New Roman" w:hAnsi="Times New Roman" w:cs="Calibri"/>
          <w:sz w:val="22"/>
          <w:szCs w:val="22"/>
        </w:rPr>
        <w:t>considerando un monto de Q113,931.7 millones, es decir una variación de Q1,636.9 millones</w:t>
      </w:r>
      <w:r>
        <w:rPr>
          <w:rFonts w:ascii="Times New Roman" w:eastAsia="Times New Roman" w:hAnsi="Times New Roman" w:cs="Calibri"/>
          <w:sz w:val="22"/>
          <w:szCs w:val="22"/>
        </w:rPr>
        <w:t xml:space="preserve">.  Sin embargo, </w:t>
      </w:r>
      <w:r w:rsidRPr="004A66F0">
        <w:rPr>
          <w:rFonts w:ascii="Times New Roman" w:eastAsia="Times New Roman" w:hAnsi="Times New Roman" w:cs="Calibri"/>
          <w:sz w:val="22"/>
          <w:szCs w:val="22"/>
        </w:rPr>
        <w:t xml:space="preserve">finalmente </w:t>
      </w:r>
      <w:r>
        <w:rPr>
          <w:rFonts w:ascii="Times New Roman" w:eastAsia="Times New Roman" w:hAnsi="Times New Roman" w:cs="Calibri"/>
          <w:sz w:val="22"/>
          <w:szCs w:val="22"/>
        </w:rPr>
        <w:t>fue aprobado por el pleno del Congreso de la República por</w:t>
      </w:r>
      <w:r w:rsidRPr="004A66F0">
        <w:rPr>
          <w:rFonts w:ascii="Times New Roman" w:eastAsia="Times New Roman" w:hAnsi="Times New Roman" w:cs="Calibri"/>
          <w:sz w:val="22"/>
          <w:szCs w:val="22"/>
        </w:rPr>
        <w:t xml:space="preserve"> Q115,443.7 millones</w:t>
      </w:r>
      <w:r>
        <w:rPr>
          <w:rFonts w:ascii="Times New Roman" w:eastAsia="Times New Roman" w:hAnsi="Times New Roman" w:cs="Calibri"/>
          <w:sz w:val="22"/>
          <w:szCs w:val="22"/>
        </w:rPr>
        <w:t>.</w:t>
      </w:r>
      <w:r w:rsidRPr="004A66F0">
        <w:rPr>
          <w:rFonts w:ascii="Times New Roman" w:eastAsia="Times New Roman" w:hAnsi="Times New Roman" w:cs="Calibri"/>
          <w:sz w:val="22"/>
          <w:szCs w:val="22"/>
        </w:rPr>
        <w:t xml:space="preserve"> </w:t>
      </w:r>
    </w:p>
    <w:p w14:paraId="5CEC1DD6" w14:textId="77777777" w:rsidR="006C7DA1" w:rsidRPr="004A66F0" w:rsidRDefault="006C7DA1" w:rsidP="006C7DA1">
      <w:pPr>
        <w:spacing w:line="276" w:lineRule="auto"/>
        <w:contextualSpacing/>
        <w:jc w:val="both"/>
        <w:rPr>
          <w:rFonts w:ascii="Times New Roman" w:eastAsia="Times New Roman" w:hAnsi="Times New Roman" w:cs="Calibri"/>
          <w:sz w:val="22"/>
          <w:szCs w:val="22"/>
        </w:rPr>
      </w:pPr>
    </w:p>
    <w:p w14:paraId="69417361" w14:textId="77777777" w:rsidR="006C7DA1" w:rsidRPr="004A66F0" w:rsidRDefault="006C7DA1" w:rsidP="006C7DA1">
      <w:pPr>
        <w:spacing w:line="276" w:lineRule="auto"/>
        <w:contextualSpacing/>
        <w:jc w:val="both"/>
        <w:rPr>
          <w:rFonts w:ascii="Times New Roman" w:eastAsia="Times New Roman" w:hAnsi="Times New Roman" w:cs="Calibri"/>
          <w:sz w:val="22"/>
          <w:szCs w:val="22"/>
        </w:rPr>
      </w:pPr>
      <w:r w:rsidRPr="004A66F0">
        <w:rPr>
          <w:rFonts w:ascii="Times New Roman" w:eastAsia="Times New Roman" w:hAnsi="Times New Roman" w:cs="Calibri"/>
          <w:sz w:val="22"/>
          <w:szCs w:val="22"/>
        </w:rPr>
        <w:t>Respecto a los techos presupuestarios por fuente de financiamiento, los ingresos corrientes tuvieron un incremento de Q1,637.0 millones respecto al Proyecto de Presupuesto, derivado del incremento en la meta de recaudación de la SAT. Asimismo, se contemplan Q8,477.9 millones por disminución de caja y bancos, de los cuales una buena parte estaría explicada por el desempeño favorable de la recaudación tributaria de 2022 que dejo recursos en caja para el 2023.</w:t>
      </w:r>
    </w:p>
    <w:p w14:paraId="44D01B79" w14:textId="77777777" w:rsidR="006C7DA1" w:rsidRPr="004A66F0" w:rsidRDefault="006C7DA1" w:rsidP="008D7BB4">
      <w:pPr>
        <w:spacing w:line="276" w:lineRule="auto"/>
        <w:contextualSpacing/>
        <w:jc w:val="both"/>
        <w:rPr>
          <w:rFonts w:ascii="Times New Roman" w:eastAsia="Times New Roman" w:hAnsi="Times New Roman" w:cs="Calibri"/>
          <w:sz w:val="22"/>
          <w:szCs w:val="22"/>
        </w:rPr>
      </w:pPr>
    </w:p>
    <w:p w14:paraId="00D47BDD" w14:textId="77777777" w:rsidR="004A66F0" w:rsidRPr="004A66F0" w:rsidRDefault="004A66F0" w:rsidP="008D7BB4">
      <w:pPr>
        <w:spacing w:line="276" w:lineRule="auto"/>
        <w:contextualSpacing/>
        <w:jc w:val="both"/>
        <w:rPr>
          <w:rFonts w:ascii="Times New Roman" w:eastAsia="Times New Roman" w:hAnsi="Times New Roman" w:cs="Calibri"/>
          <w:sz w:val="22"/>
          <w:szCs w:val="22"/>
        </w:rPr>
      </w:pPr>
    </w:p>
    <w:p w14:paraId="72A06E67" w14:textId="51699EC6" w:rsidR="004A66F0" w:rsidRPr="004A66F0" w:rsidRDefault="00FE0B42" w:rsidP="008D7BB4">
      <w:pPr>
        <w:spacing w:line="276" w:lineRule="auto"/>
        <w:contextualSpacing/>
        <w:jc w:val="center"/>
        <w:rPr>
          <w:rFonts w:ascii="Times New Roman" w:eastAsia="Times New Roman" w:hAnsi="Times New Roman" w:cs="Calibri"/>
          <w:b/>
          <w:sz w:val="22"/>
          <w:szCs w:val="22"/>
        </w:rPr>
      </w:pPr>
      <w:bookmarkStart w:id="117" w:name="_Toc125534815"/>
      <w:r w:rsidRPr="0014283B">
        <w:rPr>
          <w:rFonts w:ascii="Times New Roman" w:hAnsi="Times New Roman" w:cs="Times New Roman"/>
          <w:b/>
          <w:bCs/>
          <w:sz w:val="22"/>
          <w:szCs w:val="22"/>
        </w:rPr>
        <w:lastRenderedPageBreak/>
        <w:t xml:space="preserve">Tabla </w:t>
      </w:r>
      <w:r w:rsidRPr="0014283B">
        <w:rPr>
          <w:rFonts w:ascii="Times New Roman" w:hAnsi="Times New Roman" w:cs="Times New Roman"/>
          <w:b/>
          <w:bCs/>
          <w:sz w:val="22"/>
          <w:szCs w:val="22"/>
        </w:rPr>
        <w:fldChar w:fldCharType="begin"/>
      </w:r>
      <w:r w:rsidRPr="0014283B">
        <w:rPr>
          <w:rFonts w:ascii="Times New Roman" w:hAnsi="Times New Roman" w:cs="Times New Roman"/>
          <w:b/>
          <w:bCs/>
          <w:sz w:val="22"/>
          <w:szCs w:val="22"/>
        </w:rPr>
        <w:instrText xml:space="preserve"> SEQ Tabla \* ARABIC </w:instrText>
      </w:r>
      <w:r w:rsidRPr="0014283B">
        <w:rPr>
          <w:rFonts w:ascii="Times New Roman" w:hAnsi="Times New Roman" w:cs="Times New Roman"/>
          <w:b/>
          <w:bCs/>
          <w:sz w:val="22"/>
          <w:szCs w:val="22"/>
        </w:rPr>
        <w:fldChar w:fldCharType="separate"/>
      </w:r>
      <w:r w:rsidR="006F4BE5">
        <w:rPr>
          <w:rFonts w:ascii="Times New Roman" w:hAnsi="Times New Roman" w:cs="Times New Roman"/>
          <w:b/>
          <w:bCs/>
          <w:noProof/>
          <w:sz w:val="22"/>
          <w:szCs w:val="22"/>
        </w:rPr>
        <w:t>6</w:t>
      </w:r>
      <w:r w:rsidRPr="0014283B">
        <w:rPr>
          <w:rFonts w:ascii="Times New Roman" w:hAnsi="Times New Roman" w:cs="Times New Roman"/>
          <w:b/>
          <w:bCs/>
          <w:sz w:val="22"/>
          <w:szCs w:val="22"/>
        </w:rPr>
        <w:fldChar w:fldCharType="end"/>
      </w:r>
      <w:r w:rsidRPr="0014283B">
        <w:rPr>
          <w:rFonts w:ascii="Times New Roman" w:hAnsi="Times New Roman" w:cs="Times New Roman"/>
          <w:b/>
          <w:bCs/>
          <w:sz w:val="22"/>
          <w:szCs w:val="22"/>
        </w:rPr>
        <w:t>.</w:t>
      </w:r>
      <w:r w:rsidRPr="0014283B">
        <w:rPr>
          <w:sz w:val="22"/>
          <w:szCs w:val="22"/>
        </w:rPr>
        <w:t xml:space="preserve"> </w:t>
      </w:r>
      <w:r w:rsidR="004A66F0" w:rsidRPr="004A66F0">
        <w:rPr>
          <w:rFonts w:ascii="Times New Roman" w:eastAsia="Times New Roman" w:hAnsi="Times New Roman" w:cs="Calibri"/>
          <w:b/>
          <w:sz w:val="22"/>
          <w:szCs w:val="22"/>
        </w:rPr>
        <w:t>Proyectos de presupuesto 2004-2023</w:t>
      </w:r>
      <w:bookmarkEnd w:id="117"/>
    </w:p>
    <w:p w14:paraId="0FB84A33" w14:textId="77777777" w:rsidR="004A66F0" w:rsidRPr="004A66F0" w:rsidRDefault="004A66F0" w:rsidP="008D7BB4">
      <w:pPr>
        <w:spacing w:line="276" w:lineRule="auto"/>
        <w:contextualSpacing/>
        <w:jc w:val="both"/>
        <w:rPr>
          <w:rFonts w:ascii="Times New Roman" w:eastAsia="Times New Roman" w:hAnsi="Times New Roman" w:cs="Calibri"/>
          <w:sz w:val="22"/>
          <w:szCs w:val="22"/>
        </w:rPr>
      </w:pPr>
    </w:p>
    <w:tbl>
      <w:tblPr>
        <w:tblW w:w="8233" w:type="dxa"/>
        <w:jc w:val="center"/>
        <w:tblCellMar>
          <w:left w:w="70" w:type="dxa"/>
          <w:right w:w="70" w:type="dxa"/>
        </w:tblCellMar>
        <w:tblLook w:val="04A0" w:firstRow="1" w:lastRow="0" w:firstColumn="1" w:lastColumn="0" w:noHBand="0" w:noVBand="1"/>
      </w:tblPr>
      <w:tblGrid>
        <w:gridCol w:w="858"/>
        <w:gridCol w:w="2049"/>
        <w:gridCol w:w="3424"/>
        <w:gridCol w:w="1902"/>
      </w:tblGrid>
      <w:tr w:rsidR="004A66F0" w:rsidRPr="004A66F0" w14:paraId="47F38BA4" w14:textId="77777777" w:rsidTr="002F6DED">
        <w:trPr>
          <w:trHeight w:val="301"/>
          <w:jc w:val="center"/>
        </w:trPr>
        <w:tc>
          <w:tcPr>
            <w:tcW w:w="858" w:type="dxa"/>
            <w:tcBorders>
              <w:top w:val="single" w:sz="8" w:space="0" w:color="auto"/>
              <w:left w:val="single" w:sz="8" w:space="0" w:color="auto"/>
              <w:bottom w:val="single" w:sz="8" w:space="0" w:color="auto"/>
              <w:right w:val="single" w:sz="4" w:space="0" w:color="auto"/>
            </w:tcBorders>
            <w:shd w:val="clear" w:color="000000" w:fill="203764"/>
            <w:noWrap/>
            <w:vAlign w:val="center"/>
            <w:hideMark/>
          </w:tcPr>
          <w:p w14:paraId="2C035162" w14:textId="77777777" w:rsidR="004A66F0" w:rsidRPr="004A66F0" w:rsidRDefault="004A66F0" w:rsidP="008D7BB4">
            <w:pPr>
              <w:spacing w:line="276" w:lineRule="auto"/>
              <w:contextualSpacing/>
              <w:jc w:val="center"/>
              <w:rPr>
                <w:rFonts w:ascii="Times New Roman" w:eastAsia="Times New Roman" w:hAnsi="Times New Roman" w:cs="Calibri"/>
                <w:b/>
                <w:bCs/>
                <w:sz w:val="22"/>
                <w:szCs w:val="22"/>
                <w:lang w:eastAsia="es-GT"/>
              </w:rPr>
            </w:pPr>
            <w:r w:rsidRPr="004A66F0">
              <w:rPr>
                <w:rFonts w:ascii="Times New Roman" w:eastAsia="Times New Roman" w:hAnsi="Times New Roman" w:cs="Calibri"/>
                <w:b/>
                <w:bCs/>
                <w:sz w:val="22"/>
                <w:szCs w:val="22"/>
                <w:lang w:eastAsia="es-GT"/>
              </w:rPr>
              <w:t>Año</w:t>
            </w:r>
          </w:p>
        </w:tc>
        <w:tc>
          <w:tcPr>
            <w:tcW w:w="2049" w:type="dxa"/>
            <w:tcBorders>
              <w:top w:val="single" w:sz="8" w:space="0" w:color="auto"/>
              <w:left w:val="nil"/>
              <w:bottom w:val="single" w:sz="8" w:space="0" w:color="auto"/>
              <w:right w:val="nil"/>
            </w:tcBorders>
            <w:shd w:val="clear" w:color="000000" w:fill="203764"/>
            <w:noWrap/>
            <w:vAlign w:val="center"/>
            <w:hideMark/>
          </w:tcPr>
          <w:p w14:paraId="1655E1B0" w14:textId="77777777" w:rsidR="004A66F0" w:rsidRPr="004A66F0" w:rsidRDefault="004A66F0" w:rsidP="008D7BB4">
            <w:pPr>
              <w:spacing w:line="276" w:lineRule="auto"/>
              <w:contextualSpacing/>
              <w:jc w:val="center"/>
              <w:rPr>
                <w:rFonts w:ascii="Times New Roman" w:eastAsia="Times New Roman" w:hAnsi="Times New Roman" w:cs="Calibri"/>
                <w:b/>
                <w:bCs/>
                <w:sz w:val="22"/>
                <w:szCs w:val="22"/>
                <w:lang w:eastAsia="es-GT"/>
              </w:rPr>
            </w:pPr>
            <w:r w:rsidRPr="004A66F0">
              <w:rPr>
                <w:rFonts w:ascii="Times New Roman" w:eastAsia="Times New Roman" w:hAnsi="Times New Roman" w:cs="Calibri"/>
                <w:b/>
                <w:bCs/>
                <w:sz w:val="22"/>
                <w:szCs w:val="22"/>
                <w:lang w:eastAsia="es-GT"/>
              </w:rPr>
              <w:t>Proyecto de presupuesto</w:t>
            </w:r>
          </w:p>
        </w:tc>
        <w:tc>
          <w:tcPr>
            <w:tcW w:w="3424" w:type="dxa"/>
            <w:tcBorders>
              <w:top w:val="single" w:sz="8" w:space="0" w:color="auto"/>
              <w:left w:val="single" w:sz="4" w:space="0" w:color="auto"/>
              <w:bottom w:val="single" w:sz="8" w:space="0" w:color="auto"/>
              <w:right w:val="single" w:sz="4" w:space="0" w:color="auto"/>
            </w:tcBorders>
            <w:shd w:val="clear" w:color="000000" w:fill="203764"/>
            <w:noWrap/>
            <w:vAlign w:val="center"/>
            <w:hideMark/>
          </w:tcPr>
          <w:p w14:paraId="77BFE28B" w14:textId="77777777" w:rsidR="004A66F0" w:rsidRPr="004A66F0" w:rsidRDefault="004A66F0" w:rsidP="008D7BB4">
            <w:pPr>
              <w:spacing w:line="276" w:lineRule="auto"/>
              <w:contextualSpacing/>
              <w:jc w:val="center"/>
              <w:rPr>
                <w:rFonts w:ascii="Times New Roman" w:eastAsia="Times New Roman" w:hAnsi="Times New Roman" w:cs="Calibri"/>
                <w:b/>
                <w:bCs/>
                <w:sz w:val="22"/>
                <w:szCs w:val="22"/>
                <w:lang w:eastAsia="es-GT"/>
              </w:rPr>
            </w:pPr>
            <w:r w:rsidRPr="004A66F0">
              <w:rPr>
                <w:rFonts w:ascii="Times New Roman" w:eastAsia="Times New Roman" w:hAnsi="Times New Roman" w:cs="Calibri"/>
                <w:b/>
                <w:bCs/>
                <w:sz w:val="22"/>
                <w:szCs w:val="22"/>
                <w:lang w:eastAsia="es-GT"/>
              </w:rPr>
              <w:t>Administración</w:t>
            </w:r>
          </w:p>
        </w:tc>
        <w:tc>
          <w:tcPr>
            <w:tcW w:w="1902" w:type="dxa"/>
            <w:tcBorders>
              <w:top w:val="single" w:sz="8" w:space="0" w:color="auto"/>
              <w:left w:val="nil"/>
              <w:bottom w:val="nil"/>
              <w:right w:val="single" w:sz="8" w:space="0" w:color="auto"/>
            </w:tcBorders>
            <w:shd w:val="clear" w:color="000000" w:fill="203764"/>
            <w:noWrap/>
            <w:vAlign w:val="center"/>
            <w:hideMark/>
          </w:tcPr>
          <w:p w14:paraId="1762E4E3" w14:textId="77777777" w:rsidR="004A66F0" w:rsidRPr="004A66F0" w:rsidRDefault="004A66F0" w:rsidP="008D7BB4">
            <w:pPr>
              <w:spacing w:line="276" w:lineRule="auto"/>
              <w:contextualSpacing/>
              <w:jc w:val="center"/>
              <w:rPr>
                <w:rFonts w:ascii="Times New Roman" w:eastAsia="Times New Roman" w:hAnsi="Times New Roman" w:cs="Calibri"/>
                <w:b/>
                <w:bCs/>
                <w:sz w:val="22"/>
                <w:szCs w:val="22"/>
                <w:lang w:eastAsia="es-GT"/>
              </w:rPr>
            </w:pPr>
            <w:r w:rsidRPr="004A66F0">
              <w:rPr>
                <w:rFonts w:ascii="Times New Roman" w:eastAsia="Times New Roman" w:hAnsi="Times New Roman" w:cs="Calibri"/>
                <w:b/>
                <w:bCs/>
                <w:sz w:val="22"/>
                <w:szCs w:val="22"/>
                <w:lang w:eastAsia="es-GT"/>
              </w:rPr>
              <w:t>Presupuesto Asignado</w:t>
            </w:r>
          </w:p>
        </w:tc>
      </w:tr>
      <w:tr w:rsidR="004A66F0" w:rsidRPr="004A66F0" w14:paraId="01CE737F" w14:textId="77777777" w:rsidTr="002F6DED">
        <w:trPr>
          <w:trHeight w:val="286"/>
          <w:jc w:val="center"/>
        </w:trPr>
        <w:tc>
          <w:tcPr>
            <w:tcW w:w="858" w:type="dxa"/>
            <w:tcBorders>
              <w:top w:val="nil"/>
              <w:left w:val="single" w:sz="8" w:space="0" w:color="auto"/>
              <w:bottom w:val="nil"/>
              <w:right w:val="single" w:sz="4" w:space="0" w:color="auto"/>
            </w:tcBorders>
            <w:noWrap/>
            <w:vAlign w:val="center"/>
            <w:hideMark/>
          </w:tcPr>
          <w:p w14:paraId="6540EEBD" w14:textId="77777777" w:rsidR="004A66F0" w:rsidRPr="002F6DED" w:rsidRDefault="004A66F0" w:rsidP="008D7BB4">
            <w:pPr>
              <w:spacing w:line="276" w:lineRule="auto"/>
              <w:contextualSpacing/>
              <w:jc w:val="center"/>
              <w:rPr>
                <w:rFonts w:ascii="Times New Roman" w:eastAsia="Times New Roman" w:hAnsi="Times New Roman" w:cs="Calibri"/>
                <w:sz w:val="20"/>
                <w:szCs w:val="20"/>
                <w:lang w:eastAsia="es-GT"/>
              </w:rPr>
            </w:pPr>
            <w:r w:rsidRPr="002F6DED">
              <w:rPr>
                <w:rFonts w:ascii="Times New Roman" w:eastAsia="Times New Roman" w:hAnsi="Times New Roman" w:cs="Calibri"/>
                <w:sz w:val="20"/>
                <w:szCs w:val="20"/>
                <w:lang w:eastAsia="es-GT"/>
              </w:rPr>
              <w:t>2004</w:t>
            </w:r>
          </w:p>
        </w:tc>
        <w:tc>
          <w:tcPr>
            <w:tcW w:w="2049" w:type="dxa"/>
            <w:tcBorders>
              <w:top w:val="nil"/>
              <w:left w:val="nil"/>
              <w:bottom w:val="nil"/>
              <w:right w:val="single" w:sz="4" w:space="0" w:color="auto"/>
            </w:tcBorders>
            <w:noWrap/>
            <w:vAlign w:val="center"/>
            <w:hideMark/>
          </w:tcPr>
          <w:p w14:paraId="0713B28A" w14:textId="77777777" w:rsidR="004A66F0" w:rsidRPr="002F6DED" w:rsidRDefault="004A66F0" w:rsidP="008D7BB4">
            <w:pPr>
              <w:spacing w:line="276" w:lineRule="auto"/>
              <w:contextualSpacing/>
              <w:jc w:val="center"/>
              <w:rPr>
                <w:rFonts w:ascii="Times New Roman" w:eastAsia="Times New Roman" w:hAnsi="Times New Roman" w:cs="Calibri"/>
                <w:sz w:val="20"/>
                <w:szCs w:val="20"/>
                <w:lang w:eastAsia="es-GT"/>
              </w:rPr>
            </w:pPr>
            <w:r w:rsidRPr="002F6DED">
              <w:rPr>
                <w:rFonts w:ascii="Times New Roman" w:eastAsia="Times New Roman" w:hAnsi="Times New Roman" w:cs="Calibri"/>
                <w:sz w:val="20"/>
                <w:szCs w:val="20"/>
                <w:lang w:eastAsia="es-GT"/>
              </w:rPr>
              <w:t>NO APROBADO</w:t>
            </w:r>
          </w:p>
        </w:tc>
        <w:tc>
          <w:tcPr>
            <w:tcW w:w="3424" w:type="dxa"/>
            <w:tcBorders>
              <w:top w:val="nil"/>
              <w:left w:val="nil"/>
              <w:bottom w:val="nil"/>
              <w:right w:val="single" w:sz="4" w:space="0" w:color="auto"/>
            </w:tcBorders>
            <w:noWrap/>
            <w:vAlign w:val="center"/>
            <w:hideMark/>
          </w:tcPr>
          <w:p w14:paraId="19B4FE80" w14:textId="77777777" w:rsidR="004A66F0" w:rsidRPr="002F6DED" w:rsidRDefault="004A66F0" w:rsidP="008D7BB4">
            <w:pPr>
              <w:spacing w:line="276" w:lineRule="auto"/>
              <w:contextualSpacing/>
              <w:jc w:val="center"/>
              <w:rPr>
                <w:rFonts w:ascii="Times New Roman" w:eastAsia="Times New Roman" w:hAnsi="Times New Roman" w:cs="Calibri"/>
                <w:sz w:val="20"/>
                <w:szCs w:val="20"/>
                <w:lang w:eastAsia="es-GT"/>
              </w:rPr>
            </w:pPr>
            <w:r w:rsidRPr="002F6DED">
              <w:rPr>
                <w:rFonts w:ascii="Times New Roman" w:eastAsia="Times New Roman" w:hAnsi="Times New Roman" w:cs="Calibri"/>
                <w:sz w:val="20"/>
                <w:szCs w:val="20"/>
                <w:lang w:eastAsia="es-GT"/>
              </w:rPr>
              <w:t>Gran Alianza Nacional (GANA)</w:t>
            </w:r>
          </w:p>
        </w:tc>
        <w:tc>
          <w:tcPr>
            <w:tcW w:w="1902" w:type="dxa"/>
            <w:tcBorders>
              <w:top w:val="nil"/>
              <w:left w:val="nil"/>
              <w:bottom w:val="nil"/>
              <w:right w:val="single" w:sz="8" w:space="0" w:color="auto"/>
            </w:tcBorders>
            <w:noWrap/>
            <w:vAlign w:val="center"/>
            <w:hideMark/>
          </w:tcPr>
          <w:p w14:paraId="4F9427FA" w14:textId="77777777" w:rsidR="004A66F0" w:rsidRPr="002F6DED" w:rsidRDefault="004A66F0" w:rsidP="008D7BB4">
            <w:pPr>
              <w:spacing w:line="276" w:lineRule="auto"/>
              <w:contextualSpacing/>
              <w:jc w:val="center"/>
              <w:rPr>
                <w:rFonts w:ascii="Times New Roman" w:eastAsia="Times New Roman" w:hAnsi="Times New Roman" w:cs="Calibri"/>
                <w:sz w:val="20"/>
                <w:szCs w:val="20"/>
                <w:lang w:eastAsia="es-GT"/>
              </w:rPr>
            </w:pPr>
            <w:r w:rsidRPr="002F6DED">
              <w:rPr>
                <w:rFonts w:ascii="Times New Roman" w:eastAsia="Times New Roman" w:hAnsi="Times New Roman" w:cs="Calibri"/>
                <w:sz w:val="20"/>
                <w:szCs w:val="20"/>
                <w:lang w:eastAsia="es-GT"/>
              </w:rPr>
              <w:t>30,809.28</w:t>
            </w:r>
          </w:p>
        </w:tc>
      </w:tr>
      <w:tr w:rsidR="004A66F0" w:rsidRPr="004A66F0" w14:paraId="0D190C19" w14:textId="77777777" w:rsidTr="002F6DED">
        <w:trPr>
          <w:trHeight w:val="286"/>
          <w:jc w:val="center"/>
        </w:trPr>
        <w:tc>
          <w:tcPr>
            <w:tcW w:w="858" w:type="dxa"/>
            <w:tcBorders>
              <w:top w:val="nil"/>
              <w:left w:val="single" w:sz="8" w:space="0" w:color="auto"/>
              <w:bottom w:val="nil"/>
              <w:right w:val="single" w:sz="4" w:space="0" w:color="auto"/>
            </w:tcBorders>
            <w:noWrap/>
            <w:vAlign w:val="center"/>
            <w:hideMark/>
          </w:tcPr>
          <w:p w14:paraId="68318229" w14:textId="77777777" w:rsidR="004A66F0" w:rsidRPr="002F6DED" w:rsidRDefault="004A66F0" w:rsidP="008D7BB4">
            <w:pPr>
              <w:spacing w:line="276" w:lineRule="auto"/>
              <w:contextualSpacing/>
              <w:jc w:val="center"/>
              <w:rPr>
                <w:rFonts w:ascii="Times New Roman" w:eastAsia="Times New Roman" w:hAnsi="Times New Roman" w:cs="Calibri"/>
                <w:sz w:val="20"/>
                <w:szCs w:val="20"/>
                <w:lang w:eastAsia="es-GT"/>
              </w:rPr>
            </w:pPr>
            <w:r w:rsidRPr="002F6DED">
              <w:rPr>
                <w:rFonts w:ascii="Times New Roman" w:eastAsia="Times New Roman" w:hAnsi="Times New Roman" w:cs="Calibri"/>
                <w:sz w:val="20"/>
                <w:szCs w:val="20"/>
                <w:lang w:eastAsia="es-GT"/>
              </w:rPr>
              <w:t>2005</w:t>
            </w:r>
          </w:p>
        </w:tc>
        <w:tc>
          <w:tcPr>
            <w:tcW w:w="2049" w:type="dxa"/>
            <w:tcBorders>
              <w:top w:val="nil"/>
              <w:left w:val="nil"/>
              <w:bottom w:val="nil"/>
              <w:right w:val="single" w:sz="4" w:space="0" w:color="auto"/>
            </w:tcBorders>
            <w:noWrap/>
            <w:vAlign w:val="center"/>
            <w:hideMark/>
          </w:tcPr>
          <w:p w14:paraId="4E5B537C" w14:textId="77777777" w:rsidR="004A66F0" w:rsidRPr="002F6DED" w:rsidRDefault="004A66F0" w:rsidP="008D7BB4">
            <w:pPr>
              <w:spacing w:line="276" w:lineRule="auto"/>
              <w:contextualSpacing/>
              <w:jc w:val="center"/>
              <w:rPr>
                <w:rFonts w:ascii="Times New Roman" w:eastAsia="Times New Roman" w:hAnsi="Times New Roman" w:cs="Calibri"/>
                <w:sz w:val="20"/>
                <w:szCs w:val="20"/>
                <w:lang w:eastAsia="es-GT"/>
              </w:rPr>
            </w:pPr>
            <w:r w:rsidRPr="002F6DED">
              <w:rPr>
                <w:rFonts w:ascii="Times New Roman" w:eastAsia="Times New Roman" w:hAnsi="Times New Roman" w:cs="Calibri"/>
                <w:sz w:val="20"/>
                <w:szCs w:val="20"/>
                <w:lang w:eastAsia="es-GT"/>
              </w:rPr>
              <w:t>APROBADO</w:t>
            </w:r>
          </w:p>
        </w:tc>
        <w:tc>
          <w:tcPr>
            <w:tcW w:w="3424" w:type="dxa"/>
            <w:tcBorders>
              <w:top w:val="nil"/>
              <w:left w:val="nil"/>
              <w:bottom w:val="nil"/>
              <w:right w:val="single" w:sz="4" w:space="0" w:color="auto"/>
            </w:tcBorders>
            <w:noWrap/>
            <w:vAlign w:val="center"/>
            <w:hideMark/>
          </w:tcPr>
          <w:p w14:paraId="209E9ECE" w14:textId="77777777" w:rsidR="004A66F0" w:rsidRPr="002F6DED" w:rsidRDefault="004A66F0" w:rsidP="008D7BB4">
            <w:pPr>
              <w:spacing w:line="276" w:lineRule="auto"/>
              <w:contextualSpacing/>
              <w:jc w:val="center"/>
              <w:rPr>
                <w:rFonts w:ascii="Times New Roman" w:eastAsia="Times New Roman" w:hAnsi="Times New Roman" w:cs="Calibri"/>
                <w:sz w:val="20"/>
                <w:szCs w:val="20"/>
                <w:lang w:eastAsia="es-GT"/>
              </w:rPr>
            </w:pPr>
            <w:r w:rsidRPr="002F6DED">
              <w:rPr>
                <w:rFonts w:ascii="Times New Roman" w:eastAsia="Times New Roman" w:hAnsi="Times New Roman" w:cs="Calibri"/>
                <w:sz w:val="20"/>
                <w:szCs w:val="20"/>
                <w:lang w:eastAsia="es-GT"/>
              </w:rPr>
              <w:t>Gran Alianza Nacional (GANA)</w:t>
            </w:r>
          </w:p>
        </w:tc>
        <w:tc>
          <w:tcPr>
            <w:tcW w:w="1902" w:type="dxa"/>
            <w:tcBorders>
              <w:top w:val="nil"/>
              <w:left w:val="nil"/>
              <w:bottom w:val="nil"/>
              <w:right w:val="single" w:sz="8" w:space="0" w:color="auto"/>
            </w:tcBorders>
            <w:noWrap/>
            <w:vAlign w:val="center"/>
            <w:hideMark/>
          </w:tcPr>
          <w:p w14:paraId="003F07C0" w14:textId="77777777" w:rsidR="004A66F0" w:rsidRPr="002F6DED" w:rsidRDefault="004A66F0" w:rsidP="008D7BB4">
            <w:pPr>
              <w:spacing w:line="276" w:lineRule="auto"/>
              <w:contextualSpacing/>
              <w:jc w:val="center"/>
              <w:rPr>
                <w:rFonts w:ascii="Times New Roman" w:eastAsia="Times New Roman" w:hAnsi="Times New Roman" w:cs="Calibri"/>
                <w:sz w:val="20"/>
                <w:szCs w:val="20"/>
                <w:lang w:eastAsia="es-GT"/>
              </w:rPr>
            </w:pPr>
            <w:r w:rsidRPr="002F6DED">
              <w:rPr>
                <w:rFonts w:ascii="Times New Roman" w:eastAsia="Times New Roman" w:hAnsi="Times New Roman" w:cs="Calibri"/>
                <w:sz w:val="20"/>
                <w:szCs w:val="20"/>
                <w:lang w:eastAsia="es-GT"/>
              </w:rPr>
              <w:t>32,385.16</w:t>
            </w:r>
          </w:p>
        </w:tc>
      </w:tr>
      <w:tr w:rsidR="004A66F0" w:rsidRPr="004A66F0" w14:paraId="5E985204" w14:textId="77777777" w:rsidTr="002F6DED">
        <w:trPr>
          <w:trHeight w:val="286"/>
          <w:jc w:val="center"/>
        </w:trPr>
        <w:tc>
          <w:tcPr>
            <w:tcW w:w="858" w:type="dxa"/>
            <w:tcBorders>
              <w:top w:val="nil"/>
              <w:left w:val="single" w:sz="8" w:space="0" w:color="auto"/>
              <w:bottom w:val="nil"/>
              <w:right w:val="single" w:sz="4" w:space="0" w:color="auto"/>
            </w:tcBorders>
            <w:noWrap/>
            <w:vAlign w:val="center"/>
            <w:hideMark/>
          </w:tcPr>
          <w:p w14:paraId="14F1C92B" w14:textId="77777777" w:rsidR="004A66F0" w:rsidRPr="002F6DED" w:rsidRDefault="004A66F0" w:rsidP="008D7BB4">
            <w:pPr>
              <w:spacing w:line="276" w:lineRule="auto"/>
              <w:contextualSpacing/>
              <w:jc w:val="center"/>
              <w:rPr>
                <w:rFonts w:ascii="Times New Roman" w:eastAsia="Times New Roman" w:hAnsi="Times New Roman" w:cs="Calibri"/>
                <w:sz w:val="20"/>
                <w:szCs w:val="20"/>
                <w:lang w:eastAsia="es-GT"/>
              </w:rPr>
            </w:pPr>
            <w:r w:rsidRPr="002F6DED">
              <w:rPr>
                <w:rFonts w:ascii="Times New Roman" w:eastAsia="Times New Roman" w:hAnsi="Times New Roman" w:cs="Calibri"/>
                <w:sz w:val="20"/>
                <w:szCs w:val="20"/>
                <w:lang w:eastAsia="es-GT"/>
              </w:rPr>
              <w:t>2006</w:t>
            </w:r>
          </w:p>
        </w:tc>
        <w:tc>
          <w:tcPr>
            <w:tcW w:w="2049" w:type="dxa"/>
            <w:tcBorders>
              <w:top w:val="nil"/>
              <w:left w:val="nil"/>
              <w:bottom w:val="nil"/>
              <w:right w:val="single" w:sz="4" w:space="0" w:color="auto"/>
            </w:tcBorders>
            <w:noWrap/>
            <w:vAlign w:val="center"/>
            <w:hideMark/>
          </w:tcPr>
          <w:p w14:paraId="1ABF2D50" w14:textId="77777777" w:rsidR="004A66F0" w:rsidRPr="002F6DED" w:rsidRDefault="004A66F0" w:rsidP="008D7BB4">
            <w:pPr>
              <w:spacing w:line="276" w:lineRule="auto"/>
              <w:contextualSpacing/>
              <w:jc w:val="center"/>
              <w:rPr>
                <w:rFonts w:ascii="Times New Roman" w:eastAsia="Times New Roman" w:hAnsi="Times New Roman" w:cs="Calibri"/>
                <w:sz w:val="20"/>
                <w:szCs w:val="20"/>
                <w:lang w:eastAsia="es-GT"/>
              </w:rPr>
            </w:pPr>
            <w:r w:rsidRPr="002F6DED">
              <w:rPr>
                <w:rFonts w:ascii="Times New Roman" w:eastAsia="Times New Roman" w:hAnsi="Times New Roman" w:cs="Calibri"/>
                <w:sz w:val="20"/>
                <w:szCs w:val="20"/>
                <w:lang w:eastAsia="es-GT"/>
              </w:rPr>
              <w:t>APROBADO</w:t>
            </w:r>
          </w:p>
        </w:tc>
        <w:tc>
          <w:tcPr>
            <w:tcW w:w="3424" w:type="dxa"/>
            <w:tcBorders>
              <w:top w:val="nil"/>
              <w:left w:val="nil"/>
              <w:bottom w:val="nil"/>
              <w:right w:val="single" w:sz="4" w:space="0" w:color="auto"/>
            </w:tcBorders>
            <w:noWrap/>
            <w:vAlign w:val="center"/>
            <w:hideMark/>
          </w:tcPr>
          <w:p w14:paraId="333A1138" w14:textId="77777777" w:rsidR="004A66F0" w:rsidRPr="002F6DED" w:rsidRDefault="004A66F0" w:rsidP="008D7BB4">
            <w:pPr>
              <w:spacing w:line="276" w:lineRule="auto"/>
              <w:contextualSpacing/>
              <w:jc w:val="center"/>
              <w:rPr>
                <w:rFonts w:ascii="Times New Roman" w:eastAsia="Times New Roman" w:hAnsi="Times New Roman" w:cs="Calibri"/>
                <w:sz w:val="20"/>
                <w:szCs w:val="20"/>
                <w:lang w:eastAsia="es-GT"/>
              </w:rPr>
            </w:pPr>
            <w:r w:rsidRPr="002F6DED">
              <w:rPr>
                <w:rFonts w:ascii="Times New Roman" w:eastAsia="Times New Roman" w:hAnsi="Times New Roman" w:cs="Calibri"/>
                <w:sz w:val="20"/>
                <w:szCs w:val="20"/>
                <w:lang w:eastAsia="es-GT"/>
              </w:rPr>
              <w:t>Gran Alianza Nacional (GANA)</w:t>
            </w:r>
          </w:p>
        </w:tc>
        <w:tc>
          <w:tcPr>
            <w:tcW w:w="1902" w:type="dxa"/>
            <w:tcBorders>
              <w:top w:val="nil"/>
              <w:left w:val="nil"/>
              <w:bottom w:val="nil"/>
              <w:right w:val="single" w:sz="8" w:space="0" w:color="auto"/>
            </w:tcBorders>
            <w:noWrap/>
            <w:vAlign w:val="center"/>
            <w:hideMark/>
          </w:tcPr>
          <w:p w14:paraId="55B3678C" w14:textId="77777777" w:rsidR="004A66F0" w:rsidRPr="002F6DED" w:rsidRDefault="004A66F0" w:rsidP="008D7BB4">
            <w:pPr>
              <w:spacing w:line="276" w:lineRule="auto"/>
              <w:contextualSpacing/>
              <w:jc w:val="center"/>
              <w:rPr>
                <w:rFonts w:ascii="Times New Roman" w:eastAsia="Times New Roman" w:hAnsi="Times New Roman" w:cs="Calibri"/>
                <w:sz w:val="20"/>
                <w:szCs w:val="20"/>
                <w:lang w:eastAsia="es-GT"/>
              </w:rPr>
            </w:pPr>
            <w:r w:rsidRPr="002F6DED">
              <w:rPr>
                <w:rFonts w:ascii="Times New Roman" w:eastAsia="Times New Roman" w:hAnsi="Times New Roman" w:cs="Calibri"/>
                <w:sz w:val="20"/>
                <w:szCs w:val="20"/>
                <w:lang w:eastAsia="es-GT"/>
              </w:rPr>
              <w:t>37,703.95</w:t>
            </w:r>
          </w:p>
        </w:tc>
      </w:tr>
      <w:tr w:rsidR="004A66F0" w:rsidRPr="004A66F0" w14:paraId="201ADCA9" w14:textId="77777777" w:rsidTr="002F6DED">
        <w:trPr>
          <w:trHeight w:val="286"/>
          <w:jc w:val="center"/>
        </w:trPr>
        <w:tc>
          <w:tcPr>
            <w:tcW w:w="858" w:type="dxa"/>
            <w:tcBorders>
              <w:top w:val="nil"/>
              <w:left w:val="single" w:sz="8" w:space="0" w:color="auto"/>
              <w:bottom w:val="nil"/>
              <w:right w:val="single" w:sz="4" w:space="0" w:color="auto"/>
            </w:tcBorders>
            <w:noWrap/>
            <w:vAlign w:val="center"/>
            <w:hideMark/>
          </w:tcPr>
          <w:p w14:paraId="148F580B" w14:textId="77777777" w:rsidR="004A66F0" w:rsidRPr="002F6DED" w:rsidRDefault="004A66F0" w:rsidP="008D7BB4">
            <w:pPr>
              <w:spacing w:line="276" w:lineRule="auto"/>
              <w:contextualSpacing/>
              <w:jc w:val="center"/>
              <w:rPr>
                <w:rFonts w:ascii="Times New Roman" w:eastAsia="Times New Roman" w:hAnsi="Times New Roman" w:cs="Calibri"/>
                <w:sz w:val="20"/>
                <w:szCs w:val="20"/>
                <w:lang w:eastAsia="es-GT"/>
              </w:rPr>
            </w:pPr>
            <w:r w:rsidRPr="002F6DED">
              <w:rPr>
                <w:rFonts w:ascii="Times New Roman" w:eastAsia="Times New Roman" w:hAnsi="Times New Roman" w:cs="Calibri"/>
                <w:sz w:val="20"/>
                <w:szCs w:val="20"/>
                <w:lang w:eastAsia="es-GT"/>
              </w:rPr>
              <w:t>2007</w:t>
            </w:r>
          </w:p>
        </w:tc>
        <w:tc>
          <w:tcPr>
            <w:tcW w:w="2049" w:type="dxa"/>
            <w:tcBorders>
              <w:top w:val="nil"/>
              <w:left w:val="nil"/>
              <w:bottom w:val="nil"/>
              <w:right w:val="single" w:sz="4" w:space="0" w:color="auto"/>
            </w:tcBorders>
            <w:noWrap/>
            <w:vAlign w:val="center"/>
            <w:hideMark/>
          </w:tcPr>
          <w:p w14:paraId="5A3169BF" w14:textId="77777777" w:rsidR="004A66F0" w:rsidRPr="002F6DED" w:rsidRDefault="004A66F0" w:rsidP="008D7BB4">
            <w:pPr>
              <w:spacing w:line="276" w:lineRule="auto"/>
              <w:contextualSpacing/>
              <w:jc w:val="center"/>
              <w:rPr>
                <w:rFonts w:ascii="Times New Roman" w:eastAsia="Times New Roman" w:hAnsi="Times New Roman" w:cs="Calibri"/>
                <w:sz w:val="20"/>
                <w:szCs w:val="20"/>
                <w:lang w:eastAsia="es-GT"/>
              </w:rPr>
            </w:pPr>
            <w:r w:rsidRPr="002F6DED">
              <w:rPr>
                <w:rFonts w:ascii="Times New Roman" w:eastAsia="Times New Roman" w:hAnsi="Times New Roman" w:cs="Calibri"/>
                <w:sz w:val="20"/>
                <w:szCs w:val="20"/>
                <w:lang w:eastAsia="es-GT"/>
              </w:rPr>
              <w:t>NO APROBADO</w:t>
            </w:r>
          </w:p>
        </w:tc>
        <w:tc>
          <w:tcPr>
            <w:tcW w:w="3424" w:type="dxa"/>
            <w:tcBorders>
              <w:top w:val="nil"/>
              <w:left w:val="nil"/>
              <w:bottom w:val="nil"/>
              <w:right w:val="single" w:sz="4" w:space="0" w:color="auto"/>
            </w:tcBorders>
            <w:noWrap/>
            <w:vAlign w:val="center"/>
            <w:hideMark/>
          </w:tcPr>
          <w:p w14:paraId="34B2B6BA" w14:textId="77777777" w:rsidR="004A66F0" w:rsidRPr="002F6DED" w:rsidRDefault="004A66F0" w:rsidP="008D7BB4">
            <w:pPr>
              <w:spacing w:line="276" w:lineRule="auto"/>
              <w:contextualSpacing/>
              <w:jc w:val="center"/>
              <w:rPr>
                <w:rFonts w:ascii="Times New Roman" w:eastAsia="Times New Roman" w:hAnsi="Times New Roman" w:cs="Calibri"/>
                <w:sz w:val="20"/>
                <w:szCs w:val="20"/>
                <w:lang w:eastAsia="es-GT"/>
              </w:rPr>
            </w:pPr>
            <w:r w:rsidRPr="002F6DED">
              <w:rPr>
                <w:rFonts w:ascii="Times New Roman" w:eastAsia="Times New Roman" w:hAnsi="Times New Roman" w:cs="Calibri"/>
                <w:sz w:val="20"/>
                <w:szCs w:val="20"/>
                <w:lang w:eastAsia="es-GT"/>
              </w:rPr>
              <w:t>Gran Alianza Nacional (GANA)</w:t>
            </w:r>
          </w:p>
        </w:tc>
        <w:tc>
          <w:tcPr>
            <w:tcW w:w="1902" w:type="dxa"/>
            <w:tcBorders>
              <w:top w:val="nil"/>
              <w:left w:val="nil"/>
              <w:bottom w:val="nil"/>
              <w:right w:val="single" w:sz="8" w:space="0" w:color="auto"/>
            </w:tcBorders>
            <w:noWrap/>
            <w:vAlign w:val="center"/>
            <w:hideMark/>
          </w:tcPr>
          <w:p w14:paraId="4718DE74" w14:textId="77777777" w:rsidR="004A66F0" w:rsidRPr="002F6DED" w:rsidRDefault="004A66F0" w:rsidP="008D7BB4">
            <w:pPr>
              <w:spacing w:line="276" w:lineRule="auto"/>
              <w:contextualSpacing/>
              <w:jc w:val="center"/>
              <w:rPr>
                <w:rFonts w:ascii="Times New Roman" w:eastAsia="Times New Roman" w:hAnsi="Times New Roman" w:cs="Calibri"/>
                <w:sz w:val="20"/>
                <w:szCs w:val="20"/>
                <w:lang w:eastAsia="es-GT"/>
              </w:rPr>
            </w:pPr>
            <w:r w:rsidRPr="002F6DED">
              <w:rPr>
                <w:rFonts w:ascii="Times New Roman" w:eastAsia="Times New Roman" w:hAnsi="Times New Roman" w:cs="Calibri"/>
                <w:sz w:val="20"/>
                <w:szCs w:val="20"/>
                <w:lang w:eastAsia="es-GT"/>
              </w:rPr>
              <w:t>37,703.95</w:t>
            </w:r>
          </w:p>
        </w:tc>
      </w:tr>
      <w:tr w:rsidR="004A66F0" w:rsidRPr="004A66F0" w14:paraId="1370F005" w14:textId="77777777" w:rsidTr="002F6DED">
        <w:trPr>
          <w:trHeight w:val="286"/>
          <w:jc w:val="center"/>
        </w:trPr>
        <w:tc>
          <w:tcPr>
            <w:tcW w:w="858" w:type="dxa"/>
            <w:tcBorders>
              <w:top w:val="nil"/>
              <w:left w:val="single" w:sz="8" w:space="0" w:color="auto"/>
              <w:bottom w:val="nil"/>
              <w:right w:val="single" w:sz="4" w:space="0" w:color="auto"/>
            </w:tcBorders>
            <w:noWrap/>
            <w:vAlign w:val="center"/>
            <w:hideMark/>
          </w:tcPr>
          <w:p w14:paraId="4190150A" w14:textId="77777777" w:rsidR="004A66F0" w:rsidRPr="002F6DED" w:rsidRDefault="004A66F0" w:rsidP="008D7BB4">
            <w:pPr>
              <w:spacing w:line="276" w:lineRule="auto"/>
              <w:contextualSpacing/>
              <w:jc w:val="center"/>
              <w:rPr>
                <w:rFonts w:ascii="Times New Roman" w:eastAsia="Times New Roman" w:hAnsi="Times New Roman" w:cs="Calibri"/>
                <w:sz w:val="20"/>
                <w:szCs w:val="20"/>
                <w:lang w:eastAsia="es-GT"/>
              </w:rPr>
            </w:pPr>
            <w:r w:rsidRPr="002F6DED">
              <w:rPr>
                <w:rFonts w:ascii="Times New Roman" w:eastAsia="Times New Roman" w:hAnsi="Times New Roman" w:cs="Calibri"/>
                <w:sz w:val="20"/>
                <w:szCs w:val="20"/>
                <w:lang w:eastAsia="es-GT"/>
              </w:rPr>
              <w:t>2008</w:t>
            </w:r>
          </w:p>
        </w:tc>
        <w:tc>
          <w:tcPr>
            <w:tcW w:w="2049" w:type="dxa"/>
            <w:tcBorders>
              <w:top w:val="nil"/>
              <w:left w:val="nil"/>
              <w:bottom w:val="nil"/>
              <w:right w:val="single" w:sz="4" w:space="0" w:color="auto"/>
            </w:tcBorders>
            <w:noWrap/>
            <w:vAlign w:val="center"/>
            <w:hideMark/>
          </w:tcPr>
          <w:p w14:paraId="4F83EBB6" w14:textId="77777777" w:rsidR="004A66F0" w:rsidRPr="002F6DED" w:rsidRDefault="004A66F0" w:rsidP="008D7BB4">
            <w:pPr>
              <w:spacing w:line="276" w:lineRule="auto"/>
              <w:contextualSpacing/>
              <w:jc w:val="center"/>
              <w:rPr>
                <w:rFonts w:ascii="Times New Roman" w:eastAsia="Times New Roman" w:hAnsi="Times New Roman" w:cs="Calibri"/>
                <w:sz w:val="20"/>
                <w:szCs w:val="20"/>
                <w:lang w:eastAsia="es-GT"/>
              </w:rPr>
            </w:pPr>
            <w:r w:rsidRPr="002F6DED">
              <w:rPr>
                <w:rFonts w:ascii="Times New Roman" w:eastAsia="Times New Roman" w:hAnsi="Times New Roman" w:cs="Calibri"/>
                <w:sz w:val="20"/>
                <w:szCs w:val="20"/>
                <w:lang w:eastAsia="es-GT"/>
              </w:rPr>
              <w:t>APROBADO</w:t>
            </w:r>
          </w:p>
        </w:tc>
        <w:tc>
          <w:tcPr>
            <w:tcW w:w="3424" w:type="dxa"/>
            <w:tcBorders>
              <w:top w:val="nil"/>
              <w:left w:val="nil"/>
              <w:bottom w:val="nil"/>
              <w:right w:val="single" w:sz="4" w:space="0" w:color="auto"/>
            </w:tcBorders>
            <w:noWrap/>
            <w:vAlign w:val="center"/>
            <w:hideMark/>
          </w:tcPr>
          <w:p w14:paraId="12F67F1C" w14:textId="77777777" w:rsidR="004A66F0" w:rsidRPr="002F6DED" w:rsidRDefault="004A66F0" w:rsidP="008D7BB4">
            <w:pPr>
              <w:spacing w:line="276" w:lineRule="auto"/>
              <w:contextualSpacing/>
              <w:jc w:val="center"/>
              <w:rPr>
                <w:rFonts w:ascii="Times New Roman" w:eastAsia="Times New Roman" w:hAnsi="Times New Roman" w:cs="Calibri"/>
                <w:sz w:val="20"/>
                <w:szCs w:val="20"/>
                <w:lang w:eastAsia="es-GT"/>
              </w:rPr>
            </w:pPr>
            <w:r w:rsidRPr="002F6DED">
              <w:rPr>
                <w:rFonts w:ascii="Times New Roman" w:eastAsia="Times New Roman" w:hAnsi="Times New Roman" w:cs="Calibri"/>
                <w:sz w:val="20"/>
                <w:szCs w:val="20"/>
                <w:lang w:eastAsia="es-GT"/>
              </w:rPr>
              <w:t>Unidad Nacional de la Esperanza (UNE)</w:t>
            </w:r>
          </w:p>
        </w:tc>
        <w:tc>
          <w:tcPr>
            <w:tcW w:w="1902" w:type="dxa"/>
            <w:tcBorders>
              <w:top w:val="nil"/>
              <w:left w:val="nil"/>
              <w:bottom w:val="nil"/>
              <w:right w:val="single" w:sz="8" w:space="0" w:color="auto"/>
            </w:tcBorders>
            <w:noWrap/>
            <w:vAlign w:val="center"/>
            <w:hideMark/>
          </w:tcPr>
          <w:p w14:paraId="15770E6C" w14:textId="77777777" w:rsidR="004A66F0" w:rsidRPr="002F6DED" w:rsidRDefault="004A66F0" w:rsidP="008D7BB4">
            <w:pPr>
              <w:spacing w:line="276" w:lineRule="auto"/>
              <w:contextualSpacing/>
              <w:jc w:val="center"/>
              <w:rPr>
                <w:rFonts w:ascii="Times New Roman" w:eastAsia="Times New Roman" w:hAnsi="Times New Roman" w:cs="Calibri"/>
                <w:sz w:val="20"/>
                <w:szCs w:val="20"/>
                <w:lang w:eastAsia="es-GT"/>
              </w:rPr>
            </w:pPr>
            <w:r w:rsidRPr="002F6DED">
              <w:rPr>
                <w:rFonts w:ascii="Times New Roman" w:eastAsia="Times New Roman" w:hAnsi="Times New Roman" w:cs="Calibri"/>
                <w:sz w:val="20"/>
                <w:szCs w:val="20"/>
                <w:lang w:eastAsia="es-GT"/>
              </w:rPr>
              <w:t>42,535.46</w:t>
            </w:r>
          </w:p>
        </w:tc>
      </w:tr>
      <w:tr w:rsidR="004A66F0" w:rsidRPr="004A66F0" w14:paraId="353BF63E" w14:textId="77777777" w:rsidTr="002F6DED">
        <w:trPr>
          <w:trHeight w:val="286"/>
          <w:jc w:val="center"/>
        </w:trPr>
        <w:tc>
          <w:tcPr>
            <w:tcW w:w="858" w:type="dxa"/>
            <w:tcBorders>
              <w:top w:val="nil"/>
              <w:left w:val="single" w:sz="8" w:space="0" w:color="auto"/>
              <w:bottom w:val="nil"/>
              <w:right w:val="single" w:sz="4" w:space="0" w:color="auto"/>
            </w:tcBorders>
            <w:noWrap/>
            <w:vAlign w:val="center"/>
            <w:hideMark/>
          </w:tcPr>
          <w:p w14:paraId="6EB4BECA" w14:textId="77777777" w:rsidR="004A66F0" w:rsidRPr="002F6DED" w:rsidRDefault="004A66F0" w:rsidP="008D7BB4">
            <w:pPr>
              <w:spacing w:line="276" w:lineRule="auto"/>
              <w:contextualSpacing/>
              <w:jc w:val="center"/>
              <w:rPr>
                <w:rFonts w:ascii="Times New Roman" w:eastAsia="Times New Roman" w:hAnsi="Times New Roman" w:cs="Calibri"/>
                <w:sz w:val="20"/>
                <w:szCs w:val="20"/>
                <w:lang w:eastAsia="es-GT"/>
              </w:rPr>
            </w:pPr>
            <w:r w:rsidRPr="002F6DED">
              <w:rPr>
                <w:rFonts w:ascii="Times New Roman" w:eastAsia="Times New Roman" w:hAnsi="Times New Roman" w:cs="Calibri"/>
                <w:sz w:val="20"/>
                <w:szCs w:val="20"/>
                <w:lang w:eastAsia="es-GT"/>
              </w:rPr>
              <w:t>2009</w:t>
            </w:r>
          </w:p>
        </w:tc>
        <w:tc>
          <w:tcPr>
            <w:tcW w:w="2049" w:type="dxa"/>
            <w:tcBorders>
              <w:top w:val="nil"/>
              <w:left w:val="nil"/>
              <w:bottom w:val="nil"/>
              <w:right w:val="single" w:sz="4" w:space="0" w:color="auto"/>
            </w:tcBorders>
            <w:noWrap/>
            <w:vAlign w:val="center"/>
            <w:hideMark/>
          </w:tcPr>
          <w:p w14:paraId="27083675" w14:textId="77777777" w:rsidR="004A66F0" w:rsidRPr="002F6DED" w:rsidRDefault="004A66F0" w:rsidP="008D7BB4">
            <w:pPr>
              <w:spacing w:line="276" w:lineRule="auto"/>
              <w:contextualSpacing/>
              <w:jc w:val="center"/>
              <w:rPr>
                <w:rFonts w:ascii="Times New Roman" w:eastAsia="Times New Roman" w:hAnsi="Times New Roman" w:cs="Calibri"/>
                <w:sz w:val="20"/>
                <w:szCs w:val="20"/>
                <w:lang w:eastAsia="es-GT"/>
              </w:rPr>
            </w:pPr>
            <w:r w:rsidRPr="002F6DED">
              <w:rPr>
                <w:rFonts w:ascii="Times New Roman" w:eastAsia="Times New Roman" w:hAnsi="Times New Roman" w:cs="Calibri"/>
                <w:sz w:val="20"/>
                <w:szCs w:val="20"/>
                <w:lang w:eastAsia="es-GT"/>
              </w:rPr>
              <w:t>APROBADO</w:t>
            </w:r>
          </w:p>
        </w:tc>
        <w:tc>
          <w:tcPr>
            <w:tcW w:w="3424" w:type="dxa"/>
            <w:tcBorders>
              <w:top w:val="nil"/>
              <w:left w:val="nil"/>
              <w:bottom w:val="nil"/>
              <w:right w:val="single" w:sz="4" w:space="0" w:color="auto"/>
            </w:tcBorders>
            <w:noWrap/>
            <w:vAlign w:val="center"/>
            <w:hideMark/>
          </w:tcPr>
          <w:p w14:paraId="011DEFB7" w14:textId="77777777" w:rsidR="004A66F0" w:rsidRPr="002F6DED" w:rsidRDefault="004A66F0" w:rsidP="008D7BB4">
            <w:pPr>
              <w:spacing w:line="276" w:lineRule="auto"/>
              <w:contextualSpacing/>
              <w:jc w:val="center"/>
              <w:rPr>
                <w:rFonts w:ascii="Times New Roman" w:eastAsia="Times New Roman" w:hAnsi="Times New Roman" w:cs="Calibri"/>
                <w:sz w:val="20"/>
                <w:szCs w:val="20"/>
                <w:lang w:eastAsia="es-GT"/>
              </w:rPr>
            </w:pPr>
            <w:r w:rsidRPr="002F6DED">
              <w:rPr>
                <w:rFonts w:ascii="Times New Roman" w:eastAsia="Times New Roman" w:hAnsi="Times New Roman" w:cs="Calibri"/>
                <w:sz w:val="20"/>
                <w:szCs w:val="20"/>
                <w:lang w:eastAsia="es-GT"/>
              </w:rPr>
              <w:t>Unidad Nacional de la Esperanza (UNE)</w:t>
            </w:r>
          </w:p>
        </w:tc>
        <w:tc>
          <w:tcPr>
            <w:tcW w:w="1902" w:type="dxa"/>
            <w:tcBorders>
              <w:top w:val="nil"/>
              <w:left w:val="nil"/>
              <w:bottom w:val="nil"/>
              <w:right w:val="single" w:sz="8" w:space="0" w:color="auto"/>
            </w:tcBorders>
            <w:noWrap/>
            <w:vAlign w:val="center"/>
            <w:hideMark/>
          </w:tcPr>
          <w:p w14:paraId="7481DE59" w14:textId="77777777" w:rsidR="004A66F0" w:rsidRPr="002F6DED" w:rsidRDefault="004A66F0" w:rsidP="008D7BB4">
            <w:pPr>
              <w:spacing w:line="276" w:lineRule="auto"/>
              <w:contextualSpacing/>
              <w:jc w:val="center"/>
              <w:rPr>
                <w:rFonts w:ascii="Times New Roman" w:eastAsia="Times New Roman" w:hAnsi="Times New Roman" w:cs="Calibri"/>
                <w:sz w:val="20"/>
                <w:szCs w:val="20"/>
                <w:lang w:eastAsia="es-GT"/>
              </w:rPr>
            </w:pPr>
            <w:r w:rsidRPr="002F6DED">
              <w:rPr>
                <w:rFonts w:ascii="Times New Roman" w:eastAsia="Times New Roman" w:hAnsi="Times New Roman" w:cs="Calibri"/>
                <w:sz w:val="20"/>
                <w:szCs w:val="20"/>
                <w:lang w:eastAsia="es-GT"/>
              </w:rPr>
              <w:t>49,723.11</w:t>
            </w:r>
          </w:p>
        </w:tc>
      </w:tr>
      <w:tr w:rsidR="004A66F0" w:rsidRPr="004A66F0" w14:paraId="634BCE0A" w14:textId="77777777" w:rsidTr="002F6DED">
        <w:trPr>
          <w:trHeight w:val="286"/>
          <w:jc w:val="center"/>
        </w:trPr>
        <w:tc>
          <w:tcPr>
            <w:tcW w:w="858" w:type="dxa"/>
            <w:tcBorders>
              <w:top w:val="nil"/>
              <w:left w:val="single" w:sz="8" w:space="0" w:color="auto"/>
              <w:bottom w:val="nil"/>
              <w:right w:val="single" w:sz="4" w:space="0" w:color="auto"/>
            </w:tcBorders>
            <w:noWrap/>
            <w:vAlign w:val="center"/>
            <w:hideMark/>
          </w:tcPr>
          <w:p w14:paraId="58627BEB" w14:textId="77777777" w:rsidR="004A66F0" w:rsidRPr="002F6DED" w:rsidRDefault="004A66F0" w:rsidP="008D7BB4">
            <w:pPr>
              <w:spacing w:line="276" w:lineRule="auto"/>
              <w:contextualSpacing/>
              <w:jc w:val="center"/>
              <w:rPr>
                <w:rFonts w:ascii="Times New Roman" w:eastAsia="Times New Roman" w:hAnsi="Times New Roman" w:cs="Calibri"/>
                <w:sz w:val="20"/>
                <w:szCs w:val="20"/>
                <w:lang w:eastAsia="es-GT"/>
              </w:rPr>
            </w:pPr>
            <w:r w:rsidRPr="002F6DED">
              <w:rPr>
                <w:rFonts w:ascii="Times New Roman" w:eastAsia="Times New Roman" w:hAnsi="Times New Roman" w:cs="Calibri"/>
                <w:sz w:val="20"/>
                <w:szCs w:val="20"/>
                <w:lang w:eastAsia="es-GT"/>
              </w:rPr>
              <w:t>2010</w:t>
            </w:r>
          </w:p>
        </w:tc>
        <w:tc>
          <w:tcPr>
            <w:tcW w:w="2049" w:type="dxa"/>
            <w:tcBorders>
              <w:top w:val="nil"/>
              <w:left w:val="nil"/>
              <w:bottom w:val="nil"/>
              <w:right w:val="single" w:sz="4" w:space="0" w:color="auto"/>
            </w:tcBorders>
            <w:noWrap/>
            <w:vAlign w:val="center"/>
            <w:hideMark/>
          </w:tcPr>
          <w:p w14:paraId="5538C694" w14:textId="77777777" w:rsidR="004A66F0" w:rsidRPr="002F6DED" w:rsidRDefault="004A66F0" w:rsidP="008D7BB4">
            <w:pPr>
              <w:spacing w:line="276" w:lineRule="auto"/>
              <w:contextualSpacing/>
              <w:jc w:val="center"/>
              <w:rPr>
                <w:rFonts w:ascii="Times New Roman" w:eastAsia="Times New Roman" w:hAnsi="Times New Roman" w:cs="Calibri"/>
                <w:sz w:val="20"/>
                <w:szCs w:val="20"/>
                <w:lang w:eastAsia="es-GT"/>
              </w:rPr>
            </w:pPr>
            <w:r w:rsidRPr="002F6DED">
              <w:rPr>
                <w:rFonts w:ascii="Times New Roman" w:eastAsia="Times New Roman" w:hAnsi="Times New Roman" w:cs="Calibri"/>
                <w:sz w:val="20"/>
                <w:szCs w:val="20"/>
                <w:lang w:eastAsia="es-GT"/>
              </w:rPr>
              <w:t>NO APROBADO</w:t>
            </w:r>
          </w:p>
        </w:tc>
        <w:tc>
          <w:tcPr>
            <w:tcW w:w="3424" w:type="dxa"/>
            <w:tcBorders>
              <w:top w:val="nil"/>
              <w:left w:val="nil"/>
              <w:bottom w:val="nil"/>
              <w:right w:val="single" w:sz="4" w:space="0" w:color="auto"/>
            </w:tcBorders>
            <w:noWrap/>
            <w:vAlign w:val="center"/>
            <w:hideMark/>
          </w:tcPr>
          <w:p w14:paraId="7E26FE4B" w14:textId="77777777" w:rsidR="004A66F0" w:rsidRPr="002F6DED" w:rsidRDefault="004A66F0" w:rsidP="008D7BB4">
            <w:pPr>
              <w:spacing w:line="276" w:lineRule="auto"/>
              <w:contextualSpacing/>
              <w:jc w:val="center"/>
              <w:rPr>
                <w:rFonts w:ascii="Times New Roman" w:eastAsia="Times New Roman" w:hAnsi="Times New Roman" w:cs="Calibri"/>
                <w:sz w:val="20"/>
                <w:szCs w:val="20"/>
                <w:lang w:eastAsia="es-GT"/>
              </w:rPr>
            </w:pPr>
            <w:r w:rsidRPr="002F6DED">
              <w:rPr>
                <w:rFonts w:ascii="Times New Roman" w:eastAsia="Times New Roman" w:hAnsi="Times New Roman" w:cs="Calibri"/>
                <w:sz w:val="20"/>
                <w:szCs w:val="20"/>
                <w:lang w:eastAsia="es-GT"/>
              </w:rPr>
              <w:t>Unidad Nacional de la Esperanza (UNE)</w:t>
            </w:r>
          </w:p>
        </w:tc>
        <w:tc>
          <w:tcPr>
            <w:tcW w:w="1902" w:type="dxa"/>
            <w:tcBorders>
              <w:top w:val="nil"/>
              <w:left w:val="nil"/>
              <w:bottom w:val="nil"/>
              <w:right w:val="single" w:sz="8" w:space="0" w:color="auto"/>
            </w:tcBorders>
            <w:noWrap/>
            <w:vAlign w:val="center"/>
            <w:hideMark/>
          </w:tcPr>
          <w:p w14:paraId="38F67DFB" w14:textId="77777777" w:rsidR="004A66F0" w:rsidRPr="002F6DED" w:rsidRDefault="004A66F0" w:rsidP="008D7BB4">
            <w:pPr>
              <w:spacing w:line="276" w:lineRule="auto"/>
              <w:contextualSpacing/>
              <w:jc w:val="center"/>
              <w:rPr>
                <w:rFonts w:ascii="Times New Roman" w:eastAsia="Times New Roman" w:hAnsi="Times New Roman" w:cs="Calibri"/>
                <w:sz w:val="20"/>
                <w:szCs w:val="20"/>
                <w:lang w:eastAsia="es-GT"/>
              </w:rPr>
            </w:pPr>
            <w:r w:rsidRPr="002F6DED">
              <w:rPr>
                <w:rFonts w:ascii="Times New Roman" w:eastAsia="Times New Roman" w:hAnsi="Times New Roman" w:cs="Calibri"/>
                <w:sz w:val="20"/>
                <w:szCs w:val="20"/>
                <w:lang w:eastAsia="es-GT"/>
              </w:rPr>
              <w:t>50,031.91</w:t>
            </w:r>
          </w:p>
        </w:tc>
      </w:tr>
      <w:tr w:rsidR="004A66F0" w:rsidRPr="004A66F0" w14:paraId="5B9A72E7" w14:textId="77777777" w:rsidTr="002F6DED">
        <w:trPr>
          <w:trHeight w:val="286"/>
          <w:jc w:val="center"/>
        </w:trPr>
        <w:tc>
          <w:tcPr>
            <w:tcW w:w="858" w:type="dxa"/>
            <w:tcBorders>
              <w:top w:val="nil"/>
              <w:left w:val="single" w:sz="8" w:space="0" w:color="auto"/>
              <w:bottom w:val="nil"/>
              <w:right w:val="single" w:sz="4" w:space="0" w:color="auto"/>
            </w:tcBorders>
            <w:noWrap/>
            <w:vAlign w:val="center"/>
            <w:hideMark/>
          </w:tcPr>
          <w:p w14:paraId="6E2C36E3" w14:textId="77777777" w:rsidR="004A66F0" w:rsidRPr="002F6DED" w:rsidRDefault="004A66F0" w:rsidP="008D7BB4">
            <w:pPr>
              <w:spacing w:line="276" w:lineRule="auto"/>
              <w:contextualSpacing/>
              <w:jc w:val="center"/>
              <w:rPr>
                <w:rFonts w:ascii="Times New Roman" w:eastAsia="Times New Roman" w:hAnsi="Times New Roman" w:cs="Calibri"/>
                <w:sz w:val="20"/>
                <w:szCs w:val="20"/>
                <w:lang w:eastAsia="es-GT"/>
              </w:rPr>
            </w:pPr>
            <w:r w:rsidRPr="002F6DED">
              <w:rPr>
                <w:rFonts w:ascii="Times New Roman" w:eastAsia="Times New Roman" w:hAnsi="Times New Roman" w:cs="Calibri"/>
                <w:sz w:val="20"/>
                <w:szCs w:val="20"/>
                <w:lang w:eastAsia="es-GT"/>
              </w:rPr>
              <w:t>2011</w:t>
            </w:r>
          </w:p>
        </w:tc>
        <w:tc>
          <w:tcPr>
            <w:tcW w:w="2049" w:type="dxa"/>
            <w:tcBorders>
              <w:top w:val="nil"/>
              <w:left w:val="nil"/>
              <w:bottom w:val="nil"/>
              <w:right w:val="single" w:sz="4" w:space="0" w:color="auto"/>
            </w:tcBorders>
            <w:noWrap/>
            <w:vAlign w:val="center"/>
            <w:hideMark/>
          </w:tcPr>
          <w:p w14:paraId="314299D4" w14:textId="77777777" w:rsidR="004A66F0" w:rsidRPr="002F6DED" w:rsidRDefault="004A66F0" w:rsidP="008D7BB4">
            <w:pPr>
              <w:spacing w:line="276" w:lineRule="auto"/>
              <w:contextualSpacing/>
              <w:jc w:val="center"/>
              <w:rPr>
                <w:rFonts w:ascii="Times New Roman" w:eastAsia="Times New Roman" w:hAnsi="Times New Roman" w:cs="Calibri"/>
                <w:sz w:val="20"/>
                <w:szCs w:val="20"/>
                <w:lang w:eastAsia="es-GT"/>
              </w:rPr>
            </w:pPr>
            <w:r w:rsidRPr="002F6DED">
              <w:rPr>
                <w:rFonts w:ascii="Times New Roman" w:eastAsia="Times New Roman" w:hAnsi="Times New Roman" w:cs="Calibri"/>
                <w:sz w:val="20"/>
                <w:szCs w:val="20"/>
                <w:lang w:eastAsia="es-GT"/>
              </w:rPr>
              <w:t>APROBADO</w:t>
            </w:r>
          </w:p>
        </w:tc>
        <w:tc>
          <w:tcPr>
            <w:tcW w:w="3424" w:type="dxa"/>
            <w:tcBorders>
              <w:top w:val="nil"/>
              <w:left w:val="nil"/>
              <w:bottom w:val="nil"/>
              <w:right w:val="single" w:sz="4" w:space="0" w:color="auto"/>
            </w:tcBorders>
            <w:noWrap/>
            <w:vAlign w:val="center"/>
            <w:hideMark/>
          </w:tcPr>
          <w:p w14:paraId="63141B20" w14:textId="77777777" w:rsidR="004A66F0" w:rsidRPr="002F6DED" w:rsidRDefault="004A66F0" w:rsidP="008D7BB4">
            <w:pPr>
              <w:spacing w:line="276" w:lineRule="auto"/>
              <w:contextualSpacing/>
              <w:jc w:val="center"/>
              <w:rPr>
                <w:rFonts w:ascii="Times New Roman" w:eastAsia="Times New Roman" w:hAnsi="Times New Roman" w:cs="Calibri"/>
                <w:sz w:val="20"/>
                <w:szCs w:val="20"/>
                <w:lang w:eastAsia="es-GT"/>
              </w:rPr>
            </w:pPr>
            <w:r w:rsidRPr="002F6DED">
              <w:rPr>
                <w:rFonts w:ascii="Times New Roman" w:eastAsia="Times New Roman" w:hAnsi="Times New Roman" w:cs="Calibri"/>
                <w:sz w:val="20"/>
                <w:szCs w:val="20"/>
                <w:lang w:eastAsia="es-GT"/>
              </w:rPr>
              <w:t>Unidad Nacional de la Esperanza (UNE)</w:t>
            </w:r>
          </w:p>
        </w:tc>
        <w:tc>
          <w:tcPr>
            <w:tcW w:w="1902" w:type="dxa"/>
            <w:tcBorders>
              <w:top w:val="nil"/>
              <w:left w:val="nil"/>
              <w:bottom w:val="nil"/>
              <w:right w:val="single" w:sz="8" w:space="0" w:color="auto"/>
            </w:tcBorders>
            <w:noWrap/>
            <w:vAlign w:val="center"/>
            <w:hideMark/>
          </w:tcPr>
          <w:p w14:paraId="156194E9" w14:textId="77777777" w:rsidR="004A66F0" w:rsidRPr="002F6DED" w:rsidRDefault="004A66F0" w:rsidP="008D7BB4">
            <w:pPr>
              <w:spacing w:line="276" w:lineRule="auto"/>
              <w:contextualSpacing/>
              <w:jc w:val="center"/>
              <w:rPr>
                <w:rFonts w:ascii="Times New Roman" w:eastAsia="Times New Roman" w:hAnsi="Times New Roman" w:cs="Calibri"/>
                <w:sz w:val="20"/>
                <w:szCs w:val="20"/>
                <w:lang w:eastAsia="es-GT"/>
              </w:rPr>
            </w:pPr>
            <w:r w:rsidRPr="002F6DED">
              <w:rPr>
                <w:rFonts w:ascii="Times New Roman" w:eastAsia="Times New Roman" w:hAnsi="Times New Roman" w:cs="Calibri"/>
                <w:sz w:val="20"/>
                <w:szCs w:val="20"/>
                <w:lang w:eastAsia="es-GT"/>
              </w:rPr>
              <w:t>54,390.90</w:t>
            </w:r>
          </w:p>
        </w:tc>
      </w:tr>
      <w:tr w:rsidR="004A66F0" w:rsidRPr="004A66F0" w14:paraId="74E41AD2" w14:textId="77777777" w:rsidTr="002F6DED">
        <w:trPr>
          <w:trHeight w:val="286"/>
          <w:jc w:val="center"/>
        </w:trPr>
        <w:tc>
          <w:tcPr>
            <w:tcW w:w="858" w:type="dxa"/>
            <w:tcBorders>
              <w:top w:val="nil"/>
              <w:left w:val="single" w:sz="8" w:space="0" w:color="auto"/>
              <w:bottom w:val="nil"/>
              <w:right w:val="single" w:sz="4" w:space="0" w:color="auto"/>
            </w:tcBorders>
            <w:noWrap/>
            <w:vAlign w:val="center"/>
            <w:hideMark/>
          </w:tcPr>
          <w:p w14:paraId="4F36F3F7" w14:textId="77777777" w:rsidR="004A66F0" w:rsidRPr="002F6DED" w:rsidRDefault="004A66F0" w:rsidP="008D7BB4">
            <w:pPr>
              <w:spacing w:line="276" w:lineRule="auto"/>
              <w:contextualSpacing/>
              <w:jc w:val="center"/>
              <w:rPr>
                <w:rFonts w:ascii="Times New Roman" w:eastAsia="Times New Roman" w:hAnsi="Times New Roman" w:cs="Calibri"/>
                <w:sz w:val="20"/>
                <w:szCs w:val="20"/>
                <w:lang w:eastAsia="es-GT"/>
              </w:rPr>
            </w:pPr>
            <w:r w:rsidRPr="002F6DED">
              <w:rPr>
                <w:rFonts w:ascii="Times New Roman" w:eastAsia="Times New Roman" w:hAnsi="Times New Roman" w:cs="Calibri"/>
                <w:sz w:val="20"/>
                <w:szCs w:val="20"/>
                <w:lang w:eastAsia="es-GT"/>
              </w:rPr>
              <w:t>2012</w:t>
            </w:r>
          </w:p>
        </w:tc>
        <w:tc>
          <w:tcPr>
            <w:tcW w:w="2049" w:type="dxa"/>
            <w:tcBorders>
              <w:top w:val="nil"/>
              <w:left w:val="nil"/>
              <w:bottom w:val="nil"/>
              <w:right w:val="single" w:sz="4" w:space="0" w:color="auto"/>
            </w:tcBorders>
            <w:noWrap/>
            <w:vAlign w:val="center"/>
            <w:hideMark/>
          </w:tcPr>
          <w:p w14:paraId="0A3A21BA" w14:textId="77777777" w:rsidR="004A66F0" w:rsidRPr="002F6DED" w:rsidRDefault="004A66F0" w:rsidP="008D7BB4">
            <w:pPr>
              <w:spacing w:line="276" w:lineRule="auto"/>
              <w:contextualSpacing/>
              <w:jc w:val="center"/>
              <w:rPr>
                <w:rFonts w:ascii="Times New Roman" w:eastAsia="Times New Roman" w:hAnsi="Times New Roman" w:cs="Calibri"/>
                <w:sz w:val="20"/>
                <w:szCs w:val="20"/>
                <w:lang w:eastAsia="es-GT"/>
              </w:rPr>
            </w:pPr>
            <w:r w:rsidRPr="002F6DED">
              <w:rPr>
                <w:rFonts w:ascii="Times New Roman" w:eastAsia="Times New Roman" w:hAnsi="Times New Roman" w:cs="Calibri"/>
                <w:sz w:val="20"/>
                <w:szCs w:val="20"/>
                <w:lang w:eastAsia="es-GT"/>
              </w:rPr>
              <w:t>APROBADO</w:t>
            </w:r>
          </w:p>
        </w:tc>
        <w:tc>
          <w:tcPr>
            <w:tcW w:w="3424" w:type="dxa"/>
            <w:tcBorders>
              <w:top w:val="nil"/>
              <w:left w:val="nil"/>
              <w:bottom w:val="nil"/>
              <w:right w:val="single" w:sz="4" w:space="0" w:color="auto"/>
            </w:tcBorders>
            <w:noWrap/>
            <w:vAlign w:val="center"/>
            <w:hideMark/>
          </w:tcPr>
          <w:p w14:paraId="732C8B9F" w14:textId="77777777" w:rsidR="004A66F0" w:rsidRPr="002F6DED" w:rsidRDefault="004A66F0" w:rsidP="008D7BB4">
            <w:pPr>
              <w:spacing w:line="276" w:lineRule="auto"/>
              <w:contextualSpacing/>
              <w:jc w:val="center"/>
              <w:rPr>
                <w:rFonts w:ascii="Times New Roman" w:eastAsia="Times New Roman" w:hAnsi="Times New Roman" w:cs="Calibri"/>
                <w:sz w:val="20"/>
                <w:szCs w:val="20"/>
                <w:lang w:eastAsia="es-GT"/>
              </w:rPr>
            </w:pPr>
            <w:r w:rsidRPr="002F6DED">
              <w:rPr>
                <w:rFonts w:ascii="Times New Roman" w:eastAsia="Times New Roman" w:hAnsi="Times New Roman" w:cs="Calibri"/>
                <w:sz w:val="20"/>
                <w:szCs w:val="20"/>
                <w:lang w:eastAsia="es-GT"/>
              </w:rPr>
              <w:t>Partido Patriota (PP)</w:t>
            </w:r>
          </w:p>
        </w:tc>
        <w:tc>
          <w:tcPr>
            <w:tcW w:w="1902" w:type="dxa"/>
            <w:tcBorders>
              <w:top w:val="nil"/>
              <w:left w:val="nil"/>
              <w:bottom w:val="nil"/>
              <w:right w:val="single" w:sz="8" w:space="0" w:color="auto"/>
            </w:tcBorders>
            <w:noWrap/>
            <w:vAlign w:val="center"/>
            <w:hideMark/>
          </w:tcPr>
          <w:p w14:paraId="0EF555AA" w14:textId="77777777" w:rsidR="004A66F0" w:rsidRPr="002F6DED" w:rsidRDefault="004A66F0" w:rsidP="008D7BB4">
            <w:pPr>
              <w:spacing w:line="276" w:lineRule="auto"/>
              <w:contextualSpacing/>
              <w:jc w:val="center"/>
              <w:rPr>
                <w:rFonts w:ascii="Times New Roman" w:eastAsia="Times New Roman" w:hAnsi="Times New Roman" w:cs="Calibri"/>
                <w:sz w:val="20"/>
                <w:szCs w:val="20"/>
                <w:lang w:eastAsia="es-GT"/>
              </w:rPr>
            </w:pPr>
            <w:r w:rsidRPr="002F6DED">
              <w:rPr>
                <w:rFonts w:ascii="Times New Roman" w:eastAsia="Times New Roman" w:hAnsi="Times New Roman" w:cs="Calibri"/>
                <w:sz w:val="20"/>
                <w:szCs w:val="20"/>
                <w:lang w:eastAsia="es-GT"/>
              </w:rPr>
              <w:t>59,547.38</w:t>
            </w:r>
          </w:p>
        </w:tc>
      </w:tr>
      <w:tr w:rsidR="004A66F0" w:rsidRPr="004A66F0" w14:paraId="6FB42547" w14:textId="77777777" w:rsidTr="002F6DED">
        <w:trPr>
          <w:trHeight w:val="286"/>
          <w:jc w:val="center"/>
        </w:trPr>
        <w:tc>
          <w:tcPr>
            <w:tcW w:w="858" w:type="dxa"/>
            <w:tcBorders>
              <w:top w:val="nil"/>
              <w:left w:val="single" w:sz="8" w:space="0" w:color="auto"/>
              <w:bottom w:val="nil"/>
              <w:right w:val="single" w:sz="4" w:space="0" w:color="auto"/>
            </w:tcBorders>
            <w:noWrap/>
            <w:vAlign w:val="center"/>
            <w:hideMark/>
          </w:tcPr>
          <w:p w14:paraId="6DE5CFBD" w14:textId="77777777" w:rsidR="004A66F0" w:rsidRPr="002F6DED" w:rsidRDefault="004A66F0" w:rsidP="008D7BB4">
            <w:pPr>
              <w:spacing w:line="276" w:lineRule="auto"/>
              <w:contextualSpacing/>
              <w:jc w:val="center"/>
              <w:rPr>
                <w:rFonts w:ascii="Times New Roman" w:eastAsia="Times New Roman" w:hAnsi="Times New Roman" w:cs="Calibri"/>
                <w:sz w:val="20"/>
                <w:szCs w:val="20"/>
                <w:lang w:eastAsia="es-GT"/>
              </w:rPr>
            </w:pPr>
            <w:r w:rsidRPr="002F6DED">
              <w:rPr>
                <w:rFonts w:ascii="Times New Roman" w:eastAsia="Times New Roman" w:hAnsi="Times New Roman" w:cs="Calibri"/>
                <w:sz w:val="20"/>
                <w:szCs w:val="20"/>
                <w:lang w:eastAsia="es-GT"/>
              </w:rPr>
              <w:t>2013</w:t>
            </w:r>
          </w:p>
        </w:tc>
        <w:tc>
          <w:tcPr>
            <w:tcW w:w="2049" w:type="dxa"/>
            <w:tcBorders>
              <w:top w:val="nil"/>
              <w:left w:val="nil"/>
              <w:bottom w:val="nil"/>
              <w:right w:val="single" w:sz="4" w:space="0" w:color="auto"/>
            </w:tcBorders>
            <w:noWrap/>
            <w:vAlign w:val="center"/>
            <w:hideMark/>
          </w:tcPr>
          <w:p w14:paraId="245F83C4" w14:textId="77777777" w:rsidR="004A66F0" w:rsidRPr="002F6DED" w:rsidRDefault="004A66F0" w:rsidP="008D7BB4">
            <w:pPr>
              <w:spacing w:line="276" w:lineRule="auto"/>
              <w:contextualSpacing/>
              <w:jc w:val="center"/>
              <w:rPr>
                <w:rFonts w:ascii="Times New Roman" w:eastAsia="Times New Roman" w:hAnsi="Times New Roman" w:cs="Calibri"/>
                <w:sz w:val="20"/>
                <w:szCs w:val="20"/>
                <w:lang w:eastAsia="es-GT"/>
              </w:rPr>
            </w:pPr>
            <w:r w:rsidRPr="002F6DED">
              <w:rPr>
                <w:rFonts w:ascii="Times New Roman" w:eastAsia="Times New Roman" w:hAnsi="Times New Roman" w:cs="Calibri"/>
                <w:sz w:val="20"/>
                <w:szCs w:val="20"/>
                <w:lang w:eastAsia="es-GT"/>
              </w:rPr>
              <w:t>APROBADO</w:t>
            </w:r>
          </w:p>
        </w:tc>
        <w:tc>
          <w:tcPr>
            <w:tcW w:w="3424" w:type="dxa"/>
            <w:tcBorders>
              <w:top w:val="nil"/>
              <w:left w:val="nil"/>
              <w:bottom w:val="nil"/>
              <w:right w:val="single" w:sz="4" w:space="0" w:color="auto"/>
            </w:tcBorders>
            <w:noWrap/>
            <w:vAlign w:val="center"/>
            <w:hideMark/>
          </w:tcPr>
          <w:p w14:paraId="7F4EC4A6" w14:textId="77777777" w:rsidR="004A66F0" w:rsidRPr="002F6DED" w:rsidRDefault="004A66F0" w:rsidP="008D7BB4">
            <w:pPr>
              <w:spacing w:line="276" w:lineRule="auto"/>
              <w:contextualSpacing/>
              <w:jc w:val="center"/>
              <w:rPr>
                <w:rFonts w:ascii="Times New Roman" w:eastAsia="Times New Roman" w:hAnsi="Times New Roman" w:cs="Calibri"/>
                <w:sz w:val="20"/>
                <w:szCs w:val="20"/>
                <w:lang w:eastAsia="es-GT"/>
              </w:rPr>
            </w:pPr>
            <w:r w:rsidRPr="002F6DED">
              <w:rPr>
                <w:rFonts w:ascii="Times New Roman" w:eastAsia="Times New Roman" w:hAnsi="Times New Roman" w:cs="Calibri"/>
                <w:sz w:val="20"/>
                <w:szCs w:val="20"/>
                <w:lang w:eastAsia="es-GT"/>
              </w:rPr>
              <w:t>Partido Patriota (PP)</w:t>
            </w:r>
          </w:p>
        </w:tc>
        <w:tc>
          <w:tcPr>
            <w:tcW w:w="1902" w:type="dxa"/>
            <w:tcBorders>
              <w:top w:val="nil"/>
              <w:left w:val="nil"/>
              <w:bottom w:val="nil"/>
              <w:right w:val="single" w:sz="8" w:space="0" w:color="auto"/>
            </w:tcBorders>
            <w:noWrap/>
            <w:vAlign w:val="center"/>
            <w:hideMark/>
          </w:tcPr>
          <w:p w14:paraId="0BDB1B54" w14:textId="77777777" w:rsidR="004A66F0" w:rsidRPr="002F6DED" w:rsidRDefault="004A66F0" w:rsidP="008D7BB4">
            <w:pPr>
              <w:spacing w:line="276" w:lineRule="auto"/>
              <w:contextualSpacing/>
              <w:jc w:val="center"/>
              <w:rPr>
                <w:rFonts w:ascii="Times New Roman" w:eastAsia="Times New Roman" w:hAnsi="Times New Roman" w:cs="Calibri"/>
                <w:sz w:val="20"/>
                <w:szCs w:val="20"/>
                <w:lang w:eastAsia="es-GT"/>
              </w:rPr>
            </w:pPr>
            <w:r w:rsidRPr="002F6DED">
              <w:rPr>
                <w:rFonts w:ascii="Times New Roman" w:eastAsia="Times New Roman" w:hAnsi="Times New Roman" w:cs="Calibri"/>
                <w:sz w:val="20"/>
                <w:szCs w:val="20"/>
                <w:lang w:eastAsia="es-GT"/>
              </w:rPr>
              <w:t>66,985.44</w:t>
            </w:r>
          </w:p>
        </w:tc>
      </w:tr>
      <w:tr w:rsidR="004A66F0" w:rsidRPr="004A66F0" w14:paraId="5A77871B" w14:textId="77777777" w:rsidTr="002F6DED">
        <w:trPr>
          <w:trHeight w:val="286"/>
          <w:jc w:val="center"/>
        </w:trPr>
        <w:tc>
          <w:tcPr>
            <w:tcW w:w="858" w:type="dxa"/>
            <w:tcBorders>
              <w:top w:val="nil"/>
              <w:left w:val="single" w:sz="8" w:space="0" w:color="auto"/>
              <w:bottom w:val="nil"/>
              <w:right w:val="single" w:sz="4" w:space="0" w:color="auto"/>
            </w:tcBorders>
            <w:noWrap/>
            <w:vAlign w:val="center"/>
            <w:hideMark/>
          </w:tcPr>
          <w:p w14:paraId="6D0704BC" w14:textId="77777777" w:rsidR="004A66F0" w:rsidRPr="002F6DED" w:rsidRDefault="004A66F0" w:rsidP="008D7BB4">
            <w:pPr>
              <w:spacing w:line="276" w:lineRule="auto"/>
              <w:contextualSpacing/>
              <w:jc w:val="center"/>
              <w:rPr>
                <w:rFonts w:ascii="Times New Roman" w:eastAsia="Times New Roman" w:hAnsi="Times New Roman" w:cs="Calibri"/>
                <w:sz w:val="20"/>
                <w:szCs w:val="20"/>
                <w:lang w:eastAsia="es-GT"/>
              </w:rPr>
            </w:pPr>
            <w:r w:rsidRPr="002F6DED">
              <w:rPr>
                <w:rFonts w:ascii="Times New Roman" w:eastAsia="Times New Roman" w:hAnsi="Times New Roman" w:cs="Calibri"/>
                <w:sz w:val="20"/>
                <w:szCs w:val="20"/>
                <w:lang w:eastAsia="es-GT"/>
              </w:rPr>
              <w:t>2014</w:t>
            </w:r>
          </w:p>
        </w:tc>
        <w:tc>
          <w:tcPr>
            <w:tcW w:w="2049" w:type="dxa"/>
            <w:tcBorders>
              <w:top w:val="nil"/>
              <w:left w:val="nil"/>
              <w:bottom w:val="nil"/>
              <w:right w:val="nil"/>
            </w:tcBorders>
            <w:noWrap/>
            <w:vAlign w:val="center"/>
            <w:hideMark/>
          </w:tcPr>
          <w:p w14:paraId="414D8886" w14:textId="77777777" w:rsidR="004A66F0" w:rsidRPr="002F6DED" w:rsidRDefault="004A66F0" w:rsidP="008D7BB4">
            <w:pPr>
              <w:spacing w:line="276" w:lineRule="auto"/>
              <w:contextualSpacing/>
              <w:jc w:val="center"/>
              <w:rPr>
                <w:rFonts w:ascii="Times New Roman" w:eastAsia="Times New Roman" w:hAnsi="Times New Roman" w:cs="Calibri"/>
                <w:sz w:val="20"/>
                <w:szCs w:val="20"/>
                <w:lang w:eastAsia="es-GT"/>
              </w:rPr>
            </w:pPr>
            <w:r w:rsidRPr="002F6DED">
              <w:rPr>
                <w:rFonts w:ascii="Times New Roman" w:eastAsia="Times New Roman" w:hAnsi="Times New Roman" w:cs="Calibri"/>
                <w:sz w:val="20"/>
                <w:szCs w:val="20"/>
                <w:lang w:eastAsia="es-GT"/>
              </w:rPr>
              <w:t>NO APROBADO</w:t>
            </w:r>
          </w:p>
        </w:tc>
        <w:tc>
          <w:tcPr>
            <w:tcW w:w="3424" w:type="dxa"/>
            <w:tcBorders>
              <w:top w:val="nil"/>
              <w:left w:val="single" w:sz="4" w:space="0" w:color="auto"/>
              <w:bottom w:val="nil"/>
              <w:right w:val="single" w:sz="4" w:space="0" w:color="auto"/>
            </w:tcBorders>
            <w:noWrap/>
            <w:vAlign w:val="center"/>
            <w:hideMark/>
          </w:tcPr>
          <w:p w14:paraId="567B49A1" w14:textId="77777777" w:rsidR="004A66F0" w:rsidRPr="002F6DED" w:rsidRDefault="004A66F0" w:rsidP="008D7BB4">
            <w:pPr>
              <w:spacing w:line="276" w:lineRule="auto"/>
              <w:contextualSpacing/>
              <w:jc w:val="center"/>
              <w:rPr>
                <w:rFonts w:ascii="Times New Roman" w:eastAsia="Times New Roman" w:hAnsi="Times New Roman" w:cs="Calibri"/>
                <w:sz w:val="20"/>
                <w:szCs w:val="20"/>
                <w:lang w:eastAsia="es-GT"/>
              </w:rPr>
            </w:pPr>
            <w:r w:rsidRPr="002F6DED">
              <w:rPr>
                <w:rFonts w:ascii="Times New Roman" w:eastAsia="Times New Roman" w:hAnsi="Times New Roman" w:cs="Calibri"/>
                <w:sz w:val="20"/>
                <w:szCs w:val="20"/>
                <w:lang w:eastAsia="es-GT"/>
              </w:rPr>
              <w:t>Partido Patriota (PP)</w:t>
            </w:r>
          </w:p>
        </w:tc>
        <w:tc>
          <w:tcPr>
            <w:tcW w:w="1902" w:type="dxa"/>
            <w:tcBorders>
              <w:top w:val="nil"/>
              <w:left w:val="nil"/>
              <w:bottom w:val="nil"/>
              <w:right w:val="single" w:sz="8" w:space="0" w:color="auto"/>
            </w:tcBorders>
            <w:noWrap/>
            <w:vAlign w:val="center"/>
            <w:hideMark/>
          </w:tcPr>
          <w:p w14:paraId="52C4943B" w14:textId="77777777" w:rsidR="004A66F0" w:rsidRPr="002F6DED" w:rsidRDefault="004A66F0" w:rsidP="008D7BB4">
            <w:pPr>
              <w:spacing w:line="276" w:lineRule="auto"/>
              <w:contextualSpacing/>
              <w:jc w:val="center"/>
              <w:rPr>
                <w:rFonts w:ascii="Times New Roman" w:eastAsia="Times New Roman" w:hAnsi="Times New Roman" w:cs="Calibri"/>
                <w:sz w:val="20"/>
                <w:szCs w:val="20"/>
                <w:lang w:eastAsia="es-GT"/>
              </w:rPr>
            </w:pPr>
            <w:r w:rsidRPr="002F6DED">
              <w:rPr>
                <w:rFonts w:ascii="Times New Roman" w:eastAsia="Times New Roman" w:hAnsi="Times New Roman" w:cs="Calibri"/>
                <w:sz w:val="20"/>
                <w:szCs w:val="20"/>
                <w:lang w:eastAsia="es-GT"/>
              </w:rPr>
              <w:t>66,985.44</w:t>
            </w:r>
          </w:p>
        </w:tc>
      </w:tr>
      <w:tr w:rsidR="004A66F0" w:rsidRPr="004A66F0" w14:paraId="22BEE25C" w14:textId="77777777" w:rsidTr="002F6DED">
        <w:trPr>
          <w:trHeight w:val="286"/>
          <w:jc w:val="center"/>
        </w:trPr>
        <w:tc>
          <w:tcPr>
            <w:tcW w:w="858" w:type="dxa"/>
            <w:tcBorders>
              <w:top w:val="nil"/>
              <w:left w:val="single" w:sz="8" w:space="0" w:color="auto"/>
              <w:bottom w:val="nil"/>
              <w:right w:val="single" w:sz="4" w:space="0" w:color="auto"/>
            </w:tcBorders>
            <w:noWrap/>
            <w:vAlign w:val="center"/>
            <w:hideMark/>
          </w:tcPr>
          <w:p w14:paraId="3686F153" w14:textId="77777777" w:rsidR="004A66F0" w:rsidRPr="002F6DED" w:rsidRDefault="004A66F0" w:rsidP="008D7BB4">
            <w:pPr>
              <w:spacing w:line="276" w:lineRule="auto"/>
              <w:contextualSpacing/>
              <w:jc w:val="center"/>
              <w:rPr>
                <w:rFonts w:ascii="Times New Roman" w:eastAsia="Times New Roman" w:hAnsi="Times New Roman" w:cs="Calibri"/>
                <w:sz w:val="20"/>
                <w:szCs w:val="20"/>
                <w:lang w:eastAsia="es-GT"/>
              </w:rPr>
            </w:pPr>
            <w:r w:rsidRPr="002F6DED">
              <w:rPr>
                <w:rFonts w:ascii="Times New Roman" w:eastAsia="Times New Roman" w:hAnsi="Times New Roman" w:cs="Calibri"/>
                <w:sz w:val="20"/>
                <w:szCs w:val="20"/>
                <w:lang w:eastAsia="es-GT"/>
              </w:rPr>
              <w:t>2015</w:t>
            </w:r>
          </w:p>
        </w:tc>
        <w:tc>
          <w:tcPr>
            <w:tcW w:w="2049" w:type="dxa"/>
            <w:tcBorders>
              <w:top w:val="nil"/>
              <w:left w:val="nil"/>
              <w:bottom w:val="nil"/>
              <w:right w:val="single" w:sz="4" w:space="0" w:color="auto"/>
            </w:tcBorders>
            <w:noWrap/>
            <w:vAlign w:val="center"/>
            <w:hideMark/>
          </w:tcPr>
          <w:p w14:paraId="71E4C0CF" w14:textId="77777777" w:rsidR="004A66F0" w:rsidRPr="002F6DED" w:rsidRDefault="004A66F0" w:rsidP="008D7BB4">
            <w:pPr>
              <w:spacing w:line="276" w:lineRule="auto"/>
              <w:contextualSpacing/>
              <w:jc w:val="center"/>
              <w:rPr>
                <w:rFonts w:ascii="Times New Roman" w:eastAsia="Times New Roman" w:hAnsi="Times New Roman" w:cs="Calibri"/>
                <w:sz w:val="20"/>
                <w:szCs w:val="20"/>
                <w:lang w:eastAsia="es-GT"/>
              </w:rPr>
            </w:pPr>
            <w:r w:rsidRPr="002F6DED">
              <w:rPr>
                <w:rFonts w:ascii="Times New Roman" w:eastAsia="Times New Roman" w:hAnsi="Times New Roman" w:cs="Calibri"/>
                <w:sz w:val="20"/>
                <w:szCs w:val="20"/>
                <w:lang w:eastAsia="es-GT"/>
              </w:rPr>
              <w:t>APROBADO</w:t>
            </w:r>
          </w:p>
        </w:tc>
        <w:tc>
          <w:tcPr>
            <w:tcW w:w="3424" w:type="dxa"/>
            <w:tcBorders>
              <w:top w:val="nil"/>
              <w:left w:val="nil"/>
              <w:bottom w:val="nil"/>
              <w:right w:val="single" w:sz="4" w:space="0" w:color="auto"/>
            </w:tcBorders>
            <w:noWrap/>
            <w:vAlign w:val="center"/>
            <w:hideMark/>
          </w:tcPr>
          <w:p w14:paraId="6FC5C639" w14:textId="77777777" w:rsidR="004A66F0" w:rsidRPr="002F6DED" w:rsidRDefault="004A66F0" w:rsidP="008D7BB4">
            <w:pPr>
              <w:spacing w:line="276" w:lineRule="auto"/>
              <w:contextualSpacing/>
              <w:jc w:val="center"/>
              <w:rPr>
                <w:rFonts w:ascii="Times New Roman" w:eastAsia="Times New Roman" w:hAnsi="Times New Roman" w:cs="Calibri"/>
                <w:sz w:val="20"/>
                <w:szCs w:val="20"/>
                <w:lang w:eastAsia="es-GT"/>
              </w:rPr>
            </w:pPr>
            <w:r w:rsidRPr="002F6DED">
              <w:rPr>
                <w:rFonts w:ascii="Times New Roman" w:eastAsia="Times New Roman" w:hAnsi="Times New Roman" w:cs="Calibri"/>
                <w:sz w:val="20"/>
                <w:szCs w:val="20"/>
                <w:lang w:eastAsia="es-GT"/>
              </w:rPr>
              <w:t>Partido Patriota (PP)</w:t>
            </w:r>
          </w:p>
        </w:tc>
        <w:tc>
          <w:tcPr>
            <w:tcW w:w="1902" w:type="dxa"/>
            <w:tcBorders>
              <w:top w:val="nil"/>
              <w:left w:val="nil"/>
              <w:bottom w:val="nil"/>
              <w:right w:val="single" w:sz="8" w:space="0" w:color="auto"/>
            </w:tcBorders>
            <w:noWrap/>
            <w:vAlign w:val="center"/>
            <w:hideMark/>
          </w:tcPr>
          <w:p w14:paraId="115270D2" w14:textId="77777777" w:rsidR="004A66F0" w:rsidRPr="002F6DED" w:rsidRDefault="004A66F0" w:rsidP="008D7BB4">
            <w:pPr>
              <w:spacing w:line="276" w:lineRule="auto"/>
              <w:contextualSpacing/>
              <w:jc w:val="center"/>
              <w:rPr>
                <w:rFonts w:ascii="Times New Roman" w:eastAsia="Times New Roman" w:hAnsi="Times New Roman" w:cs="Calibri"/>
                <w:sz w:val="20"/>
                <w:szCs w:val="20"/>
                <w:lang w:eastAsia="es-GT"/>
              </w:rPr>
            </w:pPr>
            <w:r w:rsidRPr="002F6DED">
              <w:rPr>
                <w:rFonts w:ascii="Times New Roman" w:eastAsia="Times New Roman" w:hAnsi="Times New Roman" w:cs="Calibri"/>
                <w:sz w:val="20"/>
                <w:szCs w:val="20"/>
                <w:lang w:eastAsia="es-GT"/>
              </w:rPr>
              <w:t>70,600.00</w:t>
            </w:r>
          </w:p>
        </w:tc>
      </w:tr>
      <w:tr w:rsidR="004A66F0" w:rsidRPr="004A66F0" w14:paraId="37D0593A" w14:textId="77777777" w:rsidTr="002F6DED">
        <w:trPr>
          <w:trHeight w:val="286"/>
          <w:jc w:val="center"/>
        </w:trPr>
        <w:tc>
          <w:tcPr>
            <w:tcW w:w="858" w:type="dxa"/>
            <w:tcBorders>
              <w:top w:val="nil"/>
              <w:left w:val="single" w:sz="8" w:space="0" w:color="auto"/>
              <w:bottom w:val="nil"/>
              <w:right w:val="single" w:sz="4" w:space="0" w:color="auto"/>
            </w:tcBorders>
            <w:noWrap/>
            <w:vAlign w:val="center"/>
            <w:hideMark/>
          </w:tcPr>
          <w:p w14:paraId="0FFEB47F" w14:textId="77777777" w:rsidR="004A66F0" w:rsidRPr="002F6DED" w:rsidRDefault="004A66F0" w:rsidP="008D7BB4">
            <w:pPr>
              <w:spacing w:line="276" w:lineRule="auto"/>
              <w:contextualSpacing/>
              <w:jc w:val="center"/>
              <w:rPr>
                <w:rFonts w:ascii="Times New Roman" w:eastAsia="Times New Roman" w:hAnsi="Times New Roman" w:cs="Calibri"/>
                <w:sz w:val="20"/>
                <w:szCs w:val="20"/>
                <w:lang w:eastAsia="es-GT"/>
              </w:rPr>
            </w:pPr>
            <w:r w:rsidRPr="002F6DED">
              <w:rPr>
                <w:rFonts w:ascii="Times New Roman" w:eastAsia="Times New Roman" w:hAnsi="Times New Roman" w:cs="Calibri"/>
                <w:sz w:val="20"/>
                <w:szCs w:val="20"/>
                <w:lang w:eastAsia="es-GT"/>
              </w:rPr>
              <w:t>2016</w:t>
            </w:r>
          </w:p>
        </w:tc>
        <w:tc>
          <w:tcPr>
            <w:tcW w:w="2049" w:type="dxa"/>
            <w:tcBorders>
              <w:top w:val="nil"/>
              <w:left w:val="nil"/>
              <w:bottom w:val="nil"/>
              <w:right w:val="nil"/>
            </w:tcBorders>
            <w:noWrap/>
            <w:vAlign w:val="center"/>
            <w:hideMark/>
          </w:tcPr>
          <w:p w14:paraId="395F3425" w14:textId="77777777" w:rsidR="004A66F0" w:rsidRPr="002F6DED" w:rsidRDefault="004A66F0" w:rsidP="008D7BB4">
            <w:pPr>
              <w:spacing w:line="276" w:lineRule="auto"/>
              <w:contextualSpacing/>
              <w:jc w:val="center"/>
              <w:rPr>
                <w:rFonts w:ascii="Times New Roman" w:eastAsia="Times New Roman" w:hAnsi="Times New Roman" w:cs="Calibri"/>
                <w:sz w:val="20"/>
                <w:szCs w:val="20"/>
                <w:lang w:eastAsia="es-GT"/>
              </w:rPr>
            </w:pPr>
            <w:r w:rsidRPr="002F6DED">
              <w:rPr>
                <w:rFonts w:ascii="Times New Roman" w:eastAsia="Times New Roman" w:hAnsi="Times New Roman" w:cs="Calibri"/>
                <w:sz w:val="20"/>
                <w:szCs w:val="20"/>
                <w:lang w:eastAsia="es-GT"/>
              </w:rPr>
              <w:t>APROBADO</w:t>
            </w:r>
          </w:p>
        </w:tc>
        <w:tc>
          <w:tcPr>
            <w:tcW w:w="3424" w:type="dxa"/>
            <w:tcBorders>
              <w:top w:val="nil"/>
              <w:left w:val="single" w:sz="4" w:space="0" w:color="auto"/>
              <w:bottom w:val="nil"/>
              <w:right w:val="single" w:sz="4" w:space="0" w:color="auto"/>
            </w:tcBorders>
            <w:noWrap/>
            <w:vAlign w:val="center"/>
            <w:hideMark/>
          </w:tcPr>
          <w:p w14:paraId="14603846" w14:textId="77777777" w:rsidR="004A66F0" w:rsidRPr="002F6DED" w:rsidRDefault="004A66F0" w:rsidP="008D7BB4">
            <w:pPr>
              <w:spacing w:line="276" w:lineRule="auto"/>
              <w:contextualSpacing/>
              <w:jc w:val="center"/>
              <w:rPr>
                <w:rFonts w:ascii="Times New Roman" w:eastAsia="Times New Roman" w:hAnsi="Times New Roman" w:cs="Calibri"/>
                <w:sz w:val="20"/>
                <w:szCs w:val="20"/>
                <w:lang w:eastAsia="es-GT"/>
              </w:rPr>
            </w:pPr>
            <w:r w:rsidRPr="002F6DED">
              <w:rPr>
                <w:rFonts w:ascii="Times New Roman" w:eastAsia="Times New Roman" w:hAnsi="Times New Roman" w:cs="Calibri"/>
                <w:sz w:val="20"/>
                <w:szCs w:val="20"/>
                <w:lang w:eastAsia="es-GT"/>
              </w:rPr>
              <w:t>Frente de Convergencia Nacional (FCN)</w:t>
            </w:r>
          </w:p>
        </w:tc>
        <w:tc>
          <w:tcPr>
            <w:tcW w:w="1902" w:type="dxa"/>
            <w:tcBorders>
              <w:top w:val="nil"/>
              <w:left w:val="nil"/>
              <w:bottom w:val="nil"/>
              <w:right w:val="single" w:sz="8" w:space="0" w:color="auto"/>
            </w:tcBorders>
            <w:noWrap/>
            <w:vAlign w:val="center"/>
            <w:hideMark/>
          </w:tcPr>
          <w:p w14:paraId="4A5B9E2F" w14:textId="77777777" w:rsidR="004A66F0" w:rsidRPr="002F6DED" w:rsidRDefault="004A66F0" w:rsidP="008D7BB4">
            <w:pPr>
              <w:spacing w:line="276" w:lineRule="auto"/>
              <w:contextualSpacing/>
              <w:jc w:val="center"/>
              <w:rPr>
                <w:rFonts w:ascii="Times New Roman" w:eastAsia="Times New Roman" w:hAnsi="Times New Roman" w:cs="Calibri"/>
                <w:sz w:val="20"/>
                <w:szCs w:val="20"/>
                <w:lang w:eastAsia="es-GT"/>
              </w:rPr>
            </w:pPr>
            <w:r w:rsidRPr="002F6DED">
              <w:rPr>
                <w:rFonts w:ascii="Times New Roman" w:eastAsia="Times New Roman" w:hAnsi="Times New Roman" w:cs="Calibri"/>
                <w:sz w:val="20"/>
                <w:szCs w:val="20"/>
                <w:lang w:eastAsia="es-GT"/>
              </w:rPr>
              <w:t>70,796.31</w:t>
            </w:r>
          </w:p>
        </w:tc>
      </w:tr>
      <w:tr w:rsidR="004A66F0" w:rsidRPr="004A66F0" w14:paraId="598D12C4" w14:textId="77777777" w:rsidTr="002F6DED">
        <w:trPr>
          <w:trHeight w:val="286"/>
          <w:jc w:val="center"/>
        </w:trPr>
        <w:tc>
          <w:tcPr>
            <w:tcW w:w="858" w:type="dxa"/>
            <w:tcBorders>
              <w:top w:val="nil"/>
              <w:left w:val="single" w:sz="8" w:space="0" w:color="auto"/>
              <w:bottom w:val="nil"/>
              <w:right w:val="single" w:sz="4" w:space="0" w:color="auto"/>
            </w:tcBorders>
            <w:noWrap/>
            <w:vAlign w:val="center"/>
            <w:hideMark/>
          </w:tcPr>
          <w:p w14:paraId="4EFBCBFA" w14:textId="77777777" w:rsidR="004A66F0" w:rsidRPr="002F6DED" w:rsidRDefault="004A66F0" w:rsidP="008D7BB4">
            <w:pPr>
              <w:spacing w:line="276" w:lineRule="auto"/>
              <w:contextualSpacing/>
              <w:jc w:val="center"/>
              <w:rPr>
                <w:rFonts w:ascii="Times New Roman" w:eastAsia="Times New Roman" w:hAnsi="Times New Roman" w:cs="Calibri"/>
                <w:sz w:val="20"/>
                <w:szCs w:val="20"/>
                <w:lang w:eastAsia="es-GT"/>
              </w:rPr>
            </w:pPr>
            <w:r w:rsidRPr="002F6DED">
              <w:rPr>
                <w:rFonts w:ascii="Times New Roman" w:eastAsia="Times New Roman" w:hAnsi="Times New Roman" w:cs="Calibri"/>
                <w:sz w:val="20"/>
                <w:szCs w:val="20"/>
                <w:lang w:eastAsia="es-GT"/>
              </w:rPr>
              <w:t>2017</w:t>
            </w:r>
          </w:p>
        </w:tc>
        <w:tc>
          <w:tcPr>
            <w:tcW w:w="2049" w:type="dxa"/>
            <w:tcBorders>
              <w:top w:val="nil"/>
              <w:left w:val="nil"/>
              <w:bottom w:val="nil"/>
              <w:right w:val="nil"/>
            </w:tcBorders>
            <w:noWrap/>
            <w:vAlign w:val="center"/>
            <w:hideMark/>
          </w:tcPr>
          <w:p w14:paraId="2CCD21B8" w14:textId="77777777" w:rsidR="004A66F0" w:rsidRPr="002F6DED" w:rsidRDefault="004A66F0" w:rsidP="008D7BB4">
            <w:pPr>
              <w:spacing w:line="276" w:lineRule="auto"/>
              <w:contextualSpacing/>
              <w:jc w:val="center"/>
              <w:rPr>
                <w:rFonts w:ascii="Times New Roman" w:eastAsia="Times New Roman" w:hAnsi="Times New Roman" w:cs="Calibri"/>
                <w:sz w:val="20"/>
                <w:szCs w:val="20"/>
                <w:lang w:eastAsia="es-GT"/>
              </w:rPr>
            </w:pPr>
            <w:r w:rsidRPr="002F6DED">
              <w:rPr>
                <w:rFonts w:ascii="Times New Roman" w:eastAsia="Times New Roman" w:hAnsi="Times New Roman" w:cs="Calibri"/>
                <w:sz w:val="20"/>
                <w:szCs w:val="20"/>
                <w:lang w:eastAsia="es-GT"/>
              </w:rPr>
              <w:t>APROBADO</w:t>
            </w:r>
          </w:p>
        </w:tc>
        <w:tc>
          <w:tcPr>
            <w:tcW w:w="3424" w:type="dxa"/>
            <w:tcBorders>
              <w:top w:val="nil"/>
              <w:left w:val="single" w:sz="4" w:space="0" w:color="auto"/>
              <w:bottom w:val="nil"/>
              <w:right w:val="single" w:sz="4" w:space="0" w:color="auto"/>
            </w:tcBorders>
            <w:noWrap/>
            <w:vAlign w:val="center"/>
            <w:hideMark/>
          </w:tcPr>
          <w:p w14:paraId="549358E6" w14:textId="77777777" w:rsidR="004A66F0" w:rsidRPr="002F6DED" w:rsidRDefault="004A66F0" w:rsidP="008D7BB4">
            <w:pPr>
              <w:spacing w:line="276" w:lineRule="auto"/>
              <w:contextualSpacing/>
              <w:jc w:val="center"/>
              <w:rPr>
                <w:rFonts w:ascii="Times New Roman" w:eastAsia="Times New Roman" w:hAnsi="Times New Roman" w:cs="Calibri"/>
                <w:sz w:val="20"/>
                <w:szCs w:val="20"/>
                <w:lang w:eastAsia="es-GT"/>
              </w:rPr>
            </w:pPr>
            <w:r w:rsidRPr="002F6DED">
              <w:rPr>
                <w:rFonts w:ascii="Times New Roman" w:eastAsia="Times New Roman" w:hAnsi="Times New Roman" w:cs="Calibri"/>
                <w:sz w:val="20"/>
                <w:szCs w:val="20"/>
                <w:lang w:eastAsia="es-GT"/>
              </w:rPr>
              <w:t>Frente de Convergencia Nacional (FCN)</w:t>
            </w:r>
          </w:p>
        </w:tc>
        <w:tc>
          <w:tcPr>
            <w:tcW w:w="1902" w:type="dxa"/>
            <w:tcBorders>
              <w:top w:val="nil"/>
              <w:left w:val="nil"/>
              <w:bottom w:val="nil"/>
              <w:right w:val="single" w:sz="8" w:space="0" w:color="auto"/>
            </w:tcBorders>
            <w:noWrap/>
            <w:vAlign w:val="center"/>
            <w:hideMark/>
          </w:tcPr>
          <w:p w14:paraId="33C64D37" w14:textId="77777777" w:rsidR="004A66F0" w:rsidRPr="002F6DED" w:rsidRDefault="004A66F0" w:rsidP="008D7BB4">
            <w:pPr>
              <w:spacing w:line="276" w:lineRule="auto"/>
              <w:contextualSpacing/>
              <w:jc w:val="center"/>
              <w:rPr>
                <w:rFonts w:ascii="Times New Roman" w:eastAsia="Times New Roman" w:hAnsi="Times New Roman" w:cs="Calibri"/>
                <w:sz w:val="20"/>
                <w:szCs w:val="20"/>
                <w:lang w:eastAsia="es-GT"/>
              </w:rPr>
            </w:pPr>
            <w:r w:rsidRPr="002F6DED">
              <w:rPr>
                <w:rFonts w:ascii="Times New Roman" w:eastAsia="Times New Roman" w:hAnsi="Times New Roman" w:cs="Calibri"/>
                <w:sz w:val="20"/>
                <w:szCs w:val="20"/>
                <w:lang w:eastAsia="es-GT"/>
              </w:rPr>
              <w:t>76,989.45</w:t>
            </w:r>
          </w:p>
        </w:tc>
      </w:tr>
      <w:tr w:rsidR="004A66F0" w:rsidRPr="004A66F0" w14:paraId="786D8AFC" w14:textId="77777777" w:rsidTr="002F6DED">
        <w:trPr>
          <w:trHeight w:val="286"/>
          <w:jc w:val="center"/>
        </w:trPr>
        <w:tc>
          <w:tcPr>
            <w:tcW w:w="858" w:type="dxa"/>
            <w:tcBorders>
              <w:top w:val="nil"/>
              <w:left w:val="single" w:sz="8" w:space="0" w:color="auto"/>
              <w:bottom w:val="nil"/>
              <w:right w:val="single" w:sz="4" w:space="0" w:color="auto"/>
            </w:tcBorders>
            <w:noWrap/>
            <w:vAlign w:val="center"/>
            <w:hideMark/>
          </w:tcPr>
          <w:p w14:paraId="1415D69A" w14:textId="77777777" w:rsidR="004A66F0" w:rsidRPr="002F6DED" w:rsidRDefault="004A66F0" w:rsidP="008D7BB4">
            <w:pPr>
              <w:spacing w:line="276" w:lineRule="auto"/>
              <w:contextualSpacing/>
              <w:jc w:val="center"/>
              <w:rPr>
                <w:rFonts w:ascii="Times New Roman" w:eastAsia="Times New Roman" w:hAnsi="Times New Roman" w:cs="Calibri"/>
                <w:sz w:val="20"/>
                <w:szCs w:val="20"/>
                <w:lang w:eastAsia="es-GT"/>
              </w:rPr>
            </w:pPr>
            <w:r w:rsidRPr="002F6DED">
              <w:rPr>
                <w:rFonts w:ascii="Times New Roman" w:eastAsia="Times New Roman" w:hAnsi="Times New Roman" w:cs="Calibri"/>
                <w:sz w:val="20"/>
                <w:szCs w:val="20"/>
                <w:lang w:eastAsia="es-GT"/>
              </w:rPr>
              <w:t>2018</w:t>
            </w:r>
          </w:p>
        </w:tc>
        <w:tc>
          <w:tcPr>
            <w:tcW w:w="2049" w:type="dxa"/>
            <w:tcBorders>
              <w:top w:val="nil"/>
              <w:left w:val="nil"/>
              <w:bottom w:val="nil"/>
              <w:right w:val="nil"/>
            </w:tcBorders>
            <w:noWrap/>
            <w:vAlign w:val="center"/>
            <w:hideMark/>
          </w:tcPr>
          <w:p w14:paraId="24D68CEA" w14:textId="77777777" w:rsidR="004A66F0" w:rsidRPr="002F6DED" w:rsidRDefault="004A66F0" w:rsidP="008D7BB4">
            <w:pPr>
              <w:spacing w:line="276" w:lineRule="auto"/>
              <w:contextualSpacing/>
              <w:jc w:val="center"/>
              <w:rPr>
                <w:rFonts w:ascii="Times New Roman" w:eastAsia="Times New Roman" w:hAnsi="Times New Roman" w:cs="Calibri"/>
                <w:sz w:val="20"/>
                <w:szCs w:val="20"/>
                <w:lang w:eastAsia="es-GT"/>
              </w:rPr>
            </w:pPr>
            <w:r w:rsidRPr="002F6DED">
              <w:rPr>
                <w:rFonts w:ascii="Times New Roman" w:eastAsia="Times New Roman" w:hAnsi="Times New Roman" w:cs="Calibri"/>
                <w:sz w:val="20"/>
                <w:szCs w:val="20"/>
                <w:lang w:eastAsia="es-GT"/>
              </w:rPr>
              <w:t>NO APROBADO</w:t>
            </w:r>
          </w:p>
        </w:tc>
        <w:tc>
          <w:tcPr>
            <w:tcW w:w="3424" w:type="dxa"/>
            <w:tcBorders>
              <w:top w:val="nil"/>
              <w:left w:val="single" w:sz="4" w:space="0" w:color="auto"/>
              <w:bottom w:val="nil"/>
              <w:right w:val="single" w:sz="4" w:space="0" w:color="auto"/>
            </w:tcBorders>
            <w:noWrap/>
            <w:vAlign w:val="center"/>
            <w:hideMark/>
          </w:tcPr>
          <w:p w14:paraId="55E8C4F9" w14:textId="77777777" w:rsidR="004A66F0" w:rsidRPr="002F6DED" w:rsidRDefault="004A66F0" w:rsidP="008D7BB4">
            <w:pPr>
              <w:spacing w:line="276" w:lineRule="auto"/>
              <w:contextualSpacing/>
              <w:jc w:val="center"/>
              <w:rPr>
                <w:rFonts w:ascii="Times New Roman" w:eastAsia="Times New Roman" w:hAnsi="Times New Roman" w:cs="Calibri"/>
                <w:sz w:val="20"/>
                <w:szCs w:val="20"/>
                <w:lang w:eastAsia="es-GT"/>
              </w:rPr>
            </w:pPr>
            <w:r w:rsidRPr="002F6DED">
              <w:rPr>
                <w:rFonts w:ascii="Times New Roman" w:eastAsia="Times New Roman" w:hAnsi="Times New Roman" w:cs="Calibri"/>
                <w:sz w:val="20"/>
                <w:szCs w:val="20"/>
                <w:lang w:eastAsia="es-GT"/>
              </w:rPr>
              <w:t>Frente de Convergencia Nacional (FCN)</w:t>
            </w:r>
          </w:p>
        </w:tc>
        <w:tc>
          <w:tcPr>
            <w:tcW w:w="1902" w:type="dxa"/>
            <w:tcBorders>
              <w:top w:val="nil"/>
              <w:left w:val="nil"/>
              <w:bottom w:val="nil"/>
              <w:right w:val="single" w:sz="8" w:space="0" w:color="auto"/>
            </w:tcBorders>
            <w:noWrap/>
            <w:vAlign w:val="center"/>
            <w:hideMark/>
          </w:tcPr>
          <w:p w14:paraId="5DD967BC" w14:textId="77777777" w:rsidR="004A66F0" w:rsidRPr="002F6DED" w:rsidRDefault="004A66F0" w:rsidP="008D7BB4">
            <w:pPr>
              <w:spacing w:line="276" w:lineRule="auto"/>
              <w:contextualSpacing/>
              <w:jc w:val="center"/>
              <w:rPr>
                <w:rFonts w:ascii="Times New Roman" w:eastAsia="Times New Roman" w:hAnsi="Times New Roman" w:cs="Calibri"/>
                <w:sz w:val="20"/>
                <w:szCs w:val="20"/>
                <w:lang w:eastAsia="es-GT"/>
              </w:rPr>
            </w:pPr>
            <w:r w:rsidRPr="002F6DED">
              <w:rPr>
                <w:rFonts w:ascii="Times New Roman" w:eastAsia="Times New Roman" w:hAnsi="Times New Roman" w:cs="Calibri"/>
                <w:sz w:val="20"/>
                <w:szCs w:val="20"/>
                <w:lang w:eastAsia="es-GT"/>
              </w:rPr>
              <w:t>76,989.45</w:t>
            </w:r>
          </w:p>
        </w:tc>
      </w:tr>
      <w:tr w:rsidR="004A66F0" w:rsidRPr="004A66F0" w14:paraId="17A9E156" w14:textId="77777777" w:rsidTr="002F6DED">
        <w:trPr>
          <w:trHeight w:val="286"/>
          <w:jc w:val="center"/>
        </w:trPr>
        <w:tc>
          <w:tcPr>
            <w:tcW w:w="858" w:type="dxa"/>
            <w:tcBorders>
              <w:top w:val="nil"/>
              <w:left w:val="single" w:sz="8" w:space="0" w:color="auto"/>
              <w:bottom w:val="nil"/>
              <w:right w:val="single" w:sz="4" w:space="0" w:color="auto"/>
            </w:tcBorders>
            <w:noWrap/>
            <w:vAlign w:val="center"/>
            <w:hideMark/>
          </w:tcPr>
          <w:p w14:paraId="1D79D0C6" w14:textId="77777777" w:rsidR="004A66F0" w:rsidRPr="002F6DED" w:rsidRDefault="004A66F0" w:rsidP="008D7BB4">
            <w:pPr>
              <w:spacing w:line="276" w:lineRule="auto"/>
              <w:contextualSpacing/>
              <w:jc w:val="center"/>
              <w:rPr>
                <w:rFonts w:ascii="Times New Roman" w:eastAsia="Times New Roman" w:hAnsi="Times New Roman" w:cs="Calibri"/>
                <w:sz w:val="20"/>
                <w:szCs w:val="20"/>
                <w:lang w:eastAsia="es-GT"/>
              </w:rPr>
            </w:pPr>
            <w:r w:rsidRPr="002F6DED">
              <w:rPr>
                <w:rFonts w:ascii="Times New Roman" w:eastAsia="Times New Roman" w:hAnsi="Times New Roman" w:cs="Calibri"/>
                <w:sz w:val="20"/>
                <w:szCs w:val="20"/>
                <w:lang w:eastAsia="es-GT"/>
              </w:rPr>
              <w:t>2019</w:t>
            </w:r>
          </w:p>
        </w:tc>
        <w:tc>
          <w:tcPr>
            <w:tcW w:w="2049" w:type="dxa"/>
            <w:tcBorders>
              <w:top w:val="nil"/>
              <w:left w:val="nil"/>
              <w:bottom w:val="nil"/>
              <w:right w:val="single" w:sz="4" w:space="0" w:color="auto"/>
            </w:tcBorders>
            <w:noWrap/>
            <w:vAlign w:val="center"/>
            <w:hideMark/>
          </w:tcPr>
          <w:p w14:paraId="654AECB5" w14:textId="77777777" w:rsidR="004A66F0" w:rsidRPr="002F6DED" w:rsidRDefault="004A66F0" w:rsidP="008D7BB4">
            <w:pPr>
              <w:spacing w:line="276" w:lineRule="auto"/>
              <w:contextualSpacing/>
              <w:jc w:val="center"/>
              <w:rPr>
                <w:rFonts w:ascii="Times New Roman" w:eastAsia="Times New Roman" w:hAnsi="Times New Roman" w:cs="Calibri"/>
                <w:sz w:val="20"/>
                <w:szCs w:val="20"/>
                <w:lang w:eastAsia="es-GT"/>
              </w:rPr>
            </w:pPr>
            <w:r w:rsidRPr="002F6DED">
              <w:rPr>
                <w:rFonts w:ascii="Times New Roman" w:eastAsia="Times New Roman" w:hAnsi="Times New Roman" w:cs="Calibri"/>
                <w:sz w:val="20"/>
                <w:szCs w:val="20"/>
                <w:lang w:eastAsia="es-GT"/>
              </w:rPr>
              <w:t>APROBADO</w:t>
            </w:r>
          </w:p>
        </w:tc>
        <w:tc>
          <w:tcPr>
            <w:tcW w:w="3424" w:type="dxa"/>
            <w:tcBorders>
              <w:top w:val="nil"/>
              <w:left w:val="nil"/>
              <w:bottom w:val="nil"/>
              <w:right w:val="single" w:sz="4" w:space="0" w:color="auto"/>
            </w:tcBorders>
            <w:noWrap/>
            <w:vAlign w:val="center"/>
            <w:hideMark/>
          </w:tcPr>
          <w:p w14:paraId="0667BF1D" w14:textId="77777777" w:rsidR="004A66F0" w:rsidRPr="002F6DED" w:rsidRDefault="004A66F0" w:rsidP="008D7BB4">
            <w:pPr>
              <w:spacing w:line="276" w:lineRule="auto"/>
              <w:contextualSpacing/>
              <w:jc w:val="center"/>
              <w:rPr>
                <w:rFonts w:ascii="Times New Roman" w:eastAsia="Times New Roman" w:hAnsi="Times New Roman" w:cs="Calibri"/>
                <w:sz w:val="20"/>
                <w:szCs w:val="20"/>
                <w:lang w:eastAsia="es-GT"/>
              </w:rPr>
            </w:pPr>
            <w:r w:rsidRPr="002F6DED">
              <w:rPr>
                <w:rFonts w:ascii="Times New Roman" w:eastAsia="Times New Roman" w:hAnsi="Times New Roman" w:cs="Calibri"/>
                <w:sz w:val="20"/>
                <w:szCs w:val="20"/>
                <w:lang w:eastAsia="es-GT"/>
              </w:rPr>
              <w:t>Frente de Convergencia Nacional (FCN)</w:t>
            </w:r>
          </w:p>
        </w:tc>
        <w:tc>
          <w:tcPr>
            <w:tcW w:w="1902" w:type="dxa"/>
            <w:tcBorders>
              <w:top w:val="nil"/>
              <w:left w:val="nil"/>
              <w:bottom w:val="nil"/>
              <w:right w:val="single" w:sz="8" w:space="0" w:color="auto"/>
            </w:tcBorders>
            <w:noWrap/>
            <w:vAlign w:val="center"/>
            <w:hideMark/>
          </w:tcPr>
          <w:p w14:paraId="551B6977" w14:textId="77777777" w:rsidR="004A66F0" w:rsidRPr="002F6DED" w:rsidRDefault="004A66F0" w:rsidP="008D7BB4">
            <w:pPr>
              <w:spacing w:line="276" w:lineRule="auto"/>
              <w:contextualSpacing/>
              <w:jc w:val="center"/>
              <w:rPr>
                <w:rFonts w:ascii="Times New Roman" w:eastAsia="Times New Roman" w:hAnsi="Times New Roman" w:cs="Calibri"/>
                <w:sz w:val="20"/>
                <w:szCs w:val="20"/>
                <w:lang w:eastAsia="es-GT"/>
              </w:rPr>
            </w:pPr>
            <w:r w:rsidRPr="002F6DED">
              <w:rPr>
                <w:rFonts w:ascii="Times New Roman" w:eastAsia="Times New Roman" w:hAnsi="Times New Roman" w:cs="Calibri"/>
                <w:sz w:val="20"/>
                <w:szCs w:val="20"/>
                <w:lang w:eastAsia="es-GT"/>
              </w:rPr>
              <w:t>87,715.06</w:t>
            </w:r>
          </w:p>
        </w:tc>
      </w:tr>
      <w:tr w:rsidR="004A66F0" w:rsidRPr="004A66F0" w14:paraId="1ECF97E4" w14:textId="77777777" w:rsidTr="002F6DED">
        <w:trPr>
          <w:trHeight w:val="286"/>
          <w:jc w:val="center"/>
        </w:trPr>
        <w:tc>
          <w:tcPr>
            <w:tcW w:w="858" w:type="dxa"/>
            <w:tcBorders>
              <w:top w:val="nil"/>
              <w:left w:val="single" w:sz="8" w:space="0" w:color="auto"/>
              <w:bottom w:val="nil"/>
              <w:right w:val="single" w:sz="4" w:space="0" w:color="auto"/>
            </w:tcBorders>
            <w:noWrap/>
            <w:vAlign w:val="center"/>
            <w:hideMark/>
          </w:tcPr>
          <w:p w14:paraId="6B365151" w14:textId="77777777" w:rsidR="004A66F0" w:rsidRPr="002F6DED" w:rsidRDefault="004A66F0" w:rsidP="008D7BB4">
            <w:pPr>
              <w:spacing w:line="276" w:lineRule="auto"/>
              <w:contextualSpacing/>
              <w:jc w:val="center"/>
              <w:rPr>
                <w:rFonts w:ascii="Times New Roman" w:eastAsia="Times New Roman" w:hAnsi="Times New Roman" w:cs="Calibri"/>
                <w:sz w:val="20"/>
                <w:szCs w:val="20"/>
                <w:lang w:eastAsia="es-GT"/>
              </w:rPr>
            </w:pPr>
            <w:r w:rsidRPr="002F6DED">
              <w:rPr>
                <w:rFonts w:ascii="Times New Roman" w:eastAsia="Times New Roman" w:hAnsi="Times New Roman" w:cs="Calibri"/>
                <w:sz w:val="20"/>
                <w:szCs w:val="20"/>
                <w:lang w:eastAsia="es-GT"/>
              </w:rPr>
              <w:t>2020</w:t>
            </w:r>
          </w:p>
        </w:tc>
        <w:tc>
          <w:tcPr>
            <w:tcW w:w="2049" w:type="dxa"/>
            <w:tcBorders>
              <w:top w:val="nil"/>
              <w:left w:val="nil"/>
              <w:bottom w:val="nil"/>
              <w:right w:val="single" w:sz="4" w:space="0" w:color="auto"/>
            </w:tcBorders>
            <w:noWrap/>
            <w:vAlign w:val="center"/>
            <w:hideMark/>
          </w:tcPr>
          <w:p w14:paraId="1DDA8FA8" w14:textId="77777777" w:rsidR="004A66F0" w:rsidRPr="002F6DED" w:rsidRDefault="004A66F0" w:rsidP="008D7BB4">
            <w:pPr>
              <w:spacing w:line="276" w:lineRule="auto"/>
              <w:contextualSpacing/>
              <w:jc w:val="center"/>
              <w:rPr>
                <w:rFonts w:ascii="Times New Roman" w:eastAsia="Times New Roman" w:hAnsi="Times New Roman" w:cs="Calibri"/>
                <w:sz w:val="20"/>
                <w:szCs w:val="20"/>
                <w:lang w:eastAsia="es-GT"/>
              </w:rPr>
            </w:pPr>
            <w:r w:rsidRPr="002F6DED">
              <w:rPr>
                <w:rFonts w:ascii="Times New Roman" w:eastAsia="Times New Roman" w:hAnsi="Times New Roman" w:cs="Calibri"/>
                <w:sz w:val="20"/>
                <w:szCs w:val="20"/>
                <w:lang w:eastAsia="es-GT"/>
              </w:rPr>
              <w:t>NO APROBADO</w:t>
            </w:r>
          </w:p>
        </w:tc>
        <w:tc>
          <w:tcPr>
            <w:tcW w:w="3424" w:type="dxa"/>
            <w:tcBorders>
              <w:top w:val="nil"/>
              <w:left w:val="nil"/>
              <w:bottom w:val="nil"/>
              <w:right w:val="single" w:sz="4" w:space="0" w:color="auto"/>
            </w:tcBorders>
            <w:noWrap/>
            <w:vAlign w:val="center"/>
            <w:hideMark/>
          </w:tcPr>
          <w:p w14:paraId="64C5E3FD" w14:textId="77777777" w:rsidR="004A66F0" w:rsidRPr="002F6DED" w:rsidRDefault="004A66F0" w:rsidP="008D7BB4">
            <w:pPr>
              <w:spacing w:line="276" w:lineRule="auto"/>
              <w:contextualSpacing/>
              <w:jc w:val="center"/>
              <w:rPr>
                <w:rFonts w:ascii="Times New Roman" w:eastAsia="Times New Roman" w:hAnsi="Times New Roman" w:cs="Calibri"/>
                <w:sz w:val="20"/>
                <w:szCs w:val="20"/>
                <w:lang w:eastAsia="es-GT"/>
              </w:rPr>
            </w:pPr>
            <w:r w:rsidRPr="002F6DED">
              <w:rPr>
                <w:rFonts w:ascii="Times New Roman" w:eastAsia="Times New Roman" w:hAnsi="Times New Roman" w:cs="Calibri"/>
                <w:sz w:val="20"/>
                <w:szCs w:val="20"/>
                <w:lang w:eastAsia="es-GT"/>
              </w:rPr>
              <w:t>Partido VAMOS</w:t>
            </w:r>
          </w:p>
        </w:tc>
        <w:tc>
          <w:tcPr>
            <w:tcW w:w="1902" w:type="dxa"/>
            <w:tcBorders>
              <w:top w:val="nil"/>
              <w:left w:val="nil"/>
              <w:bottom w:val="nil"/>
              <w:right w:val="single" w:sz="8" w:space="0" w:color="auto"/>
            </w:tcBorders>
            <w:noWrap/>
            <w:vAlign w:val="center"/>
            <w:hideMark/>
          </w:tcPr>
          <w:p w14:paraId="16C85773" w14:textId="77777777" w:rsidR="004A66F0" w:rsidRPr="002F6DED" w:rsidRDefault="004A66F0" w:rsidP="008D7BB4">
            <w:pPr>
              <w:spacing w:line="276" w:lineRule="auto"/>
              <w:contextualSpacing/>
              <w:jc w:val="center"/>
              <w:rPr>
                <w:rFonts w:ascii="Times New Roman" w:eastAsia="Times New Roman" w:hAnsi="Times New Roman" w:cs="Calibri"/>
                <w:sz w:val="20"/>
                <w:szCs w:val="20"/>
                <w:lang w:eastAsia="es-GT"/>
              </w:rPr>
            </w:pPr>
            <w:r w:rsidRPr="002F6DED">
              <w:rPr>
                <w:rFonts w:ascii="Times New Roman" w:eastAsia="Times New Roman" w:hAnsi="Times New Roman" w:cs="Calibri"/>
                <w:sz w:val="20"/>
                <w:szCs w:val="20"/>
                <w:lang w:eastAsia="es-GT"/>
              </w:rPr>
              <w:t>87,715.06</w:t>
            </w:r>
          </w:p>
        </w:tc>
      </w:tr>
      <w:tr w:rsidR="004A66F0" w:rsidRPr="004A66F0" w14:paraId="3EE8403A" w14:textId="77777777" w:rsidTr="002F6DED">
        <w:trPr>
          <w:trHeight w:val="301"/>
          <w:jc w:val="center"/>
        </w:trPr>
        <w:tc>
          <w:tcPr>
            <w:tcW w:w="858" w:type="dxa"/>
            <w:tcBorders>
              <w:top w:val="nil"/>
              <w:left w:val="single" w:sz="8" w:space="0" w:color="auto"/>
              <w:bottom w:val="single" w:sz="8" w:space="0" w:color="auto"/>
              <w:right w:val="nil"/>
            </w:tcBorders>
            <w:noWrap/>
            <w:vAlign w:val="center"/>
            <w:hideMark/>
          </w:tcPr>
          <w:p w14:paraId="1D02D9C0" w14:textId="77777777" w:rsidR="004A66F0" w:rsidRPr="002F6DED" w:rsidRDefault="004A66F0" w:rsidP="008D7BB4">
            <w:pPr>
              <w:spacing w:line="276" w:lineRule="auto"/>
              <w:contextualSpacing/>
              <w:jc w:val="center"/>
              <w:rPr>
                <w:rFonts w:ascii="Times New Roman" w:eastAsia="Times New Roman" w:hAnsi="Times New Roman" w:cs="Calibri"/>
                <w:sz w:val="20"/>
                <w:szCs w:val="20"/>
                <w:lang w:eastAsia="es-GT"/>
              </w:rPr>
            </w:pPr>
            <w:r w:rsidRPr="002F6DED">
              <w:rPr>
                <w:rFonts w:ascii="Times New Roman" w:eastAsia="Times New Roman" w:hAnsi="Times New Roman" w:cs="Calibri"/>
                <w:sz w:val="20"/>
                <w:szCs w:val="20"/>
                <w:lang w:eastAsia="es-GT"/>
              </w:rPr>
              <w:t>2021</w:t>
            </w:r>
          </w:p>
        </w:tc>
        <w:tc>
          <w:tcPr>
            <w:tcW w:w="2049" w:type="dxa"/>
            <w:tcBorders>
              <w:top w:val="nil"/>
              <w:left w:val="single" w:sz="4" w:space="0" w:color="auto"/>
              <w:bottom w:val="single" w:sz="8" w:space="0" w:color="auto"/>
              <w:right w:val="single" w:sz="4" w:space="0" w:color="auto"/>
            </w:tcBorders>
            <w:noWrap/>
            <w:vAlign w:val="center"/>
            <w:hideMark/>
          </w:tcPr>
          <w:p w14:paraId="11685F03" w14:textId="77777777" w:rsidR="004A66F0" w:rsidRPr="002F6DED" w:rsidRDefault="004A66F0" w:rsidP="008D7BB4">
            <w:pPr>
              <w:spacing w:line="276" w:lineRule="auto"/>
              <w:contextualSpacing/>
              <w:jc w:val="center"/>
              <w:rPr>
                <w:rFonts w:ascii="Times New Roman" w:eastAsia="Times New Roman" w:hAnsi="Times New Roman" w:cs="Calibri"/>
                <w:sz w:val="20"/>
                <w:szCs w:val="20"/>
                <w:lang w:eastAsia="es-GT"/>
              </w:rPr>
            </w:pPr>
            <w:r w:rsidRPr="002F6DED">
              <w:rPr>
                <w:rFonts w:ascii="Times New Roman" w:eastAsia="Times New Roman" w:hAnsi="Times New Roman" w:cs="Calibri"/>
                <w:sz w:val="20"/>
                <w:szCs w:val="20"/>
                <w:lang w:eastAsia="es-GT"/>
              </w:rPr>
              <w:t>NO APROBADO</w:t>
            </w:r>
          </w:p>
        </w:tc>
        <w:tc>
          <w:tcPr>
            <w:tcW w:w="3424" w:type="dxa"/>
            <w:tcBorders>
              <w:top w:val="nil"/>
              <w:left w:val="nil"/>
              <w:bottom w:val="single" w:sz="8" w:space="0" w:color="auto"/>
              <w:right w:val="single" w:sz="4" w:space="0" w:color="auto"/>
            </w:tcBorders>
            <w:noWrap/>
            <w:vAlign w:val="center"/>
            <w:hideMark/>
          </w:tcPr>
          <w:p w14:paraId="6C11BBC5" w14:textId="77777777" w:rsidR="004A66F0" w:rsidRPr="002F6DED" w:rsidRDefault="004A66F0" w:rsidP="008D7BB4">
            <w:pPr>
              <w:spacing w:line="276" w:lineRule="auto"/>
              <w:contextualSpacing/>
              <w:jc w:val="center"/>
              <w:rPr>
                <w:rFonts w:ascii="Times New Roman" w:eastAsia="Times New Roman" w:hAnsi="Times New Roman" w:cs="Calibri"/>
                <w:sz w:val="20"/>
                <w:szCs w:val="20"/>
                <w:lang w:eastAsia="es-GT"/>
              </w:rPr>
            </w:pPr>
            <w:r w:rsidRPr="002F6DED">
              <w:rPr>
                <w:rFonts w:ascii="Times New Roman" w:eastAsia="Times New Roman" w:hAnsi="Times New Roman" w:cs="Calibri"/>
                <w:sz w:val="20"/>
                <w:szCs w:val="20"/>
                <w:lang w:eastAsia="es-GT"/>
              </w:rPr>
              <w:t>Partido VAMOS</w:t>
            </w:r>
          </w:p>
        </w:tc>
        <w:tc>
          <w:tcPr>
            <w:tcW w:w="1902" w:type="dxa"/>
            <w:tcBorders>
              <w:top w:val="nil"/>
              <w:left w:val="nil"/>
              <w:bottom w:val="single" w:sz="8" w:space="0" w:color="auto"/>
              <w:right w:val="single" w:sz="8" w:space="0" w:color="auto"/>
            </w:tcBorders>
            <w:noWrap/>
            <w:vAlign w:val="center"/>
            <w:hideMark/>
          </w:tcPr>
          <w:p w14:paraId="7F5D71EB" w14:textId="77777777" w:rsidR="004A66F0" w:rsidRPr="002F6DED" w:rsidRDefault="004A66F0" w:rsidP="008D7BB4">
            <w:pPr>
              <w:spacing w:line="276" w:lineRule="auto"/>
              <w:contextualSpacing/>
              <w:jc w:val="center"/>
              <w:rPr>
                <w:rFonts w:ascii="Times New Roman" w:eastAsia="Times New Roman" w:hAnsi="Times New Roman" w:cs="Calibri"/>
                <w:sz w:val="20"/>
                <w:szCs w:val="20"/>
                <w:lang w:eastAsia="es-GT"/>
              </w:rPr>
            </w:pPr>
            <w:r w:rsidRPr="002F6DED">
              <w:rPr>
                <w:rFonts w:ascii="Times New Roman" w:eastAsia="Times New Roman" w:hAnsi="Times New Roman" w:cs="Calibri"/>
                <w:sz w:val="20"/>
                <w:szCs w:val="20"/>
                <w:lang w:eastAsia="es-GT"/>
              </w:rPr>
              <w:t>107,521.46</w:t>
            </w:r>
          </w:p>
        </w:tc>
      </w:tr>
      <w:tr w:rsidR="004A66F0" w:rsidRPr="004A66F0" w14:paraId="3B1F13E4" w14:textId="77777777" w:rsidTr="002F6DED">
        <w:trPr>
          <w:trHeight w:val="301"/>
          <w:jc w:val="center"/>
        </w:trPr>
        <w:tc>
          <w:tcPr>
            <w:tcW w:w="858" w:type="dxa"/>
            <w:tcBorders>
              <w:top w:val="nil"/>
              <w:left w:val="single" w:sz="8" w:space="0" w:color="auto"/>
              <w:bottom w:val="nil"/>
              <w:right w:val="nil"/>
            </w:tcBorders>
            <w:shd w:val="clear" w:color="000000" w:fill="A9D08E"/>
            <w:noWrap/>
            <w:vAlign w:val="center"/>
            <w:hideMark/>
          </w:tcPr>
          <w:p w14:paraId="6EF4D4A6" w14:textId="77777777" w:rsidR="004A66F0" w:rsidRPr="002F6DED" w:rsidRDefault="004A66F0" w:rsidP="008D7BB4">
            <w:pPr>
              <w:spacing w:line="276" w:lineRule="auto"/>
              <w:contextualSpacing/>
              <w:jc w:val="center"/>
              <w:rPr>
                <w:rFonts w:ascii="Times New Roman" w:eastAsia="Times New Roman" w:hAnsi="Times New Roman" w:cs="Calibri"/>
                <w:b/>
                <w:bCs/>
                <w:sz w:val="20"/>
                <w:szCs w:val="20"/>
                <w:lang w:eastAsia="es-GT"/>
              </w:rPr>
            </w:pPr>
            <w:r w:rsidRPr="002F6DED">
              <w:rPr>
                <w:rFonts w:ascii="Times New Roman" w:eastAsia="Times New Roman" w:hAnsi="Times New Roman" w:cs="Calibri"/>
                <w:b/>
                <w:bCs/>
                <w:sz w:val="20"/>
                <w:szCs w:val="20"/>
                <w:lang w:eastAsia="es-GT"/>
              </w:rPr>
              <w:t>2022</w:t>
            </w:r>
          </w:p>
        </w:tc>
        <w:tc>
          <w:tcPr>
            <w:tcW w:w="2049" w:type="dxa"/>
            <w:tcBorders>
              <w:top w:val="nil"/>
              <w:left w:val="single" w:sz="4" w:space="0" w:color="auto"/>
              <w:bottom w:val="nil"/>
              <w:right w:val="single" w:sz="4" w:space="0" w:color="auto"/>
            </w:tcBorders>
            <w:shd w:val="clear" w:color="000000" w:fill="A9D08E"/>
            <w:noWrap/>
            <w:vAlign w:val="center"/>
            <w:hideMark/>
          </w:tcPr>
          <w:p w14:paraId="418ECD81" w14:textId="77777777" w:rsidR="004A66F0" w:rsidRPr="002F6DED" w:rsidRDefault="004A66F0" w:rsidP="008D7BB4">
            <w:pPr>
              <w:spacing w:line="276" w:lineRule="auto"/>
              <w:contextualSpacing/>
              <w:jc w:val="center"/>
              <w:rPr>
                <w:rFonts w:ascii="Times New Roman" w:eastAsia="Times New Roman" w:hAnsi="Times New Roman" w:cs="Calibri"/>
                <w:b/>
                <w:bCs/>
                <w:sz w:val="20"/>
                <w:szCs w:val="20"/>
                <w:lang w:eastAsia="es-GT"/>
              </w:rPr>
            </w:pPr>
            <w:r w:rsidRPr="002F6DED">
              <w:rPr>
                <w:rFonts w:ascii="Times New Roman" w:eastAsia="Times New Roman" w:hAnsi="Times New Roman" w:cs="Calibri"/>
                <w:b/>
                <w:bCs/>
                <w:sz w:val="20"/>
                <w:szCs w:val="20"/>
                <w:lang w:eastAsia="es-GT"/>
              </w:rPr>
              <w:t>APROBADO</w:t>
            </w:r>
          </w:p>
        </w:tc>
        <w:tc>
          <w:tcPr>
            <w:tcW w:w="3424" w:type="dxa"/>
            <w:tcBorders>
              <w:top w:val="nil"/>
              <w:left w:val="nil"/>
              <w:bottom w:val="nil"/>
              <w:right w:val="single" w:sz="4" w:space="0" w:color="auto"/>
            </w:tcBorders>
            <w:shd w:val="clear" w:color="000000" w:fill="A9D08E"/>
            <w:noWrap/>
            <w:vAlign w:val="center"/>
            <w:hideMark/>
          </w:tcPr>
          <w:p w14:paraId="1E6EA89B" w14:textId="77777777" w:rsidR="004A66F0" w:rsidRPr="002F6DED" w:rsidRDefault="004A66F0" w:rsidP="008D7BB4">
            <w:pPr>
              <w:spacing w:line="276" w:lineRule="auto"/>
              <w:contextualSpacing/>
              <w:jc w:val="center"/>
              <w:rPr>
                <w:rFonts w:ascii="Times New Roman" w:eastAsia="Times New Roman" w:hAnsi="Times New Roman" w:cs="Calibri"/>
                <w:b/>
                <w:bCs/>
                <w:sz w:val="20"/>
                <w:szCs w:val="20"/>
                <w:lang w:eastAsia="es-GT"/>
              </w:rPr>
            </w:pPr>
            <w:r w:rsidRPr="002F6DED">
              <w:rPr>
                <w:rFonts w:ascii="Times New Roman" w:eastAsia="Times New Roman" w:hAnsi="Times New Roman" w:cs="Calibri"/>
                <w:b/>
                <w:bCs/>
                <w:sz w:val="20"/>
                <w:szCs w:val="20"/>
                <w:lang w:eastAsia="es-GT"/>
              </w:rPr>
              <w:t>Partido VAMOS</w:t>
            </w:r>
          </w:p>
        </w:tc>
        <w:tc>
          <w:tcPr>
            <w:tcW w:w="1902" w:type="dxa"/>
            <w:tcBorders>
              <w:top w:val="nil"/>
              <w:left w:val="nil"/>
              <w:bottom w:val="nil"/>
              <w:right w:val="single" w:sz="8" w:space="0" w:color="auto"/>
            </w:tcBorders>
            <w:shd w:val="clear" w:color="000000" w:fill="A9D08E"/>
            <w:noWrap/>
            <w:vAlign w:val="center"/>
            <w:hideMark/>
          </w:tcPr>
          <w:p w14:paraId="1646F483" w14:textId="77777777" w:rsidR="004A66F0" w:rsidRPr="002F6DED" w:rsidRDefault="004A66F0" w:rsidP="008D7BB4">
            <w:pPr>
              <w:spacing w:line="276" w:lineRule="auto"/>
              <w:contextualSpacing/>
              <w:jc w:val="center"/>
              <w:rPr>
                <w:rFonts w:ascii="Times New Roman" w:eastAsia="Times New Roman" w:hAnsi="Times New Roman" w:cs="Calibri"/>
                <w:b/>
                <w:bCs/>
                <w:sz w:val="20"/>
                <w:szCs w:val="20"/>
                <w:lang w:eastAsia="es-GT"/>
              </w:rPr>
            </w:pPr>
            <w:r w:rsidRPr="002F6DED">
              <w:rPr>
                <w:rFonts w:ascii="Times New Roman" w:eastAsia="Times New Roman" w:hAnsi="Times New Roman" w:cs="Calibri"/>
                <w:b/>
                <w:bCs/>
                <w:sz w:val="20"/>
                <w:szCs w:val="20"/>
                <w:lang w:eastAsia="es-GT"/>
              </w:rPr>
              <w:t>106,229.47</w:t>
            </w:r>
          </w:p>
        </w:tc>
      </w:tr>
      <w:tr w:rsidR="004A66F0" w:rsidRPr="004A66F0" w14:paraId="318655FE" w14:textId="77777777" w:rsidTr="002F6DED">
        <w:trPr>
          <w:trHeight w:val="301"/>
          <w:jc w:val="center"/>
        </w:trPr>
        <w:tc>
          <w:tcPr>
            <w:tcW w:w="858" w:type="dxa"/>
            <w:tcBorders>
              <w:top w:val="nil"/>
              <w:left w:val="single" w:sz="8" w:space="0" w:color="auto"/>
              <w:bottom w:val="single" w:sz="8" w:space="0" w:color="auto"/>
              <w:right w:val="nil"/>
            </w:tcBorders>
            <w:shd w:val="clear" w:color="000000" w:fill="A9D08E"/>
            <w:noWrap/>
            <w:vAlign w:val="center"/>
          </w:tcPr>
          <w:p w14:paraId="324AE48D" w14:textId="77777777" w:rsidR="004A66F0" w:rsidRPr="002F6DED" w:rsidRDefault="004A66F0" w:rsidP="008D7BB4">
            <w:pPr>
              <w:spacing w:line="276" w:lineRule="auto"/>
              <w:contextualSpacing/>
              <w:jc w:val="center"/>
              <w:rPr>
                <w:rFonts w:ascii="Times New Roman" w:eastAsia="Times New Roman" w:hAnsi="Times New Roman" w:cs="Calibri"/>
                <w:b/>
                <w:bCs/>
                <w:sz w:val="20"/>
                <w:szCs w:val="20"/>
                <w:lang w:eastAsia="es-GT"/>
              </w:rPr>
            </w:pPr>
            <w:r w:rsidRPr="002F6DED">
              <w:rPr>
                <w:rFonts w:ascii="Times New Roman" w:eastAsia="Times New Roman" w:hAnsi="Times New Roman" w:cs="Calibri"/>
                <w:b/>
                <w:bCs/>
                <w:sz w:val="20"/>
                <w:szCs w:val="20"/>
                <w:lang w:eastAsia="es-GT"/>
              </w:rPr>
              <w:t>2023</w:t>
            </w:r>
          </w:p>
        </w:tc>
        <w:tc>
          <w:tcPr>
            <w:tcW w:w="2049" w:type="dxa"/>
            <w:tcBorders>
              <w:top w:val="nil"/>
              <w:left w:val="single" w:sz="4" w:space="0" w:color="auto"/>
              <w:bottom w:val="single" w:sz="8" w:space="0" w:color="auto"/>
              <w:right w:val="single" w:sz="4" w:space="0" w:color="auto"/>
            </w:tcBorders>
            <w:shd w:val="clear" w:color="000000" w:fill="A9D08E"/>
            <w:noWrap/>
            <w:vAlign w:val="center"/>
          </w:tcPr>
          <w:p w14:paraId="7E2EBD13" w14:textId="77777777" w:rsidR="004A66F0" w:rsidRPr="002F6DED" w:rsidRDefault="004A66F0" w:rsidP="008D7BB4">
            <w:pPr>
              <w:spacing w:line="276" w:lineRule="auto"/>
              <w:contextualSpacing/>
              <w:jc w:val="center"/>
              <w:rPr>
                <w:rFonts w:ascii="Times New Roman" w:eastAsia="Times New Roman" w:hAnsi="Times New Roman" w:cs="Calibri"/>
                <w:b/>
                <w:bCs/>
                <w:sz w:val="20"/>
                <w:szCs w:val="20"/>
                <w:lang w:eastAsia="es-GT"/>
              </w:rPr>
            </w:pPr>
            <w:r w:rsidRPr="002F6DED">
              <w:rPr>
                <w:rFonts w:ascii="Times New Roman" w:eastAsia="Times New Roman" w:hAnsi="Times New Roman" w:cs="Calibri"/>
                <w:b/>
                <w:bCs/>
                <w:sz w:val="20"/>
                <w:szCs w:val="20"/>
                <w:lang w:eastAsia="es-GT"/>
              </w:rPr>
              <w:t>APROBADO</w:t>
            </w:r>
          </w:p>
        </w:tc>
        <w:tc>
          <w:tcPr>
            <w:tcW w:w="3424" w:type="dxa"/>
            <w:tcBorders>
              <w:top w:val="nil"/>
              <w:left w:val="nil"/>
              <w:bottom w:val="single" w:sz="8" w:space="0" w:color="auto"/>
              <w:right w:val="single" w:sz="4" w:space="0" w:color="auto"/>
            </w:tcBorders>
            <w:shd w:val="clear" w:color="000000" w:fill="A9D08E"/>
            <w:noWrap/>
            <w:vAlign w:val="center"/>
          </w:tcPr>
          <w:p w14:paraId="62188985" w14:textId="77777777" w:rsidR="004A66F0" w:rsidRPr="002F6DED" w:rsidRDefault="004A66F0" w:rsidP="008D7BB4">
            <w:pPr>
              <w:spacing w:line="276" w:lineRule="auto"/>
              <w:contextualSpacing/>
              <w:jc w:val="center"/>
              <w:rPr>
                <w:rFonts w:ascii="Times New Roman" w:eastAsia="Times New Roman" w:hAnsi="Times New Roman" w:cs="Calibri"/>
                <w:b/>
                <w:bCs/>
                <w:sz w:val="20"/>
                <w:szCs w:val="20"/>
                <w:lang w:eastAsia="es-GT"/>
              </w:rPr>
            </w:pPr>
            <w:r w:rsidRPr="002F6DED">
              <w:rPr>
                <w:rFonts w:ascii="Times New Roman" w:eastAsia="Times New Roman" w:hAnsi="Times New Roman" w:cs="Calibri"/>
                <w:b/>
                <w:bCs/>
                <w:sz w:val="20"/>
                <w:szCs w:val="20"/>
                <w:lang w:eastAsia="es-GT"/>
              </w:rPr>
              <w:t>Partido VAMOS</w:t>
            </w:r>
          </w:p>
        </w:tc>
        <w:tc>
          <w:tcPr>
            <w:tcW w:w="1902" w:type="dxa"/>
            <w:tcBorders>
              <w:top w:val="nil"/>
              <w:left w:val="nil"/>
              <w:bottom w:val="single" w:sz="8" w:space="0" w:color="auto"/>
              <w:right w:val="single" w:sz="8" w:space="0" w:color="auto"/>
            </w:tcBorders>
            <w:shd w:val="clear" w:color="000000" w:fill="A9D08E"/>
            <w:noWrap/>
            <w:vAlign w:val="center"/>
          </w:tcPr>
          <w:p w14:paraId="6260AAD3" w14:textId="77777777" w:rsidR="004A66F0" w:rsidRPr="002F6DED" w:rsidRDefault="004A66F0" w:rsidP="008D7BB4">
            <w:pPr>
              <w:spacing w:line="276" w:lineRule="auto"/>
              <w:contextualSpacing/>
              <w:jc w:val="center"/>
              <w:rPr>
                <w:rFonts w:ascii="Times New Roman" w:eastAsia="Times New Roman" w:hAnsi="Times New Roman" w:cs="Calibri"/>
                <w:b/>
                <w:bCs/>
                <w:sz w:val="20"/>
                <w:szCs w:val="20"/>
                <w:lang w:eastAsia="es-GT"/>
              </w:rPr>
            </w:pPr>
            <w:r w:rsidRPr="002F6DED">
              <w:rPr>
                <w:rFonts w:ascii="Times New Roman" w:eastAsia="Times New Roman" w:hAnsi="Times New Roman" w:cs="Calibri"/>
                <w:b/>
                <w:bCs/>
                <w:sz w:val="20"/>
                <w:szCs w:val="20"/>
                <w:lang w:eastAsia="es-GT"/>
              </w:rPr>
              <w:t>115,443.74</w:t>
            </w:r>
          </w:p>
        </w:tc>
      </w:tr>
    </w:tbl>
    <w:p w14:paraId="099DB5FD" w14:textId="77777777" w:rsidR="004A66F0" w:rsidRPr="004A66F0" w:rsidRDefault="004A66F0" w:rsidP="008D7BB4">
      <w:pPr>
        <w:spacing w:line="276" w:lineRule="auto"/>
        <w:contextualSpacing/>
        <w:rPr>
          <w:rFonts w:ascii="Times New Roman" w:eastAsia="Times New Roman" w:hAnsi="Times New Roman" w:cs="Calibri"/>
          <w:sz w:val="18"/>
          <w:szCs w:val="18"/>
        </w:rPr>
      </w:pPr>
      <w:r w:rsidRPr="004A66F0">
        <w:rPr>
          <w:rFonts w:ascii="Times New Roman" w:eastAsia="Times New Roman" w:hAnsi="Times New Roman" w:cs="Calibri"/>
          <w:sz w:val="18"/>
          <w:szCs w:val="18"/>
        </w:rPr>
        <w:t xml:space="preserve">  Fuente: Dirección de Análisis y Política Fiscal. </w:t>
      </w:r>
    </w:p>
    <w:p w14:paraId="31185DC4" w14:textId="77777777" w:rsidR="004A66F0" w:rsidRPr="004A66F0" w:rsidRDefault="004A66F0" w:rsidP="008D7BB4">
      <w:pPr>
        <w:spacing w:line="276" w:lineRule="auto"/>
        <w:contextualSpacing/>
        <w:jc w:val="both"/>
        <w:rPr>
          <w:rFonts w:ascii="Times New Roman" w:eastAsia="Times New Roman" w:hAnsi="Times New Roman" w:cs="Calibri"/>
          <w:sz w:val="22"/>
          <w:szCs w:val="22"/>
        </w:rPr>
      </w:pPr>
    </w:p>
    <w:p w14:paraId="0ED2045E" w14:textId="77777777" w:rsidR="004A66F0" w:rsidRPr="004A66F0" w:rsidRDefault="004A66F0" w:rsidP="008D7BB4">
      <w:pPr>
        <w:spacing w:line="276" w:lineRule="auto"/>
        <w:contextualSpacing/>
        <w:jc w:val="both"/>
        <w:rPr>
          <w:rFonts w:ascii="Times New Roman" w:eastAsiaTheme="majorEastAsia" w:hAnsi="Times New Roman" w:cs="Calibri"/>
          <w:sz w:val="22"/>
          <w:szCs w:val="28"/>
        </w:rPr>
      </w:pPr>
      <w:r w:rsidRPr="004A66F0">
        <w:rPr>
          <w:rFonts w:ascii="Times New Roman" w:eastAsiaTheme="majorEastAsia" w:hAnsi="Times New Roman" w:cs="Calibri"/>
          <w:sz w:val="22"/>
          <w:szCs w:val="28"/>
        </w:rPr>
        <w:t>La recaudación tributaria de 2023 busca consolidar la recuperación en los principales impuestos que representan cerca del 84.2% de la recaudación total siendo estos el Impuesto Sobre la Renta, el Impuesto al Valor Agregado y el Impuesto de Solidaridad, para continuar con el desempeño positivo de estos impuestos la Superintendencia de Administración Tributaria tiene que seguir realizando esfuerzos que garanticen recursos suficientes para el cumplimiento de programas y proyectos contenidos en el Presupuesto General de Ingresos y Egresos del Estados Aprobado para que con ello se brinde seguridad, infraestructura y salud a la población general.</w:t>
      </w:r>
    </w:p>
    <w:p w14:paraId="29FE4DA9" w14:textId="77777777" w:rsidR="004A66F0" w:rsidRPr="004A66F0" w:rsidRDefault="004A66F0" w:rsidP="008D7BB4">
      <w:pPr>
        <w:spacing w:line="276" w:lineRule="auto"/>
        <w:contextualSpacing/>
        <w:jc w:val="both"/>
        <w:rPr>
          <w:rFonts w:ascii="Times New Roman" w:eastAsiaTheme="majorEastAsia" w:hAnsi="Times New Roman" w:cs="Calibri"/>
          <w:sz w:val="22"/>
          <w:szCs w:val="28"/>
        </w:rPr>
      </w:pPr>
    </w:p>
    <w:p w14:paraId="1BF61920" w14:textId="77777777" w:rsidR="004A66F0" w:rsidRPr="004A66F0" w:rsidRDefault="004A66F0" w:rsidP="008D7BB4">
      <w:pPr>
        <w:spacing w:line="276" w:lineRule="auto"/>
        <w:contextualSpacing/>
        <w:jc w:val="both"/>
        <w:rPr>
          <w:rFonts w:ascii="Times New Roman" w:eastAsiaTheme="majorEastAsia" w:hAnsi="Times New Roman" w:cs="Calibri"/>
          <w:sz w:val="22"/>
          <w:szCs w:val="28"/>
        </w:rPr>
      </w:pPr>
      <w:r w:rsidRPr="004A66F0">
        <w:rPr>
          <w:rFonts w:ascii="Times New Roman" w:eastAsiaTheme="majorEastAsia" w:hAnsi="Times New Roman" w:cs="Calibri"/>
          <w:sz w:val="22"/>
          <w:szCs w:val="28"/>
        </w:rPr>
        <w:t>La recaudación tributaria para este ejercicio debería de situarse en torno a Q86,247.6 millones, vale indicar que dicho monto consideró  base de estimación el escenario macroeconómico proporcionado por el Banco de Guatemala el 27 de abril de 2022, este escenario contenía un crecimiento de la economía en torno a 3.5% ± 1%, PIB nominal de 6.4% ± 1%, importaciones de 8.0% ± 1.5% e Inflación de 4% ±1%, el escenario propuesto para la formulación de Presupuesto no dista mucho de la revisión realizada en diciembre de 2022 el ajuste que se da entre los dos escenarios es básicamente por inflación situando el PIB nominal revisado en 8.2 ± 1.</w:t>
      </w:r>
    </w:p>
    <w:p w14:paraId="4B2E941A" w14:textId="77777777" w:rsidR="004A66F0" w:rsidRPr="004A66F0" w:rsidRDefault="004A66F0" w:rsidP="008D7BB4">
      <w:pPr>
        <w:spacing w:line="276" w:lineRule="auto"/>
        <w:contextualSpacing/>
        <w:jc w:val="both"/>
        <w:rPr>
          <w:rFonts w:ascii="Times New Roman" w:eastAsiaTheme="majorEastAsia" w:hAnsi="Times New Roman" w:cs="Calibri"/>
          <w:sz w:val="22"/>
          <w:szCs w:val="28"/>
        </w:rPr>
      </w:pPr>
    </w:p>
    <w:p w14:paraId="54F47B1E" w14:textId="77777777" w:rsidR="004A66F0" w:rsidRPr="004A66F0" w:rsidRDefault="004A66F0" w:rsidP="008D7BB4">
      <w:pPr>
        <w:spacing w:line="276" w:lineRule="auto"/>
        <w:contextualSpacing/>
        <w:jc w:val="both"/>
        <w:rPr>
          <w:rFonts w:ascii="Times New Roman" w:eastAsiaTheme="majorEastAsia" w:hAnsi="Times New Roman" w:cs="Calibri"/>
          <w:sz w:val="22"/>
          <w:szCs w:val="28"/>
        </w:rPr>
      </w:pPr>
      <w:r w:rsidRPr="004A66F0">
        <w:rPr>
          <w:rFonts w:ascii="Times New Roman" w:eastAsiaTheme="majorEastAsia" w:hAnsi="Times New Roman" w:cs="Calibri"/>
          <w:sz w:val="22"/>
          <w:szCs w:val="28"/>
        </w:rPr>
        <w:lastRenderedPageBreak/>
        <w:t xml:space="preserve">Con los datos contenidos en el presupuesto aprobado para 2023 se tiene que la recaudación tributaria decrecerá respecto a lo observado en 2022 en 2.6%, siendo el Impuesto Sobre la Renta, el Impuesto de Solidaridad y el Impuesto al Valor Agregado los que reflejan caídas de 5.4%, 3.4% y 2.2%, estos resultados son comprensibles dado que el año 2022 </w:t>
      </w:r>
      <w:r w:rsidRPr="00B52E37">
        <w:rPr>
          <w:rFonts w:ascii="Times New Roman" w:eastAsiaTheme="majorEastAsia" w:hAnsi="Times New Roman" w:cs="Calibri"/>
          <w:sz w:val="22"/>
          <w:szCs w:val="28"/>
        </w:rPr>
        <w:t>contiene recaudación no recurrente</w:t>
      </w:r>
      <w:r w:rsidRPr="004A66F0">
        <w:rPr>
          <w:rFonts w:ascii="Times New Roman" w:eastAsiaTheme="majorEastAsia" w:hAnsi="Times New Roman" w:cs="Calibri"/>
          <w:sz w:val="22"/>
          <w:szCs w:val="28"/>
        </w:rPr>
        <w:t xml:space="preserve"> y el no aprovisionamiento al fondo de crédito fiscal a los exportadores y el efecto precio en el valor de las importaciones los cuales según la previsión del Banco de Guatemala no se replicarán para el presente ejercicio fiscal, al realizar los ajustes a la recaudación tributaria observada en 2022 se tiene que la recaudación contenida en el Presupuesto de Ingresos crece en 1.3%.</w:t>
      </w:r>
    </w:p>
    <w:p w14:paraId="4224074A" w14:textId="77777777" w:rsidR="004A66F0" w:rsidRPr="004A66F0" w:rsidRDefault="004A66F0" w:rsidP="008D7BB4">
      <w:pPr>
        <w:spacing w:line="276" w:lineRule="auto"/>
        <w:contextualSpacing/>
        <w:jc w:val="both"/>
        <w:rPr>
          <w:rFonts w:ascii="Times New Roman" w:eastAsiaTheme="majorEastAsia" w:hAnsi="Times New Roman" w:cs="Calibri"/>
          <w:sz w:val="22"/>
          <w:szCs w:val="28"/>
        </w:rPr>
      </w:pPr>
    </w:p>
    <w:p w14:paraId="7B38701B" w14:textId="720CF21D" w:rsidR="004A66F0" w:rsidRPr="004A66F0" w:rsidRDefault="004A66F0" w:rsidP="008D7BB4">
      <w:pPr>
        <w:spacing w:line="276" w:lineRule="auto"/>
        <w:contextualSpacing/>
        <w:jc w:val="both"/>
        <w:rPr>
          <w:rFonts w:ascii="Times New Roman" w:eastAsiaTheme="majorEastAsia" w:hAnsi="Times New Roman" w:cs="Calibri"/>
          <w:sz w:val="22"/>
          <w:szCs w:val="28"/>
        </w:rPr>
      </w:pPr>
      <w:r w:rsidRPr="004A66F0">
        <w:rPr>
          <w:rFonts w:ascii="Times New Roman" w:eastAsiaTheme="majorEastAsia" w:hAnsi="Times New Roman" w:cs="Calibri"/>
          <w:sz w:val="22"/>
          <w:szCs w:val="28"/>
        </w:rPr>
        <w:t xml:space="preserve">A nivel de carga tributaria para el ejercicio fiscal 2023 se espera que por lo menos esta se ubique en </w:t>
      </w:r>
      <w:r w:rsidRPr="00B52E37">
        <w:rPr>
          <w:rFonts w:ascii="Times New Roman" w:eastAsiaTheme="majorEastAsia" w:hAnsi="Times New Roman" w:cs="Calibri"/>
          <w:sz w:val="22"/>
          <w:szCs w:val="28"/>
        </w:rPr>
        <w:t>1</w:t>
      </w:r>
      <w:r w:rsidR="00F410B2">
        <w:rPr>
          <w:rFonts w:ascii="Times New Roman" w:eastAsiaTheme="majorEastAsia" w:hAnsi="Times New Roman" w:cs="Calibri"/>
          <w:sz w:val="22"/>
          <w:szCs w:val="28"/>
        </w:rPr>
        <w:t>0.9</w:t>
      </w:r>
      <w:r w:rsidRPr="00B52E37">
        <w:rPr>
          <w:rFonts w:ascii="Times New Roman" w:eastAsiaTheme="majorEastAsia" w:hAnsi="Times New Roman" w:cs="Calibri"/>
          <w:sz w:val="22"/>
          <w:szCs w:val="28"/>
        </w:rPr>
        <w:t>%</w:t>
      </w:r>
      <w:r w:rsidRPr="004A66F0">
        <w:rPr>
          <w:rFonts w:ascii="Times New Roman" w:eastAsiaTheme="majorEastAsia" w:hAnsi="Times New Roman" w:cs="Calibri"/>
          <w:sz w:val="22"/>
          <w:szCs w:val="28"/>
        </w:rPr>
        <w:t xml:space="preserve"> si se cumplen las condiciones establecidas en el Presupuesto, vale indicar que dicho monto puede variar de conformidad a las acciones que siga implementando la Superintendencia de Administración Tributaria en pro del combate al contrabando, defraudación y percepción de riesgo de los contribuyentes, </w:t>
      </w:r>
      <w:r w:rsidR="00B52E37">
        <w:rPr>
          <w:rFonts w:ascii="Times New Roman" w:eastAsiaTheme="majorEastAsia" w:hAnsi="Times New Roman" w:cs="Calibri"/>
          <w:sz w:val="22"/>
          <w:szCs w:val="28"/>
        </w:rPr>
        <w:t xml:space="preserve">y podría alcanzar un nivel en torno al 12.0%.  Dado que </w:t>
      </w:r>
      <w:r w:rsidRPr="004A66F0">
        <w:rPr>
          <w:rFonts w:ascii="Times New Roman" w:eastAsiaTheme="majorEastAsia" w:hAnsi="Times New Roman" w:cs="Calibri"/>
          <w:sz w:val="22"/>
          <w:szCs w:val="28"/>
        </w:rPr>
        <w:t xml:space="preserve">aún se tiene margen </w:t>
      </w:r>
      <w:r w:rsidR="00B52E37">
        <w:rPr>
          <w:rFonts w:ascii="Times New Roman" w:eastAsiaTheme="majorEastAsia" w:hAnsi="Times New Roman" w:cs="Calibri"/>
          <w:sz w:val="22"/>
          <w:szCs w:val="28"/>
        </w:rPr>
        <w:t>para reducir el</w:t>
      </w:r>
      <w:r w:rsidRPr="004A66F0">
        <w:rPr>
          <w:rFonts w:ascii="Times New Roman" w:eastAsiaTheme="majorEastAsia" w:hAnsi="Times New Roman" w:cs="Calibri"/>
          <w:sz w:val="22"/>
          <w:szCs w:val="28"/>
        </w:rPr>
        <w:t xml:space="preserve"> incumplimiento en el Impuesto al Valor Agregado (según estudio publicado por </w:t>
      </w:r>
      <w:r w:rsidR="001150DD">
        <w:rPr>
          <w:rFonts w:ascii="Times New Roman" w:eastAsiaTheme="majorEastAsia" w:hAnsi="Times New Roman" w:cs="Calibri"/>
          <w:sz w:val="22"/>
          <w:szCs w:val="28"/>
        </w:rPr>
        <w:t xml:space="preserve">la </w:t>
      </w:r>
      <w:r w:rsidRPr="004A66F0">
        <w:rPr>
          <w:rFonts w:ascii="Times New Roman" w:eastAsiaTheme="majorEastAsia" w:hAnsi="Times New Roman" w:cs="Calibri"/>
          <w:sz w:val="22"/>
          <w:szCs w:val="28"/>
        </w:rPr>
        <w:t xml:space="preserve">SAT para 2021 </w:t>
      </w:r>
      <w:r w:rsidR="001150DD">
        <w:rPr>
          <w:rFonts w:ascii="Times New Roman" w:eastAsiaTheme="majorEastAsia" w:hAnsi="Times New Roman" w:cs="Calibri"/>
          <w:sz w:val="22"/>
          <w:szCs w:val="28"/>
        </w:rPr>
        <w:t xml:space="preserve">es </w:t>
      </w:r>
      <w:r w:rsidRPr="004A66F0">
        <w:rPr>
          <w:rFonts w:ascii="Times New Roman" w:eastAsiaTheme="majorEastAsia" w:hAnsi="Times New Roman" w:cs="Calibri"/>
          <w:sz w:val="22"/>
          <w:szCs w:val="28"/>
        </w:rPr>
        <w:t>18.04% y para el Impuesto sobre la Renta 79.9%)</w:t>
      </w:r>
      <w:r w:rsidR="001150DD">
        <w:rPr>
          <w:rFonts w:ascii="Times New Roman" w:eastAsiaTheme="majorEastAsia" w:hAnsi="Times New Roman" w:cs="Calibri"/>
          <w:sz w:val="22"/>
          <w:szCs w:val="28"/>
        </w:rPr>
        <w:t xml:space="preserve">. </w:t>
      </w:r>
      <w:r w:rsidRPr="004A66F0">
        <w:rPr>
          <w:rFonts w:ascii="Times New Roman" w:eastAsiaTheme="majorEastAsia" w:hAnsi="Times New Roman" w:cs="Calibri"/>
          <w:sz w:val="22"/>
          <w:szCs w:val="28"/>
        </w:rPr>
        <w:t xml:space="preserve"> La SAT ha logrado mediante las acciones descritas anteriormente reducir el monto de incumplimiento</w:t>
      </w:r>
      <w:r w:rsidR="001150DD">
        <w:rPr>
          <w:rFonts w:ascii="Times New Roman" w:eastAsiaTheme="majorEastAsia" w:hAnsi="Times New Roman" w:cs="Calibri"/>
          <w:sz w:val="22"/>
          <w:szCs w:val="28"/>
        </w:rPr>
        <w:t>,</w:t>
      </w:r>
      <w:r w:rsidRPr="004A66F0">
        <w:rPr>
          <w:rFonts w:ascii="Times New Roman" w:eastAsiaTheme="majorEastAsia" w:hAnsi="Times New Roman" w:cs="Calibri"/>
          <w:sz w:val="22"/>
          <w:szCs w:val="28"/>
        </w:rPr>
        <w:t xml:space="preserve"> valores que se verán reflejados en próximas publicaciones de estudios de </w:t>
      </w:r>
      <w:r w:rsidR="001150DD">
        <w:rPr>
          <w:rFonts w:ascii="Times New Roman" w:eastAsiaTheme="majorEastAsia" w:hAnsi="Times New Roman" w:cs="Calibri"/>
          <w:sz w:val="22"/>
          <w:szCs w:val="28"/>
        </w:rPr>
        <w:t xml:space="preserve">la </w:t>
      </w:r>
      <w:r w:rsidRPr="004A66F0">
        <w:rPr>
          <w:rFonts w:ascii="Times New Roman" w:eastAsiaTheme="majorEastAsia" w:hAnsi="Times New Roman" w:cs="Calibri"/>
          <w:sz w:val="22"/>
          <w:szCs w:val="28"/>
        </w:rPr>
        <w:t>SAT.</w:t>
      </w:r>
    </w:p>
    <w:p w14:paraId="3F31ADED" w14:textId="77777777" w:rsidR="004A66F0" w:rsidRPr="004A66F0" w:rsidRDefault="004A66F0" w:rsidP="008D7BB4">
      <w:pPr>
        <w:spacing w:line="276" w:lineRule="auto"/>
        <w:contextualSpacing/>
        <w:jc w:val="both"/>
        <w:rPr>
          <w:rFonts w:ascii="Times New Roman" w:eastAsiaTheme="majorEastAsia" w:hAnsi="Times New Roman" w:cs="Calibri"/>
          <w:sz w:val="22"/>
          <w:szCs w:val="28"/>
        </w:rPr>
      </w:pPr>
    </w:p>
    <w:p w14:paraId="6FEA2926" w14:textId="544A4549" w:rsidR="004A66F0" w:rsidRPr="004A66F0" w:rsidRDefault="004A66F0" w:rsidP="008D7BB4">
      <w:pPr>
        <w:spacing w:line="276" w:lineRule="auto"/>
        <w:contextualSpacing/>
        <w:jc w:val="both"/>
        <w:rPr>
          <w:rFonts w:ascii="Times New Roman" w:eastAsia="Times New Roman" w:hAnsi="Times New Roman" w:cs="Calibri"/>
          <w:sz w:val="22"/>
          <w:szCs w:val="22"/>
        </w:rPr>
      </w:pPr>
      <w:r w:rsidRPr="004A66F0">
        <w:rPr>
          <w:rFonts w:ascii="Times New Roman" w:eastAsia="Times New Roman" w:hAnsi="Times New Roman" w:cs="Calibri"/>
          <w:sz w:val="22"/>
          <w:szCs w:val="22"/>
        </w:rPr>
        <w:t>Por otro lado, el presupuesto aprobado por tipo de gasto, el gasto de funcionamiento tuvo un incremento de Q2,549.0 millones respecto al proyecto de presupuesto y de Q912.0 millones respecto al Dictamen de la Comisión de Finanzas</w:t>
      </w:r>
      <w:r w:rsidR="001150DD">
        <w:rPr>
          <w:rFonts w:ascii="Times New Roman" w:eastAsia="Times New Roman" w:hAnsi="Times New Roman" w:cs="Calibri"/>
          <w:sz w:val="22"/>
          <w:szCs w:val="22"/>
        </w:rPr>
        <w:t xml:space="preserve"> del Congreso de la República</w:t>
      </w:r>
      <w:r w:rsidRPr="004A66F0">
        <w:rPr>
          <w:rFonts w:ascii="Times New Roman" w:eastAsia="Times New Roman" w:hAnsi="Times New Roman" w:cs="Calibri"/>
          <w:sz w:val="22"/>
          <w:szCs w:val="22"/>
        </w:rPr>
        <w:t xml:space="preserve">. Las principales diferencias se dieron por los aportes para el desarrollo de capacidades institucionales en la Corte de Constitucionalidad y en la Oficina Nacional de Prevención de la Tortura y otros tratos o penas crueles o degradantes, un aporte al Organismo Judicial para el desarrollo de capacidades, así como para la extensión y ampliación de cobertura de servicios y la reducción de la mora judicial, un aporte en el Registro de Información Catastral de Guatemala para el aumento del número de municipios con información catastral y un aporte extraordinario a la Universidad de San Carlos de Guatemala para el desarrollo de capacidades institucionales educativas. </w:t>
      </w:r>
    </w:p>
    <w:p w14:paraId="05397EA9" w14:textId="77777777" w:rsidR="004A66F0" w:rsidRPr="004A66F0" w:rsidRDefault="004A66F0" w:rsidP="008D7BB4">
      <w:pPr>
        <w:spacing w:line="276" w:lineRule="auto"/>
        <w:contextualSpacing/>
        <w:jc w:val="both"/>
        <w:rPr>
          <w:rFonts w:ascii="Times New Roman" w:eastAsia="Times New Roman" w:hAnsi="Times New Roman" w:cs="Calibri"/>
          <w:sz w:val="22"/>
          <w:szCs w:val="22"/>
        </w:rPr>
      </w:pPr>
    </w:p>
    <w:p w14:paraId="09BCC395" w14:textId="77777777" w:rsidR="004A66F0" w:rsidRPr="004A66F0" w:rsidRDefault="004A66F0" w:rsidP="008D7BB4">
      <w:pPr>
        <w:spacing w:line="276" w:lineRule="auto"/>
        <w:contextualSpacing/>
        <w:jc w:val="both"/>
        <w:rPr>
          <w:rFonts w:ascii="Times New Roman" w:eastAsia="Times New Roman" w:hAnsi="Times New Roman" w:cs="Calibri"/>
          <w:sz w:val="22"/>
          <w:szCs w:val="22"/>
        </w:rPr>
      </w:pPr>
      <w:r w:rsidRPr="004A66F0">
        <w:rPr>
          <w:rFonts w:ascii="Times New Roman" w:eastAsia="Times New Roman" w:hAnsi="Times New Roman" w:cs="Calibri"/>
          <w:sz w:val="22"/>
          <w:szCs w:val="22"/>
        </w:rPr>
        <w:t>Por su parte, en el gasto de inversión, la principal diferencia fue un incremento de Q600.0 millones respecto al proyecto de presupuesto y se explica por un aporte extraordinario a los Consejos Departamentales de Desarrollo para el fortalecimiento de la Gran Cruzada Nacional por la Nutrición (GCNN).</w:t>
      </w:r>
    </w:p>
    <w:p w14:paraId="29A7E8B9" w14:textId="77777777" w:rsidR="004A66F0" w:rsidRPr="004A66F0" w:rsidRDefault="004A66F0" w:rsidP="008D7BB4">
      <w:pPr>
        <w:spacing w:line="276" w:lineRule="auto"/>
        <w:contextualSpacing/>
        <w:jc w:val="both"/>
        <w:rPr>
          <w:rFonts w:ascii="Times New Roman" w:eastAsia="Times New Roman" w:hAnsi="Times New Roman" w:cs="Calibri"/>
          <w:sz w:val="22"/>
          <w:szCs w:val="22"/>
        </w:rPr>
      </w:pPr>
    </w:p>
    <w:p w14:paraId="2997C086" w14:textId="79FAC18B" w:rsidR="004A66F0" w:rsidRDefault="004A66F0" w:rsidP="008D7BB4">
      <w:pPr>
        <w:spacing w:line="276" w:lineRule="auto"/>
        <w:contextualSpacing/>
        <w:jc w:val="both"/>
        <w:rPr>
          <w:rFonts w:ascii="Times New Roman" w:eastAsia="Times New Roman" w:hAnsi="Times New Roman" w:cs="Calibri"/>
          <w:sz w:val="22"/>
          <w:szCs w:val="22"/>
        </w:rPr>
      </w:pPr>
      <w:r w:rsidRPr="004A66F0">
        <w:rPr>
          <w:rFonts w:ascii="Times New Roman" w:eastAsia="Times New Roman" w:hAnsi="Times New Roman" w:cs="Calibri"/>
          <w:sz w:val="22"/>
          <w:szCs w:val="22"/>
        </w:rPr>
        <w:t>El gasto para deuda pública fue el único que se mantuvo sin variación y se acató el monto establecido por el Ministerio de Finanzas Públicas en el Proyecto de Presupuesto.</w:t>
      </w:r>
    </w:p>
    <w:p w14:paraId="23DFE33D" w14:textId="5F1D6ACF" w:rsidR="006C7DA1" w:rsidRDefault="006C7DA1" w:rsidP="008D7BB4">
      <w:pPr>
        <w:spacing w:line="276" w:lineRule="auto"/>
        <w:contextualSpacing/>
        <w:jc w:val="both"/>
        <w:rPr>
          <w:rFonts w:ascii="Times New Roman" w:eastAsia="Times New Roman" w:hAnsi="Times New Roman" w:cs="Calibri"/>
          <w:sz w:val="22"/>
          <w:szCs w:val="22"/>
        </w:rPr>
      </w:pPr>
    </w:p>
    <w:p w14:paraId="06976444" w14:textId="78EE28BE" w:rsidR="006C7DA1" w:rsidRDefault="006C7DA1" w:rsidP="008D7BB4">
      <w:pPr>
        <w:spacing w:line="276" w:lineRule="auto"/>
        <w:contextualSpacing/>
        <w:jc w:val="both"/>
        <w:rPr>
          <w:rFonts w:ascii="Times New Roman" w:eastAsia="Times New Roman" w:hAnsi="Times New Roman" w:cs="Calibri"/>
          <w:sz w:val="22"/>
          <w:szCs w:val="22"/>
        </w:rPr>
      </w:pPr>
    </w:p>
    <w:p w14:paraId="639DE906" w14:textId="3C016984" w:rsidR="006C7DA1" w:rsidRDefault="006C7DA1" w:rsidP="008D7BB4">
      <w:pPr>
        <w:spacing w:line="276" w:lineRule="auto"/>
        <w:contextualSpacing/>
        <w:jc w:val="both"/>
        <w:rPr>
          <w:rFonts w:ascii="Times New Roman" w:eastAsia="Times New Roman" w:hAnsi="Times New Roman" w:cs="Calibri"/>
          <w:sz w:val="22"/>
          <w:szCs w:val="22"/>
        </w:rPr>
      </w:pPr>
    </w:p>
    <w:p w14:paraId="1D39BABB" w14:textId="77777777" w:rsidR="006C7DA1" w:rsidRPr="004A66F0" w:rsidRDefault="006C7DA1" w:rsidP="008D7BB4">
      <w:pPr>
        <w:spacing w:line="276" w:lineRule="auto"/>
        <w:contextualSpacing/>
        <w:jc w:val="both"/>
        <w:rPr>
          <w:rFonts w:ascii="Times New Roman" w:eastAsia="Times New Roman" w:hAnsi="Times New Roman" w:cs="Calibri"/>
          <w:sz w:val="22"/>
          <w:szCs w:val="22"/>
        </w:rPr>
      </w:pPr>
    </w:p>
    <w:p w14:paraId="3DC19AD0" w14:textId="77777777" w:rsidR="004A66F0" w:rsidRPr="004A66F0" w:rsidRDefault="004A66F0" w:rsidP="008D7BB4">
      <w:pPr>
        <w:spacing w:line="276" w:lineRule="auto"/>
        <w:contextualSpacing/>
        <w:jc w:val="both"/>
        <w:rPr>
          <w:rFonts w:ascii="Times New Roman" w:eastAsia="Times New Roman" w:hAnsi="Times New Roman" w:cs="Calibri"/>
          <w:sz w:val="22"/>
          <w:szCs w:val="22"/>
        </w:rPr>
      </w:pPr>
    </w:p>
    <w:p w14:paraId="475CF800" w14:textId="7EBF09DE" w:rsidR="004A66F0" w:rsidRPr="004A66F0" w:rsidRDefault="002F6DED" w:rsidP="008D7BB4">
      <w:pPr>
        <w:spacing w:line="276" w:lineRule="auto"/>
        <w:contextualSpacing/>
        <w:jc w:val="center"/>
        <w:rPr>
          <w:rFonts w:ascii="Times New Roman" w:eastAsia="Times New Roman" w:hAnsi="Times New Roman" w:cs="Calibri"/>
          <w:b/>
          <w:sz w:val="22"/>
          <w:szCs w:val="22"/>
        </w:rPr>
      </w:pPr>
      <w:bookmarkStart w:id="118" w:name="_Toc125733228"/>
      <w:r w:rsidRPr="009F246B">
        <w:rPr>
          <w:rFonts w:ascii="Times New Roman" w:eastAsia="Times New Roman" w:hAnsi="Times New Roman" w:cs="Times New Roman"/>
          <w:b/>
          <w:sz w:val="22"/>
          <w:szCs w:val="22"/>
        </w:rPr>
        <w:lastRenderedPageBreak/>
        <w:t xml:space="preserve">Gráfico </w:t>
      </w:r>
      <w:r w:rsidRPr="009F246B">
        <w:rPr>
          <w:rFonts w:ascii="Times New Roman" w:eastAsia="Times New Roman" w:hAnsi="Times New Roman" w:cs="Times New Roman"/>
          <w:b/>
          <w:sz w:val="22"/>
          <w:szCs w:val="22"/>
        </w:rPr>
        <w:fldChar w:fldCharType="begin"/>
      </w:r>
      <w:r w:rsidRPr="009F246B">
        <w:rPr>
          <w:rFonts w:ascii="Times New Roman" w:eastAsia="Times New Roman" w:hAnsi="Times New Roman" w:cs="Times New Roman"/>
          <w:b/>
          <w:sz w:val="22"/>
          <w:szCs w:val="22"/>
        </w:rPr>
        <w:instrText xml:space="preserve"> SEQ Gráfico \* ARABIC </w:instrText>
      </w:r>
      <w:r w:rsidRPr="009F246B">
        <w:rPr>
          <w:rFonts w:ascii="Times New Roman" w:eastAsia="Times New Roman" w:hAnsi="Times New Roman" w:cs="Times New Roman"/>
          <w:b/>
          <w:sz w:val="22"/>
          <w:szCs w:val="22"/>
        </w:rPr>
        <w:fldChar w:fldCharType="separate"/>
      </w:r>
      <w:r w:rsidR="006F4BE5">
        <w:rPr>
          <w:rFonts w:ascii="Times New Roman" w:eastAsia="Times New Roman" w:hAnsi="Times New Roman" w:cs="Times New Roman"/>
          <w:b/>
          <w:noProof/>
          <w:sz w:val="22"/>
          <w:szCs w:val="22"/>
        </w:rPr>
        <w:t>32</w:t>
      </w:r>
      <w:r w:rsidRPr="009F246B">
        <w:rPr>
          <w:rFonts w:ascii="Times New Roman" w:eastAsia="Times New Roman" w:hAnsi="Times New Roman" w:cs="Times New Roman"/>
          <w:b/>
          <w:sz w:val="22"/>
          <w:szCs w:val="22"/>
        </w:rPr>
        <w:fldChar w:fldCharType="end"/>
      </w:r>
      <w:r w:rsidRPr="009F246B">
        <w:rPr>
          <w:rFonts w:ascii="Times New Roman" w:eastAsia="Times New Roman" w:hAnsi="Times New Roman" w:cs="Times New Roman"/>
          <w:b/>
          <w:sz w:val="22"/>
          <w:szCs w:val="22"/>
        </w:rPr>
        <w:t>.</w:t>
      </w:r>
      <w:r w:rsidRPr="009F246B">
        <w:rPr>
          <w:rFonts w:ascii="Times New Roman" w:eastAsia="AGaramondPro-Regular" w:hAnsi="Times New Roman" w:cs="Calibri"/>
          <w:b/>
          <w:bCs/>
          <w:sz w:val="22"/>
          <w:szCs w:val="22"/>
        </w:rPr>
        <w:t xml:space="preserve"> </w:t>
      </w:r>
      <w:r w:rsidR="004A66F0" w:rsidRPr="004A66F0">
        <w:rPr>
          <w:rFonts w:ascii="Times New Roman" w:eastAsia="Times New Roman" w:hAnsi="Times New Roman" w:cs="Calibri"/>
          <w:b/>
          <w:sz w:val="22"/>
          <w:szCs w:val="22"/>
        </w:rPr>
        <w:t>Proyecto de Presupuesto y Presupuesto aprobado 2023 por tipo de gasto</w:t>
      </w:r>
      <w:bookmarkEnd w:id="118"/>
    </w:p>
    <w:p w14:paraId="54A2FB0E" w14:textId="77777777" w:rsidR="004A66F0" w:rsidRPr="004A66F0" w:rsidRDefault="004A66F0" w:rsidP="008D7BB4">
      <w:pPr>
        <w:spacing w:line="276" w:lineRule="auto"/>
        <w:contextualSpacing/>
        <w:jc w:val="center"/>
        <w:rPr>
          <w:rFonts w:ascii="Times New Roman" w:eastAsia="Times New Roman" w:hAnsi="Times New Roman" w:cs="Calibri"/>
          <w:sz w:val="22"/>
          <w:szCs w:val="22"/>
        </w:rPr>
      </w:pPr>
      <w:r w:rsidRPr="004A66F0">
        <w:rPr>
          <w:rFonts w:ascii="Times New Roman" w:eastAsia="Times New Roman" w:hAnsi="Times New Roman" w:cs="Calibri"/>
          <w:sz w:val="22"/>
          <w:szCs w:val="22"/>
        </w:rPr>
        <w:t>Millones de quetzales</w:t>
      </w:r>
    </w:p>
    <w:p w14:paraId="0B8626E0" w14:textId="303A5149" w:rsidR="004A66F0" w:rsidRPr="004A66F0" w:rsidRDefault="004A66F0" w:rsidP="008D7BB4">
      <w:pPr>
        <w:spacing w:line="276" w:lineRule="auto"/>
        <w:contextualSpacing/>
        <w:jc w:val="center"/>
        <w:rPr>
          <w:rFonts w:ascii="Times New Roman" w:eastAsia="Times New Roman" w:hAnsi="Times New Roman" w:cs="Calibri"/>
          <w:sz w:val="22"/>
          <w:szCs w:val="22"/>
        </w:rPr>
      </w:pPr>
      <w:r w:rsidRPr="004A66F0">
        <w:rPr>
          <w:rFonts w:ascii="Times New Roman" w:eastAsia="Times New Roman" w:hAnsi="Times New Roman" w:cs="Calibri"/>
          <w:noProof/>
          <w:sz w:val="22"/>
          <w:szCs w:val="22"/>
          <w:shd w:val="clear" w:color="auto" w:fill="2F5496" w:themeFill="accent1" w:themeFillShade="BF"/>
          <w:lang w:eastAsia="es-GT"/>
        </w:rPr>
        <w:drawing>
          <wp:inline distT="0" distB="0" distL="0" distR="0" wp14:anchorId="1A843AD2" wp14:editId="134A9B73">
            <wp:extent cx="5340350" cy="2941955"/>
            <wp:effectExtent l="0" t="0" r="0" b="0"/>
            <wp:docPr id="6" name="Gráfic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48E0A3C" w14:textId="77777777" w:rsidR="004A66F0" w:rsidRPr="004A66F0" w:rsidRDefault="004A66F0" w:rsidP="008D7BB4">
      <w:pPr>
        <w:spacing w:line="276" w:lineRule="auto"/>
        <w:contextualSpacing/>
        <w:jc w:val="both"/>
        <w:rPr>
          <w:rFonts w:ascii="Times New Roman" w:eastAsia="Times New Roman" w:hAnsi="Times New Roman" w:cs="Calibri"/>
          <w:sz w:val="18"/>
          <w:szCs w:val="18"/>
        </w:rPr>
      </w:pPr>
      <w:r w:rsidRPr="004A66F0">
        <w:rPr>
          <w:rFonts w:ascii="Times New Roman" w:eastAsia="Times New Roman" w:hAnsi="Times New Roman" w:cs="Calibri"/>
          <w:sz w:val="18"/>
          <w:szCs w:val="18"/>
        </w:rPr>
        <w:t xml:space="preserve">           Fuente: Dirección de Análisis y Política Fiscal</w:t>
      </w:r>
    </w:p>
    <w:p w14:paraId="4B9A0DBE" w14:textId="77777777" w:rsidR="00101823" w:rsidRDefault="00101823" w:rsidP="008D7BB4">
      <w:pPr>
        <w:spacing w:line="276" w:lineRule="auto"/>
        <w:contextualSpacing/>
        <w:jc w:val="both"/>
        <w:rPr>
          <w:rFonts w:ascii="Times New Roman" w:eastAsia="Times New Roman" w:hAnsi="Times New Roman" w:cs="Calibri"/>
          <w:sz w:val="22"/>
          <w:szCs w:val="22"/>
        </w:rPr>
      </w:pPr>
    </w:p>
    <w:p w14:paraId="482B75BD" w14:textId="2D2A520A" w:rsidR="004A66F0" w:rsidRPr="004A66F0" w:rsidRDefault="004A66F0" w:rsidP="008D7BB4">
      <w:pPr>
        <w:spacing w:line="276" w:lineRule="auto"/>
        <w:contextualSpacing/>
        <w:jc w:val="both"/>
        <w:rPr>
          <w:rFonts w:ascii="Times New Roman" w:eastAsia="Times New Roman" w:hAnsi="Times New Roman" w:cs="Calibri"/>
          <w:sz w:val="22"/>
          <w:szCs w:val="22"/>
        </w:rPr>
      </w:pPr>
      <w:r w:rsidRPr="004A66F0">
        <w:rPr>
          <w:rFonts w:ascii="Times New Roman" w:eastAsia="Times New Roman" w:hAnsi="Times New Roman" w:cs="Calibri"/>
          <w:sz w:val="22"/>
          <w:szCs w:val="22"/>
        </w:rPr>
        <w:t>Entre algunos de los puntos relevantes dentro del Presupuesto Aprobado para el ejercicio fiscal 2023 se pueden mencionar:</w:t>
      </w:r>
    </w:p>
    <w:p w14:paraId="4650BA9D" w14:textId="77777777" w:rsidR="004A66F0" w:rsidRPr="004A66F0" w:rsidRDefault="004A66F0" w:rsidP="008D7BB4">
      <w:pPr>
        <w:spacing w:line="276" w:lineRule="auto"/>
        <w:contextualSpacing/>
        <w:jc w:val="both"/>
        <w:rPr>
          <w:rFonts w:ascii="Times New Roman" w:eastAsia="Times New Roman" w:hAnsi="Times New Roman" w:cs="Calibri"/>
          <w:sz w:val="22"/>
          <w:szCs w:val="22"/>
        </w:rPr>
      </w:pPr>
    </w:p>
    <w:p w14:paraId="2213E28B" w14:textId="77777777" w:rsidR="004A66F0" w:rsidRPr="004A66F0" w:rsidRDefault="004A66F0" w:rsidP="008D7BB4">
      <w:pPr>
        <w:numPr>
          <w:ilvl w:val="0"/>
          <w:numId w:val="30"/>
        </w:numPr>
        <w:spacing w:line="276" w:lineRule="auto"/>
        <w:contextualSpacing/>
        <w:jc w:val="both"/>
        <w:rPr>
          <w:rFonts w:ascii="Times New Roman" w:eastAsia="Times New Roman" w:hAnsi="Times New Roman" w:cs="Calibri"/>
          <w:sz w:val="22"/>
          <w:szCs w:val="22"/>
        </w:rPr>
      </w:pPr>
      <w:r w:rsidRPr="004A66F0">
        <w:rPr>
          <w:rFonts w:ascii="Times New Roman" w:eastAsia="Times New Roman" w:hAnsi="Times New Roman" w:cs="Calibri"/>
          <w:sz w:val="22"/>
          <w:szCs w:val="22"/>
        </w:rPr>
        <w:t xml:space="preserve">Asignación para compras de vacuna para COVID-19, así como servicios de prevención u tratamiento en el Ministerio de Salud Pública y Asistencia Social por Q1,300 millones </w:t>
      </w:r>
    </w:p>
    <w:p w14:paraId="6FE6A93D" w14:textId="77777777" w:rsidR="004A66F0" w:rsidRPr="004A66F0" w:rsidRDefault="004A66F0" w:rsidP="008D7BB4">
      <w:pPr>
        <w:numPr>
          <w:ilvl w:val="0"/>
          <w:numId w:val="30"/>
        </w:numPr>
        <w:spacing w:line="276" w:lineRule="auto"/>
        <w:contextualSpacing/>
        <w:jc w:val="both"/>
        <w:rPr>
          <w:rFonts w:ascii="Times New Roman" w:eastAsia="Times New Roman" w:hAnsi="Times New Roman" w:cs="Calibri"/>
          <w:sz w:val="22"/>
          <w:szCs w:val="22"/>
        </w:rPr>
      </w:pPr>
      <w:r w:rsidRPr="004A66F0">
        <w:rPr>
          <w:rFonts w:ascii="Times New Roman" w:eastAsia="Times New Roman" w:hAnsi="Times New Roman" w:cs="Calibri"/>
          <w:sz w:val="22"/>
          <w:szCs w:val="22"/>
        </w:rPr>
        <w:t>Se programa una previsión de Q107 millones destinados al resarcimiento contenido en la Política Pública de Reparación a las Comunidades afectadas por la Construcción de la Hidroeléctrica de Chixoy.</w:t>
      </w:r>
    </w:p>
    <w:p w14:paraId="7EF77295" w14:textId="77777777" w:rsidR="004A66F0" w:rsidRPr="004A66F0" w:rsidRDefault="004A66F0" w:rsidP="008D7BB4">
      <w:pPr>
        <w:numPr>
          <w:ilvl w:val="0"/>
          <w:numId w:val="30"/>
        </w:numPr>
        <w:spacing w:line="276" w:lineRule="auto"/>
        <w:contextualSpacing/>
        <w:jc w:val="both"/>
        <w:rPr>
          <w:rFonts w:ascii="Times New Roman" w:eastAsia="Times New Roman" w:hAnsi="Times New Roman" w:cs="Calibri"/>
          <w:sz w:val="22"/>
          <w:szCs w:val="22"/>
        </w:rPr>
      </w:pPr>
      <w:r w:rsidRPr="004A66F0">
        <w:rPr>
          <w:rFonts w:ascii="Times New Roman" w:eastAsia="Times New Roman" w:hAnsi="Times New Roman" w:cs="Calibri"/>
          <w:sz w:val="22"/>
          <w:szCs w:val="22"/>
        </w:rPr>
        <w:t>Nuevamente se asignan Q500 millones del monto total máximo de Bonos del Tesoro para pequeños inversionistas</w:t>
      </w:r>
    </w:p>
    <w:p w14:paraId="75F3ADD8" w14:textId="77777777" w:rsidR="004A66F0" w:rsidRPr="004A66F0" w:rsidRDefault="004A66F0" w:rsidP="008D7BB4">
      <w:pPr>
        <w:numPr>
          <w:ilvl w:val="0"/>
          <w:numId w:val="30"/>
        </w:numPr>
        <w:spacing w:line="276" w:lineRule="auto"/>
        <w:contextualSpacing/>
        <w:jc w:val="both"/>
        <w:rPr>
          <w:rFonts w:ascii="Times New Roman" w:eastAsia="Times New Roman" w:hAnsi="Times New Roman" w:cs="Calibri"/>
          <w:sz w:val="22"/>
          <w:szCs w:val="22"/>
        </w:rPr>
      </w:pPr>
      <w:r w:rsidRPr="004A66F0">
        <w:rPr>
          <w:rFonts w:ascii="Times New Roman" w:eastAsia="Times New Roman" w:hAnsi="Times New Roman" w:cs="Calibri"/>
          <w:sz w:val="22"/>
          <w:szCs w:val="22"/>
        </w:rPr>
        <w:t>Asignación de Q110.0 millones como una previsión para conformar el fondo emergente para mitigar los daños que puedan ocasionar los fenómenos naturales que afecten al país, asimismo para atender programas y proyectos relacionados con la atención de epidemias, pandemias y otras.</w:t>
      </w:r>
    </w:p>
    <w:p w14:paraId="20613114" w14:textId="77777777" w:rsidR="004A66F0" w:rsidRPr="004A66F0" w:rsidRDefault="004A66F0" w:rsidP="008D7BB4">
      <w:pPr>
        <w:numPr>
          <w:ilvl w:val="0"/>
          <w:numId w:val="30"/>
        </w:numPr>
        <w:spacing w:line="276" w:lineRule="auto"/>
        <w:contextualSpacing/>
        <w:jc w:val="both"/>
        <w:rPr>
          <w:rFonts w:ascii="Times New Roman" w:eastAsia="Times New Roman" w:hAnsi="Times New Roman" w:cs="Calibri"/>
          <w:sz w:val="22"/>
          <w:szCs w:val="22"/>
        </w:rPr>
      </w:pPr>
      <w:r w:rsidRPr="004A66F0">
        <w:rPr>
          <w:rFonts w:ascii="Times New Roman" w:eastAsia="Times New Roman" w:hAnsi="Times New Roman" w:cs="Calibri"/>
          <w:sz w:val="22"/>
          <w:szCs w:val="22"/>
        </w:rPr>
        <w:t xml:space="preserve">Se asignan recursos dentro del presupuesto del Ministerio de Economía y del Ministerio de Educación con el fin de brindar becas para aprendizaje de inglés para empleo y enfermería, dando continuidad al Fondo de Becas. </w:t>
      </w:r>
    </w:p>
    <w:p w14:paraId="4BA49E9D" w14:textId="77777777" w:rsidR="004A66F0" w:rsidRPr="004A66F0" w:rsidRDefault="004A66F0" w:rsidP="008D7BB4">
      <w:pPr>
        <w:numPr>
          <w:ilvl w:val="0"/>
          <w:numId w:val="30"/>
        </w:numPr>
        <w:spacing w:line="276" w:lineRule="auto"/>
        <w:contextualSpacing/>
        <w:jc w:val="both"/>
        <w:rPr>
          <w:rFonts w:ascii="Times New Roman" w:eastAsia="Times New Roman" w:hAnsi="Times New Roman" w:cs="Calibri"/>
          <w:sz w:val="22"/>
          <w:szCs w:val="22"/>
        </w:rPr>
      </w:pPr>
      <w:r w:rsidRPr="004A66F0">
        <w:rPr>
          <w:rFonts w:ascii="Times New Roman" w:eastAsia="Times New Roman" w:hAnsi="Times New Roman" w:cs="Calibri"/>
          <w:sz w:val="22"/>
          <w:szCs w:val="22"/>
        </w:rPr>
        <w:t xml:space="preserve">Se autoriza ampliar el presupuesto general de ingresos y egresos del Estado, hasta por el saldo pendiente de ejecutar de los recursos asignados al Ministerio de Comunicaciones, Infraestructura y Vivienda para el mantenimiento y construcción de infraestructura estratégica. </w:t>
      </w:r>
    </w:p>
    <w:p w14:paraId="0565B86B" w14:textId="77777777" w:rsidR="004A66F0" w:rsidRPr="004A66F0" w:rsidRDefault="004A66F0" w:rsidP="008D7BB4">
      <w:pPr>
        <w:numPr>
          <w:ilvl w:val="0"/>
          <w:numId w:val="30"/>
        </w:numPr>
        <w:spacing w:line="276" w:lineRule="auto"/>
        <w:contextualSpacing/>
        <w:jc w:val="both"/>
        <w:rPr>
          <w:rFonts w:ascii="Times New Roman" w:eastAsia="Times New Roman" w:hAnsi="Times New Roman" w:cs="Calibri"/>
          <w:sz w:val="22"/>
          <w:szCs w:val="22"/>
        </w:rPr>
      </w:pPr>
      <w:r w:rsidRPr="004A66F0">
        <w:rPr>
          <w:rFonts w:ascii="Times New Roman" w:eastAsia="Times New Roman" w:hAnsi="Times New Roman" w:cs="Calibri"/>
          <w:sz w:val="22"/>
          <w:szCs w:val="22"/>
        </w:rPr>
        <w:lastRenderedPageBreak/>
        <w:t>Los saldos de caja que provienen de la asignación adicional realizada en 2022 al Tribunal Supremo Electoral, destinada a las Elecciones Generales de 2023, que no han sido ejecutadas completamente, deben ser incorporados y utilizados en su presupuesto para el mismo fin.</w:t>
      </w:r>
    </w:p>
    <w:p w14:paraId="2A608A02" w14:textId="77777777" w:rsidR="004A66F0" w:rsidRPr="004A66F0" w:rsidRDefault="004A66F0" w:rsidP="008D7BB4">
      <w:pPr>
        <w:numPr>
          <w:ilvl w:val="0"/>
          <w:numId w:val="30"/>
        </w:numPr>
        <w:spacing w:line="276" w:lineRule="auto"/>
        <w:contextualSpacing/>
        <w:jc w:val="both"/>
        <w:rPr>
          <w:rFonts w:ascii="Times New Roman" w:eastAsia="Times New Roman" w:hAnsi="Times New Roman" w:cs="Calibri"/>
          <w:sz w:val="22"/>
          <w:szCs w:val="22"/>
        </w:rPr>
      </w:pPr>
      <w:r w:rsidRPr="004A66F0">
        <w:rPr>
          <w:rFonts w:ascii="Times New Roman" w:eastAsia="Times New Roman" w:hAnsi="Times New Roman" w:cs="Calibri"/>
          <w:sz w:val="22"/>
          <w:szCs w:val="22"/>
        </w:rPr>
        <w:t xml:space="preserve">Se autoriza ampliar el presupuesto general, en el caso que exista disponibilidad de saldos de caja, hasta por un monto de Q600 millones, para el financiamiento de un incremento de hasta 10% en las jubilaciones y pensiones del régimen de clases pasivas y civiles del Estado. </w:t>
      </w:r>
    </w:p>
    <w:p w14:paraId="549B3DDA" w14:textId="77777777" w:rsidR="004A66F0" w:rsidRPr="004A66F0" w:rsidRDefault="004A66F0" w:rsidP="008D7BB4">
      <w:pPr>
        <w:numPr>
          <w:ilvl w:val="0"/>
          <w:numId w:val="30"/>
        </w:numPr>
        <w:spacing w:line="276" w:lineRule="auto"/>
        <w:contextualSpacing/>
        <w:jc w:val="both"/>
        <w:rPr>
          <w:rFonts w:ascii="Times New Roman" w:eastAsia="Times New Roman" w:hAnsi="Times New Roman" w:cs="Calibri"/>
          <w:sz w:val="22"/>
          <w:szCs w:val="22"/>
        </w:rPr>
      </w:pPr>
      <w:r w:rsidRPr="004A66F0">
        <w:rPr>
          <w:rFonts w:ascii="Times New Roman" w:eastAsia="Times New Roman" w:hAnsi="Times New Roman" w:cs="Calibri"/>
          <w:sz w:val="22"/>
          <w:szCs w:val="22"/>
        </w:rPr>
        <w:t xml:space="preserve">Se amplía el presupuesto hasta por Q135 millones como aporte extraordinario al Organismo Judicial. </w:t>
      </w:r>
    </w:p>
    <w:p w14:paraId="62A0A6D7" w14:textId="77777777" w:rsidR="004A66F0" w:rsidRPr="004A66F0" w:rsidRDefault="004A66F0" w:rsidP="008D7BB4">
      <w:pPr>
        <w:numPr>
          <w:ilvl w:val="0"/>
          <w:numId w:val="30"/>
        </w:numPr>
        <w:spacing w:line="276" w:lineRule="auto"/>
        <w:contextualSpacing/>
        <w:jc w:val="both"/>
        <w:rPr>
          <w:rFonts w:ascii="Times New Roman" w:eastAsia="Times New Roman" w:hAnsi="Times New Roman" w:cs="Calibri"/>
          <w:sz w:val="22"/>
          <w:szCs w:val="22"/>
        </w:rPr>
      </w:pPr>
      <w:r w:rsidRPr="004A66F0">
        <w:rPr>
          <w:rFonts w:ascii="Times New Roman" w:eastAsia="Times New Roman" w:hAnsi="Times New Roman" w:cs="Calibri"/>
          <w:sz w:val="22"/>
          <w:szCs w:val="22"/>
        </w:rPr>
        <w:t>Se amplía el Presupuesto General, a favor del Ministerio de Desarrollo Social, hasta por el monto necesario para financiar el primer año de los recursos dispuesto en la Ley Temporal de Desarrollo Integral</w:t>
      </w:r>
    </w:p>
    <w:p w14:paraId="482D6D5B" w14:textId="77777777" w:rsidR="004A66F0" w:rsidRPr="004A66F0" w:rsidRDefault="004A66F0" w:rsidP="008D7BB4">
      <w:pPr>
        <w:numPr>
          <w:ilvl w:val="0"/>
          <w:numId w:val="30"/>
        </w:numPr>
        <w:spacing w:line="276" w:lineRule="auto"/>
        <w:contextualSpacing/>
        <w:jc w:val="both"/>
        <w:rPr>
          <w:rFonts w:ascii="Times New Roman" w:eastAsia="Times New Roman" w:hAnsi="Times New Roman" w:cs="Calibri"/>
          <w:sz w:val="22"/>
          <w:szCs w:val="22"/>
        </w:rPr>
      </w:pPr>
      <w:r w:rsidRPr="004A66F0">
        <w:rPr>
          <w:rFonts w:ascii="Times New Roman" w:eastAsia="Times New Roman" w:hAnsi="Times New Roman" w:cs="Calibri"/>
          <w:sz w:val="22"/>
          <w:szCs w:val="22"/>
        </w:rPr>
        <w:t>Se asignan</w:t>
      </w:r>
      <w:r w:rsidRPr="004A66F0">
        <w:rPr>
          <w:rFonts w:ascii="Times New Roman" w:eastAsia="Times New Roman" w:hAnsi="Times New Roman" w:cs="Calibri"/>
          <w:sz w:val="22"/>
          <w:szCs w:val="22"/>
          <w:lang w:val="es-ES_tradnl"/>
        </w:rPr>
        <w:t xml:space="preserve"> de Q600.0 millones de aporte a CODEDES para la Gran Cruzada por la Nutrición, específicamente para realizar proyectos de agua, saneamiento, drenajes, educación, infraestructura y otros proyectos relacionados. </w:t>
      </w:r>
    </w:p>
    <w:p w14:paraId="11C92171" w14:textId="77777777" w:rsidR="004A66F0" w:rsidRPr="004A66F0" w:rsidRDefault="004A66F0" w:rsidP="008D7BB4">
      <w:pPr>
        <w:numPr>
          <w:ilvl w:val="0"/>
          <w:numId w:val="30"/>
        </w:numPr>
        <w:spacing w:line="276" w:lineRule="auto"/>
        <w:contextualSpacing/>
        <w:jc w:val="both"/>
        <w:rPr>
          <w:rFonts w:ascii="Times New Roman" w:eastAsia="Times New Roman" w:hAnsi="Times New Roman" w:cs="Calibri"/>
          <w:sz w:val="22"/>
          <w:szCs w:val="22"/>
        </w:rPr>
      </w:pPr>
      <w:r w:rsidRPr="004A66F0">
        <w:rPr>
          <w:rFonts w:ascii="Times New Roman" w:eastAsia="Times New Roman" w:hAnsi="Times New Roman" w:cs="Calibri"/>
          <w:sz w:val="22"/>
          <w:szCs w:val="22"/>
        </w:rPr>
        <w:t>Prohibición de gastos superfluos como alimentos y bebidas, combustible para vehículos, telefonía móvil en exceso a Q600 mensuales y gastos relacionados con viajes al exterior para ministros, viceministros, secretarios y subsecretarios del Organismo Ejecutivo.</w:t>
      </w:r>
    </w:p>
    <w:p w14:paraId="6C14964F" w14:textId="77777777" w:rsidR="004A66F0" w:rsidRPr="004A66F0" w:rsidRDefault="004A66F0" w:rsidP="008D7BB4">
      <w:pPr>
        <w:numPr>
          <w:ilvl w:val="0"/>
          <w:numId w:val="30"/>
        </w:numPr>
        <w:spacing w:line="276" w:lineRule="auto"/>
        <w:contextualSpacing/>
        <w:jc w:val="both"/>
        <w:rPr>
          <w:rFonts w:ascii="Times New Roman" w:eastAsia="Times New Roman" w:hAnsi="Times New Roman" w:cs="Calibri"/>
          <w:sz w:val="22"/>
          <w:szCs w:val="22"/>
        </w:rPr>
      </w:pPr>
      <w:r w:rsidRPr="004A66F0">
        <w:rPr>
          <w:rFonts w:ascii="Times New Roman" w:eastAsia="Times New Roman" w:hAnsi="Times New Roman" w:cs="Calibri"/>
          <w:sz w:val="22"/>
          <w:szCs w:val="22"/>
        </w:rPr>
        <w:t>Se amplió la meta de recaudación para el 2023, alcanzando los Q86,247.7 millones, dando como resultado un monto adicional de Q1,636.9 millones respecto al Proyecto de Presupuesto presentado por Finanzas, estos recursos adicionales servirían para:</w:t>
      </w:r>
    </w:p>
    <w:p w14:paraId="6CD73F9F" w14:textId="77777777" w:rsidR="004A66F0" w:rsidRPr="004A66F0" w:rsidRDefault="004A66F0" w:rsidP="008D7BB4">
      <w:pPr>
        <w:spacing w:line="276" w:lineRule="auto"/>
        <w:ind w:left="720"/>
        <w:contextualSpacing/>
        <w:rPr>
          <w:rFonts w:ascii="Times New Roman" w:eastAsia="Times New Roman" w:hAnsi="Times New Roman" w:cs="Calibri"/>
          <w:sz w:val="22"/>
          <w:szCs w:val="22"/>
        </w:rPr>
      </w:pPr>
    </w:p>
    <w:p w14:paraId="18B09865" w14:textId="77777777" w:rsidR="004A66F0" w:rsidRPr="004A66F0" w:rsidRDefault="004A66F0" w:rsidP="008D7BB4">
      <w:pPr>
        <w:numPr>
          <w:ilvl w:val="1"/>
          <w:numId w:val="30"/>
        </w:numPr>
        <w:spacing w:line="276" w:lineRule="auto"/>
        <w:contextualSpacing/>
        <w:jc w:val="both"/>
        <w:rPr>
          <w:rFonts w:ascii="Times New Roman" w:eastAsia="Times New Roman" w:hAnsi="Times New Roman" w:cs="Calibri"/>
          <w:sz w:val="22"/>
          <w:szCs w:val="22"/>
        </w:rPr>
      </w:pPr>
      <w:r w:rsidRPr="004A66F0">
        <w:rPr>
          <w:rFonts w:ascii="Times New Roman" w:eastAsia="Times New Roman" w:hAnsi="Times New Roman" w:cs="Calibri"/>
          <w:sz w:val="22"/>
          <w:szCs w:val="22"/>
        </w:rPr>
        <w:t xml:space="preserve">Desarrollo de capacidades institucionales educativas en la Universidad de San Carlos por Q400 millones </w:t>
      </w:r>
    </w:p>
    <w:p w14:paraId="49D3283E" w14:textId="77777777" w:rsidR="004A66F0" w:rsidRPr="004A66F0" w:rsidRDefault="004A66F0" w:rsidP="008D7BB4">
      <w:pPr>
        <w:numPr>
          <w:ilvl w:val="1"/>
          <w:numId w:val="30"/>
        </w:numPr>
        <w:spacing w:line="276" w:lineRule="auto"/>
        <w:contextualSpacing/>
        <w:jc w:val="both"/>
        <w:rPr>
          <w:rFonts w:ascii="Times New Roman" w:eastAsia="Times New Roman" w:hAnsi="Times New Roman" w:cs="Calibri"/>
          <w:sz w:val="22"/>
          <w:szCs w:val="22"/>
        </w:rPr>
      </w:pPr>
      <w:r w:rsidRPr="004A66F0">
        <w:rPr>
          <w:rFonts w:ascii="Times New Roman" w:eastAsia="Times New Roman" w:hAnsi="Times New Roman" w:cs="Calibri"/>
          <w:sz w:val="22"/>
          <w:szCs w:val="22"/>
        </w:rPr>
        <w:t>Desarrollo de capacidades institucionales para la extensión y ampliación de cobertura de sus respectivos servicios, así como para la reducción de la mora judicial por Q400 millones</w:t>
      </w:r>
    </w:p>
    <w:p w14:paraId="44BBAC4A" w14:textId="77777777" w:rsidR="004A66F0" w:rsidRPr="004A66F0" w:rsidRDefault="004A66F0" w:rsidP="008D7BB4">
      <w:pPr>
        <w:numPr>
          <w:ilvl w:val="1"/>
          <w:numId w:val="30"/>
        </w:numPr>
        <w:spacing w:line="276" w:lineRule="auto"/>
        <w:contextualSpacing/>
        <w:jc w:val="both"/>
        <w:rPr>
          <w:rFonts w:ascii="Times New Roman" w:eastAsia="Times New Roman" w:hAnsi="Times New Roman" w:cs="Calibri"/>
          <w:sz w:val="22"/>
          <w:szCs w:val="22"/>
        </w:rPr>
      </w:pPr>
      <w:r w:rsidRPr="004A66F0">
        <w:rPr>
          <w:rFonts w:ascii="Times New Roman" w:eastAsia="Times New Roman" w:hAnsi="Times New Roman" w:cs="Calibri"/>
          <w:sz w:val="22"/>
          <w:szCs w:val="22"/>
        </w:rPr>
        <w:t xml:space="preserve">Desarrollo de capacidades institucionales en la Coste de Constitucionalidad por Q125 millones </w:t>
      </w:r>
    </w:p>
    <w:p w14:paraId="6ECD5D95" w14:textId="77777777" w:rsidR="004A66F0" w:rsidRPr="004A66F0" w:rsidRDefault="004A66F0" w:rsidP="008D7BB4">
      <w:pPr>
        <w:numPr>
          <w:ilvl w:val="1"/>
          <w:numId w:val="30"/>
        </w:numPr>
        <w:spacing w:line="276" w:lineRule="auto"/>
        <w:contextualSpacing/>
        <w:jc w:val="both"/>
        <w:rPr>
          <w:rFonts w:ascii="Times New Roman" w:eastAsia="Times New Roman" w:hAnsi="Times New Roman" w:cs="Calibri"/>
          <w:sz w:val="22"/>
          <w:szCs w:val="22"/>
        </w:rPr>
      </w:pPr>
      <w:r w:rsidRPr="004A66F0">
        <w:rPr>
          <w:rFonts w:ascii="Times New Roman" w:eastAsia="Times New Roman" w:hAnsi="Times New Roman" w:cs="Calibri"/>
          <w:sz w:val="22"/>
          <w:szCs w:val="22"/>
        </w:rPr>
        <w:t>Desarrollo de nuevas necesidades en virtud del proceso de Elecciones Generales 2023 del Tribunal Supremo Electoral por Q50 millones</w:t>
      </w:r>
    </w:p>
    <w:p w14:paraId="578C2100" w14:textId="77777777" w:rsidR="004A66F0" w:rsidRPr="004A66F0" w:rsidRDefault="004A66F0" w:rsidP="008D7BB4">
      <w:pPr>
        <w:numPr>
          <w:ilvl w:val="1"/>
          <w:numId w:val="30"/>
        </w:numPr>
        <w:spacing w:line="276" w:lineRule="auto"/>
        <w:contextualSpacing/>
        <w:jc w:val="both"/>
        <w:rPr>
          <w:rFonts w:ascii="Times New Roman" w:eastAsia="Times New Roman" w:hAnsi="Times New Roman" w:cs="Calibri"/>
          <w:sz w:val="22"/>
          <w:szCs w:val="22"/>
        </w:rPr>
      </w:pPr>
      <w:r w:rsidRPr="004A66F0">
        <w:rPr>
          <w:rFonts w:ascii="Times New Roman" w:eastAsia="Times New Roman" w:hAnsi="Times New Roman" w:cs="Calibri"/>
          <w:sz w:val="22"/>
          <w:szCs w:val="22"/>
        </w:rPr>
        <w:t>Aumento del número de municipios con información catastral por Q25 millones.</w:t>
      </w:r>
    </w:p>
    <w:p w14:paraId="35DAF137" w14:textId="77777777" w:rsidR="004A66F0" w:rsidRPr="004A66F0" w:rsidRDefault="004A66F0" w:rsidP="008D7BB4">
      <w:pPr>
        <w:numPr>
          <w:ilvl w:val="1"/>
          <w:numId w:val="30"/>
        </w:numPr>
        <w:spacing w:line="276" w:lineRule="auto"/>
        <w:contextualSpacing/>
        <w:jc w:val="both"/>
        <w:rPr>
          <w:rFonts w:ascii="Times New Roman" w:eastAsia="Times New Roman" w:hAnsi="Times New Roman" w:cs="Calibri"/>
          <w:sz w:val="22"/>
          <w:szCs w:val="22"/>
        </w:rPr>
      </w:pPr>
      <w:r w:rsidRPr="004A66F0">
        <w:rPr>
          <w:rFonts w:ascii="Times New Roman" w:eastAsia="Times New Roman" w:hAnsi="Times New Roman" w:cs="Calibri"/>
          <w:sz w:val="22"/>
          <w:szCs w:val="22"/>
        </w:rPr>
        <w:t>Entre otros</w:t>
      </w:r>
    </w:p>
    <w:p w14:paraId="2B649A42" w14:textId="77777777" w:rsidR="004A66F0" w:rsidRPr="004A66F0" w:rsidRDefault="004A66F0" w:rsidP="008D7BB4">
      <w:pPr>
        <w:spacing w:line="276" w:lineRule="auto"/>
        <w:contextualSpacing/>
        <w:jc w:val="both"/>
        <w:rPr>
          <w:rFonts w:ascii="Times New Roman" w:eastAsia="Times New Roman" w:hAnsi="Times New Roman" w:cs="Calibri"/>
          <w:sz w:val="22"/>
          <w:szCs w:val="22"/>
        </w:rPr>
      </w:pPr>
    </w:p>
    <w:p w14:paraId="4D7E9032" w14:textId="77777777" w:rsidR="004A66F0" w:rsidRPr="00FE75C5" w:rsidRDefault="004A66F0" w:rsidP="008D7BB4">
      <w:pPr>
        <w:spacing w:line="276" w:lineRule="auto"/>
        <w:contextualSpacing/>
        <w:jc w:val="both"/>
        <w:rPr>
          <w:rFonts w:ascii="Times New Roman" w:eastAsia="Times New Roman" w:hAnsi="Times New Roman" w:cs="Calibri"/>
          <w:sz w:val="22"/>
          <w:szCs w:val="22"/>
        </w:rPr>
      </w:pPr>
      <w:r w:rsidRPr="00FE75C5">
        <w:rPr>
          <w:rFonts w:ascii="Times New Roman" w:eastAsia="Times New Roman" w:hAnsi="Times New Roman" w:cs="Calibri"/>
          <w:sz w:val="22"/>
          <w:szCs w:val="22"/>
        </w:rPr>
        <w:t>Derivado de los ingresos y gastos que se esperan para 2023, el déficit fiscal podría ubicarse en torno al 2.5% del PIB. Asimismo, el comportamiento que registre la economía en 2023 será determinante en el nivel de recaudación tributaria, de acuerdo al Banco de Guatemala la economía crecería entre 2.5% - 4.5%, de esa cuenta, es posible que la carga tributaria se ubique en al menos 10.9%.</w:t>
      </w:r>
    </w:p>
    <w:p w14:paraId="0B6EAD2D" w14:textId="77777777" w:rsidR="004A66F0" w:rsidRPr="00FE75C5" w:rsidRDefault="004A66F0" w:rsidP="008D7BB4">
      <w:pPr>
        <w:spacing w:line="276" w:lineRule="auto"/>
        <w:contextualSpacing/>
        <w:jc w:val="both"/>
        <w:rPr>
          <w:rFonts w:ascii="Times New Roman" w:eastAsia="Times New Roman" w:hAnsi="Times New Roman" w:cs="Calibri"/>
          <w:sz w:val="22"/>
          <w:szCs w:val="22"/>
        </w:rPr>
      </w:pPr>
    </w:p>
    <w:p w14:paraId="2FF6571D" w14:textId="77777777" w:rsidR="004A66F0" w:rsidRPr="00FE75C5" w:rsidRDefault="004A66F0" w:rsidP="008D7BB4">
      <w:pPr>
        <w:spacing w:line="276" w:lineRule="auto"/>
        <w:contextualSpacing/>
        <w:jc w:val="both"/>
        <w:rPr>
          <w:rFonts w:ascii="Times New Roman" w:eastAsia="Times New Roman" w:hAnsi="Times New Roman" w:cs="Times New Roman"/>
          <w:sz w:val="22"/>
          <w:szCs w:val="22"/>
        </w:rPr>
      </w:pPr>
      <w:r w:rsidRPr="00FE75C5">
        <w:rPr>
          <w:rFonts w:ascii="Times New Roman" w:eastAsia="Times New Roman" w:hAnsi="Times New Roman" w:cs="Times New Roman"/>
          <w:sz w:val="22"/>
          <w:szCs w:val="22"/>
        </w:rPr>
        <w:t xml:space="preserve">El gasto público podría ubicarse en torno al 14.0% del PIB y las fuentes de endeudamiento con las que se cuenta para su financiamiento son la emisión de Bonos del Tesoro autorizada por el Congreso por Q15,526.5 millones y se prevé que podrían recibirse desembolsos de préstamos externos por </w:t>
      </w:r>
      <w:r w:rsidRPr="00FE75C5">
        <w:rPr>
          <w:rFonts w:ascii="Times New Roman" w:eastAsia="Times New Roman" w:hAnsi="Times New Roman" w:cs="Times New Roman"/>
          <w:sz w:val="22"/>
          <w:szCs w:val="22"/>
        </w:rPr>
        <w:lastRenderedPageBreak/>
        <w:t xml:space="preserve">Q3,096.7 millones. Resaltando para este año se daría uso a los recursos de caja por el equivalente a Q8,477.9 millones, que se generaron del aumento de depósitos del gobierno en 2022. </w:t>
      </w:r>
    </w:p>
    <w:p w14:paraId="1878BD1E" w14:textId="77777777" w:rsidR="004A66F0" w:rsidRPr="004A66F0" w:rsidRDefault="004A66F0" w:rsidP="008D7BB4">
      <w:pPr>
        <w:spacing w:line="276" w:lineRule="auto"/>
        <w:contextualSpacing/>
        <w:jc w:val="both"/>
        <w:rPr>
          <w:rFonts w:ascii="Times New Roman" w:eastAsia="Times New Roman" w:hAnsi="Times New Roman" w:cs="Calibri"/>
          <w:sz w:val="22"/>
          <w:szCs w:val="22"/>
        </w:rPr>
      </w:pPr>
    </w:p>
    <w:p w14:paraId="6AFBE99C" w14:textId="77777777" w:rsidR="004A66F0" w:rsidRPr="004A66F0" w:rsidRDefault="004A66F0" w:rsidP="008D7BB4">
      <w:pPr>
        <w:spacing w:line="276" w:lineRule="auto"/>
        <w:contextualSpacing/>
        <w:jc w:val="both"/>
        <w:rPr>
          <w:rFonts w:ascii="Times New Roman" w:eastAsia="Times New Roman" w:hAnsi="Times New Roman" w:cs="Calibri"/>
          <w:sz w:val="22"/>
          <w:szCs w:val="22"/>
        </w:rPr>
      </w:pPr>
      <w:r w:rsidRPr="004A66F0">
        <w:rPr>
          <w:rFonts w:ascii="Times New Roman" w:eastAsia="Times New Roman" w:hAnsi="Times New Roman" w:cs="Calibri"/>
          <w:sz w:val="22"/>
          <w:szCs w:val="22"/>
        </w:rPr>
        <w:t xml:space="preserve">Por último, la deuda pública respecto al PIB se ubicaría en 28.5%, disminuyendo en 0.8% respecto al 2022, esto debido a que el saldo de la deuda crece a un ritmo menor de lo que está creciendo el PIB nominal que es la base del indicador y por ello al final del período este indicador disminuye.  </w:t>
      </w:r>
    </w:p>
    <w:p w14:paraId="5D3DEAF9" w14:textId="77777777" w:rsidR="004A66F0" w:rsidRPr="004A66F0" w:rsidRDefault="004A66F0" w:rsidP="008D7BB4">
      <w:pPr>
        <w:spacing w:line="276" w:lineRule="auto"/>
        <w:contextualSpacing/>
        <w:jc w:val="both"/>
        <w:rPr>
          <w:rFonts w:ascii="Times New Roman" w:eastAsia="Times New Roman" w:hAnsi="Times New Roman" w:cs="Calibri"/>
          <w:sz w:val="22"/>
          <w:szCs w:val="22"/>
        </w:rPr>
      </w:pPr>
    </w:p>
    <w:p w14:paraId="2B6C427A" w14:textId="021211F0" w:rsidR="004A66F0" w:rsidRPr="004A66F0" w:rsidRDefault="00FE0B42" w:rsidP="008D7BB4">
      <w:pPr>
        <w:spacing w:line="276" w:lineRule="auto"/>
        <w:contextualSpacing/>
        <w:jc w:val="center"/>
        <w:rPr>
          <w:rFonts w:ascii="Times New Roman" w:eastAsia="Times New Roman" w:hAnsi="Times New Roman" w:cs="Calibri"/>
          <w:b/>
          <w:sz w:val="22"/>
          <w:szCs w:val="22"/>
        </w:rPr>
      </w:pPr>
      <w:bookmarkStart w:id="119" w:name="_Toc125534816"/>
      <w:r w:rsidRPr="0014283B">
        <w:rPr>
          <w:rFonts w:ascii="Times New Roman" w:hAnsi="Times New Roman" w:cs="Times New Roman"/>
          <w:b/>
          <w:bCs/>
          <w:sz w:val="22"/>
          <w:szCs w:val="22"/>
        </w:rPr>
        <w:t xml:space="preserve">Tabla </w:t>
      </w:r>
      <w:r w:rsidRPr="0014283B">
        <w:rPr>
          <w:rFonts w:ascii="Times New Roman" w:hAnsi="Times New Roman" w:cs="Times New Roman"/>
          <w:b/>
          <w:bCs/>
          <w:sz w:val="22"/>
          <w:szCs w:val="22"/>
        </w:rPr>
        <w:fldChar w:fldCharType="begin"/>
      </w:r>
      <w:r w:rsidRPr="0014283B">
        <w:rPr>
          <w:rFonts w:ascii="Times New Roman" w:hAnsi="Times New Roman" w:cs="Times New Roman"/>
          <w:b/>
          <w:bCs/>
          <w:sz w:val="22"/>
          <w:szCs w:val="22"/>
        </w:rPr>
        <w:instrText xml:space="preserve"> SEQ Tabla \* ARABIC </w:instrText>
      </w:r>
      <w:r w:rsidRPr="0014283B">
        <w:rPr>
          <w:rFonts w:ascii="Times New Roman" w:hAnsi="Times New Roman" w:cs="Times New Roman"/>
          <w:b/>
          <w:bCs/>
          <w:sz w:val="22"/>
          <w:szCs w:val="22"/>
        </w:rPr>
        <w:fldChar w:fldCharType="separate"/>
      </w:r>
      <w:r w:rsidR="006F4BE5">
        <w:rPr>
          <w:rFonts w:ascii="Times New Roman" w:hAnsi="Times New Roman" w:cs="Times New Roman"/>
          <w:b/>
          <w:bCs/>
          <w:noProof/>
          <w:sz w:val="22"/>
          <w:szCs w:val="22"/>
        </w:rPr>
        <w:t>7</w:t>
      </w:r>
      <w:r w:rsidRPr="0014283B">
        <w:rPr>
          <w:rFonts w:ascii="Times New Roman" w:hAnsi="Times New Roman" w:cs="Times New Roman"/>
          <w:b/>
          <w:bCs/>
          <w:sz w:val="22"/>
          <w:szCs w:val="22"/>
        </w:rPr>
        <w:fldChar w:fldCharType="end"/>
      </w:r>
      <w:r w:rsidRPr="0014283B">
        <w:rPr>
          <w:rFonts w:ascii="Times New Roman" w:hAnsi="Times New Roman" w:cs="Times New Roman"/>
          <w:b/>
          <w:bCs/>
          <w:sz w:val="22"/>
          <w:szCs w:val="22"/>
        </w:rPr>
        <w:t>.</w:t>
      </w:r>
      <w:r w:rsidRPr="0014283B">
        <w:rPr>
          <w:sz w:val="22"/>
          <w:szCs w:val="22"/>
        </w:rPr>
        <w:t xml:space="preserve"> </w:t>
      </w:r>
      <w:r w:rsidR="004A66F0" w:rsidRPr="004A66F0">
        <w:rPr>
          <w:rFonts w:ascii="Times New Roman" w:eastAsia="Times New Roman" w:hAnsi="Times New Roman" w:cs="Calibri"/>
          <w:b/>
          <w:sz w:val="22"/>
          <w:szCs w:val="22"/>
        </w:rPr>
        <w:t>Situación Financiera Resumida 2023</w:t>
      </w:r>
      <w:bookmarkEnd w:id="119"/>
    </w:p>
    <w:p w14:paraId="733F0AFF" w14:textId="77777777" w:rsidR="004A66F0" w:rsidRPr="004A66F0" w:rsidRDefault="004A66F0" w:rsidP="008D7BB4">
      <w:pPr>
        <w:spacing w:line="276" w:lineRule="auto"/>
        <w:contextualSpacing/>
        <w:jc w:val="center"/>
        <w:rPr>
          <w:rFonts w:ascii="Times New Roman" w:eastAsia="Times New Roman" w:hAnsi="Times New Roman" w:cs="Calibri"/>
          <w:sz w:val="22"/>
          <w:szCs w:val="22"/>
        </w:rPr>
      </w:pPr>
      <w:r w:rsidRPr="004A66F0">
        <w:rPr>
          <w:rFonts w:ascii="Times New Roman" w:eastAsia="Times New Roman" w:hAnsi="Times New Roman" w:cs="Calibri"/>
          <w:sz w:val="22"/>
          <w:szCs w:val="22"/>
        </w:rPr>
        <w:t>Millones de quetzales y porcentajes</w:t>
      </w:r>
    </w:p>
    <w:tbl>
      <w:tblPr>
        <w:tblW w:w="7220" w:type="dxa"/>
        <w:jc w:val="center"/>
        <w:tblCellMar>
          <w:left w:w="70" w:type="dxa"/>
          <w:right w:w="70" w:type="dxa"/>
        </w:tblCellMar>
        <w:tblLook w:val="04A0" w:firstRow="1" w:lastRow="0" w:firstColumn="1" w:lastColumn="0" w:noHBand="0" w:noVBand="1"/>
      </w:tblPr>
      <w:tblGrid>
        <w:gridCol w:w="3680"/>
        <w:gridCol w:w="1880"/>
        <w:gridCol w:w="1660"/>
      </w:tblGrid>
      <w:tr w:rsidR="004A66F0" w:rsidRPr="004A66F0" w14:paraId="0D348D91" w14:textId="77777777" w:rsidTr="00F85317">
        <w:trPr>
          <w:trHeight w:val="585"/>
          <w:jc w:val="center"/>
        </w:trPr>
        <w:tc>
          <w:tcPr>
            <w:tcW w:w="3680" w:type="dxa"/>
            <w:tcBorders>
              <w:top w:val="single" w:sz="4" w:space="0" w:color="auto"/>
              <w:left w:val="single" w:sz="8" w:space="0" w:color="000000"/>
              <w:bottom w:val="single" w:sz="8" w:space="0" w:color="000000"/>
              <w:right w:val="single" w:sz="8" w:space="0" w:color="000000"/>
            </w:tcBorders>
            <w:shd w:val="clear" w:color="000000" w:fill="ACB9CA"/>
            <w:vAlign w:val="center"/>
            <w:hideMark/>
          </w:tcPr>
          <w:p w14:paraId="5495E02E" w14:textId="77777777" w:rsidR="004A66F0" w:rsidRPr="004A66F0" w:rsidRDefault="004A66F0" w:rsidP="008D7BB4">
            <w:pPr>
              <w:spacing w:line="276" w:lineRule="auto"/>
              <w:contextualSpacing/>
              <w:jc w:val="center"/>
              <w:rPr>
                <w:rFonts w:ascii="Times New Roman" w:eastAsia="Times New Roman" w:hAnsi="Times New Roman" w:cs="Calibri"/>
                <w:b/>
                <w:bCs/>
                <w:sz w:val="20"/>
                <w:szCs w:val="22"/>
                <w:lang w:eastAsia="es-GT"/>
              </w:rPr>
            </w:pPr>
            <w:r w:rsidRPr="004A66F0">
              <w:rPr>
                <w:rFonts w:ascii="Times New Roman" w:eastAsia="Times New Roman" w:hAnsi="Times New Roman" w:cs="Calibri"/>
                <w:b/>
                <w:bCs/>
                <w:sz w:val="20"/>
                <w:szCs w:val="22"/>
                <w:lang w:eastAsia="es-GT"/>
              </w:rPr>
              <w:t>Descripción</w:t>
            </w:r>
          </w:p>
        </w:tc>
        <w:tc>
          <w:tcPr>
            <w:tcW w:w="1880" w:type="dxa"/>
            <w:tcBorders>
              <w:top w:val="single" w:sz="4" w:space="0" w:color="auto"/>
              <w:left w:val="nil"/>
              <w:bottom w:val="single" w:sz="8" w:space="0" w:color="000000"/>
              <w:right w:val="single" w:sz="8" w:space="0" w:color="000000"/>
            </w:tcBorders>
            <w:shd w:val="clear" w:color="000000" w:fill="ACB9CA"/>
            <w:vAlign w:val="center"/>
            <w:hideMark/>
          </w:tcPr>
          <w:p w14:paraId="14C6352E" w14:textId="77777777" w:rsidR="004A66F0" w:rsidRPr="004A66F0" w:rsidRDefault="004A66F0" w:rsidP="008D7BB4">
            <w:pPr>
              <w:spacing w:line="276" w:lineRule="auto"/>
              <w:contextualSpacing/>
              <w:jc w:val="center"/>
              <w:rPr>
                <w:rFonts w:ascii="Times New Roman" w:eastAsia="Times New Roman" w:hAnsi="Times New Roman" w:cs="Calibri"/>
                <w:b/>
                <w:bCs/>
                <w:sz w:val="20"/>
                <w:szCs w:val="22"/>
                <w:lang w:eastAsia="es-GT"/>
              </w:rPr>
            </w:pPr>
            <w:r w:rsidRPr="004A66F0">
              <w:rPr>
                <w:rFonts w:ascii="Times New Roman" w:eastAsia="Times New Roman" w:hAnsi="Times New Roman" w:cs="Calibri"/>
                <w:b/>
                <w:bCs/>
                <w:sz w:val="20"/>
                <w:szCs w:val="22"/>
                <w:lang w:eastAsia="es-GT"/>
              </w:rPr>
              <w:t>Millones de Quetzales</w:t>
            </w:r>
          </w:p>
        </w:tc>
        <w:tc>
          <w:tcPr>
            <w:tcW w:w="1660" w:type="dxa"/>
            <w:tcBorders>
              <w:top w:val="single" w:sz="4" w:space="0" w:color="auto"/>
              <w:left w:val="nil"/>
              <w:bottom w:val="single" w:sz="8" w:space="0" w:color="000000"/>
              <w:right w:val="single" w:sz="8" w:space="0" w:color="000000"/>
            </w:tcBorders>
            <w:shd w:val="clear" w:color="000000" w:fill="ACB9CA"/>
            <w:vAlign w:val="center"/>
            <w:hideMark/>
          </w:tcPr>
          <w:p w14:paraId="12F2F1D7" w14:textId="77777777" w:rsidR="004A66F0" w:rsidRPr="004A66F0" w:rsidRDefault="004A66F0" w:rsidP="008D7BB4">
            <w:pPr>
              <w:spacing w:line="276" w:lineRule="auto"/>
              <w:contextualSpacing/>
              <w:jc w:val="center"/>
              <w:rPr>
                <w:rFonts w:ascii="Times New Roman" w:eastAsia="Times New Roman" w:hAnsi="Times New Roman" w:cs="Calibri"/>
                <w:b/>
                <w:bCs/>
                <w:sz w:val="20"/>
                <w:szCs w:val="22"/>
                <w:lang w:eastAsia="es-GT"/>
              </w:rPr>
            </w:pPr>
            <w:r w:rsidRPr="004A66F0">
              <w:rPr>
                <w:rFonts w:ascii="Times New Roman" w:eastAsia="Times New Roman" w:hAnsi="Times New Roman" w:cs="Calibri"/>
                <w:b/>
                <w:bCs/>
                <w:sz w:val="20"/>
                <w:szCs w:val="22"/>
                <w:lang w:eastAsia="es-GT"/>
              </w:rPr>
              <w:t>Porcentajes del PIB</w:t>
            </w:r>
          </w:p>
        </w:tc>
      </w:tr>
      <w:tr w:rsidR="004A66F0" w:rsidRPr="004A66F0" w14:paraId="19BA42AA" w14:textId="77777777" w:rsidTr="00F85317">
        <w:trPr>
          <w:trHeight w:val="300"/>
          <w:jc w:val="center"/>
        </w:trPr>
        <w:tc>
          <w:tcPr>
            <w:tcW w:w="3680" w:type="dxa"/>
            <w:tcBorders>
              <w:top w:val="nil"/>
              <w:left w:val="single" w:sz="8" w:space="0" w:color="000000"/>
              <w:bottom w:val="nil"/>
              <w:right w:val="single" w:sz="8" w:space="0" w:color="000000"/>
            </w:tcBorders>
            <w:vAlign w:val="center"/>
            <w:hideMark/>
          </w:tcPr>
          <w:p w14:paraId="34279997" w14:textId="77777777" w:rsidR="004A66F0" w:rsidRPr="004A66F0" w:rsidRDefault="004A66F0" w:rsidP="008D7BB4">
            <w:pPr>
              <w:spacing w:line="276" w:lineRule="auto"/>
              <w:contextualSpacing/>
              <w:rPr>
                <w:rFonts w:ascii="Times New Roman" w:eastAsia="Times New Roman" w:hAnsi="Times New Roman" w:cs="Calibri"/>
                <w:sz w:val="20"/>
                <w:szCs w:val="22"/>
                <w:lang w:eastAsia="es-GT"/>
              </w:rPr>
            </w:pPr>
            <w:r w:rsidRPr="004A66F0">
              <w:rPr>
                <w:rFonts w:ascii="Times New Roman" w:eastAsia="Times New Roman" w:hAnsi="Times New Roman" w:cs="Calibri"/>
                <w:sz w:val="20"/>
                <w:szCs w:val="22"/>
                <w:lang w:eastAsia="es-GT"/>
              </w:rPr>
              <w:t>Ingresos Totales</w:t>
            </w:r>
          </w:p>
        </w:tc>
        <w:tc>
          <w:tcPr>
            <w:tcW w:w="1880" w:type="dxa"/>
            <w:tcBorders>
              <w:top w:val="nil"/>
              <w:left w:val="nil"/>
              <w:bottom w:val="nil"/>
              <w:right w:val="single" w:sz="8" w:space="0" w:color="000000"/>
            </w:tcBorders>
            <w:vAlign w:val="center"/>
            <w:hideMark/>
          </w:tcPr>
          <w:p w14:paraId="6E3C0C3F" w14:textId="77777777" w:rsidR="004A66F0" w:rsidRPr="004A66F0" w:rsidRDefault="004A66F0" w:rsidP="008D7BB4">
            <w:pPr>
              <w:spacing w:line="276" w:lineRule="auto"/>
              <w:contextualSpacing/>
              <w:jc w:val="center"/>
              <w:rPr>
                <w:rFonts w:ascii="Times New Roman" w:eastAsia="Times New Roman" w:hAnsi="Times New Roman" w:cs="Calibri"/>
                <w:sz w:val="20"/>
                <w:szCs w:val="22"/>
                <w:lang w:eastAsia="es-GT"/>
              </w:rPr>
            </w:pPr>
            <w:r w:rsidRPr="004A66F0">
              <w:rPr>
                <w:rFonts w:ascii="Times New Roman" w:eastAsia="Times New Roman" w:hAnsi="Times New Roman" w:cs="Calibri"/>
                <w:sz w:val="20"/>
                <w:szCs w:val="22"/>
                <w:lang w:eastAsia="es-GT"/>
              </w:rPr>
              <w:t>91,094.0</w:t>
            </w:r>
          </w:p>
        </w:tc>
        <w:tc>
          <w:tcPr>
            <w:tcW w:w="1660" w:type="dxa"/>
            <w:tcBorders>
              <w:top w:val="nil"/>
              <w:left w:val="nil"/>
              <w:bottom w:val="nil"/>
              <w:right w:val="single" w:sz="8" w:space="0" w:color="000000"/>
            </w:tcBorders>
            <w:vAlign w:val="center"/>
            <w:hideMark/>
          </w:tcPr>
          <w:p w14:paraId="10AEB74A" w14:textId="77777777" w:rsidR="004A66F0" w:rsidRPr="004A66F0" w:rsidRDefault="004A66F0" w:rsidP="008D7BB4">
            <w:pPr>
              <w:spacing w:line="276" w:lineRule="auto"/>
              <w:contextualSpacing/>
              <w:jc w:val="center"/>
              <w:rPr>
                <w:rFonts w:ascii="Times New Roman" w:eastAsia="Times New Roman" w:hAnsi="Times New Roman" w:cs="Calibri"/>
                <w:sz w:val="20"/>
                <w:szCs w:val="22"/>
                <w:lang w:eastAsia="es-GT"/>
              </w:rPr>
            </w:pPr>
            <w:r w:rsidRPr="004A66F0">
              <w:rPr>
                <w:rFonts w:ascii="Times New Roman" w:eastAsia="Times New Roman" w:hAnsi="Times New Roman" w:cs="Calibri"/>
                <w:sz w:val="20"/>
                <w:szCs w:val="22"/>
                <w:lang w:eastAsia="es-GT"/>
              </w:rPr>
              <w:t>11.5</w:t>
            </w:r>
          </w:p>
        </w:tc>
      </w:tr>
      <w:tr w:rsidR="004A66F0" w:rsidRPr="004A66F0" w14:paraId="1E30A987" w14:textId="77777777" w:rsidTr="00F85317">
        <w:trPr>
          <w:trHeight w:val="300"/>
          <w:jc w:val="center"/>
        </w:trPr>
        <w:tc>
          <w:tcPr>
            <w:tcW w:w="3680" w:type="dxa"/>
            <w:tcBorders>
              <w:top w:val="nil"/>
              <w:left w:val="single" w:sz="8" w:space="0" w:color="000000"/>
              <w:bottom w:val="nil"/>
              <w:right w:val="single" w:sz="8" w:space="0" w:color="000000"/>
            </w:tcBorders>
            <w:vAlign w:val="center"/>
            <w:hideMark/>
          </w:tcPr>
          <w:p w14:paraId="199C30C1" w14:textId="77777777" w:rsidR="004A66F0" w:rsidRPr="004A66F0" w:rsidRDefault="004A66F0" w:rsidP="008D7BB4">
            <w:pPr>
              <w:spacing w:line="276" w:lineRule="auto"/>
              <w:ind w:firstLineChars="200" w:firstLine="400"/>
              <w:contextualSpacing/>
              <w:rPr>
                <w:rFonts w:ascii="Times New Roman" w:eastAsia="Times New Roman" w:hAnsi="Times New Roman" w:cs="Calibri"/>
                <w:sz w:val="20"/>
                <w:szCs w:val="22"/>
                <w:lang w:eastAsia="es-GT"/>
              </w:rPr>
            </w:pPr>
            <w:r w:rsidRPr="004A66F0">
              <w:rPr>
                <w:rFonts w:ascii="Times New Roman" w:eastAsia="Times New Roman" w:hAnsi="Times New Roman" w:cs="Calibri"/>
                <w:sz w:val="20"/>
                <w:szCs w:val="22"/>
                <w:lang w:eastAsia="es-GT"/>
              </w:rPr>
              <w:t>Ingresos Corrientes</w:t>
            </w:r>
          </w:p>
        </w:tc>
        <w:tc>
          <w:tcPr>
            <w:tcW w:w="1880" w:type="dxa"/>
            <w:tcBorders>
              <w:top w:val="nil"/>
              <w:left w:val="nil"/>
              <w:bottom w:val="nil"/>
              <w:right w:val="single" w:sz="8" w:space="0" w:color="000000"/>
            </w:tcBorders>
            <w:vAlign w:val="center"/>
            <w:hideMark/>
          </w:tcPr>
          <w:p w14:paraId="18070A0C" w14:textId="77777777" w:rsidR="004A66F0" w:rsidRPr="004A66F0" w:rsidRDefault="004A66F0" w:rsidP="008D7BB4">
            <w:pPr>
              <w:spacing w:line="276" w:lineRule="auto"/>
              <w:contextualSpacing/>
              <w:jc w:val="center"/>
              <w:rPr>
                <w:rFonts w:ascii="Times New Roman" w:eastAsia="Times New Roman" w:hAnsi="Times New Roman" w:cs="Calibri"/>
                <w:sz w:val="20"/>
                <w:szCs w:val="22"/>
                <w:lang w:eastAsia="es-GT"/>
              </w:rPr>
            </w:pPr>
            <w:r w:rsidRPr="004A66F0">
              <w:rPr>
                <w:rFonts w:ascii="Times New Roman" w:eastAsia="Times New Roman" w:hAnsi="Times New Roman" w:cs="Calibri"/>
                <w:sz w:val="20"/>
                <w:szCs w:val="22"/>
                <w:lang w:eastAsia="es-GT"/>
              </w:rPr>
              <w:t>90,971.8</w:t>
            </w:r>
          </w:p>
        </w:tc>
        <w:tc>
          <w:tcPr>
            <w:tcW w:w="1660" w:type="dxa"/>
            <w:tcBorders>
              <w:top w:val="nil"/>
              <w:left w:val="nil"/>
              <w:bottom w:val="nil"/>
              <w:right w:val="single" w:sz="8" w:space="0" w:color="000000"/>
            </w:tcBorders>
            <w:vAlign w:val="center"/>
            <w:hideMark/>
          </w:tcPr>
          <w:p w14:paraId="61192F19" w14:textId="77777777" w:rsidR="004A66F0" w:rsidRPr="004A66F0" w:rsidRDefault="004A66F0" w:rsidP="008D7BB4">
            <w:pPr>
              <w:spacing w:line="276" w:lineRule="auto"/>
              <w:contextualSpacing/>
              <w:jc w:val="center"/>
              <w:rPr>
                <w:rFonts w:ascii="Times New Roman" w:eastAsia="Times New Roman" w:hAnsi="Times New Roman" w:cs="Calibri"/>
                <w:sz w:val="20"/>
                <w:szCs w:val="22"/>
                <w:lang w:eastAsia="es-GT"/>
              </w:rPr>
            </w:pPr>
            <w:r w:rsidRPr="004A66F0">
              <w:rPr>
                <w:rFonts w:ascii="Times New Roman" w:eastAsia="Times New Roman" w:hAnsi="Times New Roman" w:cs="Calibri"/>
                <w:sz w:val="20"/>
                <w:szCs w:val="22"/>
                <w:lang w:eastAsia="es-GT"/>
              </w:rPr>
              <w:t>11.5</w:t>
            </w:r>
          </w:p>
        </w:tc>
      </w:tr>
      <w:tr w:rsidR="004A66F0" w:rsidRPr="004A66F0" w14:paraId="1AA1B290" w14:textId="77777777" w:rsidTr="00F85317">
        <w:trPr>
          <w:trHeight w:val="300"/>
          <w:jc w:val="center"/>
        </w:trPr>
        <w:tc>
          <w:tcPr>
            <w:tcW w:w="3680" w:type="dxa"/>
            <w:tcBorders>
              <w:top w:val="nil"/>
              <w:left w:val="single" w:sz="8" w:space="0" w:color="000000"/>
              <w:bottom w:val="nil"/>
              <w:right w:val="single" w:sz="8" w:space="0" w:color="000000"/>
            </w:tcBorders>
            <w:vAlign w:val="center"/>
            <w:hideMark/>
          </w:tcPr>
          <w:p w14:paraId="4BE4528B" w14:textId="77777777" w:rsidR="004A66F0" w:rsidRPr="004A66F0" w:rsidRDefault="004A66F0" w:rsidP="008D7BB4">
            <w:pPr>
              <w:spacing w:line="276" w:lineRule="auto"/>
              <w:contextualSpacing/>
              <w:rPr>
                <w:rFonts w:ascii="Times New Roman" w:eastAsia="Times New Roman" w:hAnsi="Times New Roman" w:cs="Calibri"/>
                <w:sz w:val="20"/>
                <w:szCs w:val="22"/>
                <w:lang w:eastAsia="es-GT"/>
              </w:rPr>
            </w:pPr>
            <w:r w:rsidRPr="004A66F0">
              <w:rPr>
                <w:rFonts w:ascii="Times New Roman" w:eastAsia="Times New Roman" w:hAnsi="Times New Roman" w:cs="Calibri"/>
                <w:sz w:val="20"/>
                <w:szCs w:val="22"/>
                <w:lang w:eastAsia="es-GT"/>
              </w:rPr>
              <w:t xml:space="preserve">            Ingresos Tributarios </w:t>
            </w:r>
          </w:p>
        </w:tc>
        <w:tc>
          <w:tcPr>
            <w:tcW w:w="1880" w:type="dxa"/>
            <w:tcBorders>
              <w:top w:val="nil"/>
              <w:left w:val="nil"/>
              <w:bottom w:val="nil"/>
              <w:right w:val="single" w:sz="8" w:space="0" w:color="000000"/>
            </w:tcBorders>
            <w:vAlign w:val="center"/>
            <w:hideMark/>
          </w:tcPr>
          <w:p w14:paraId="113F88AC" w14:textId="77777777" w:rsidR="004A66F0" w:rsidRPr="004A66F0" w:rsidRDefault="004A66F0" w:rsidP="008D7BB4">
            <w:pPr>
              <w:spacing w:line="276" w:lineRule="auto"/>
              <w:contextualSpacing/>
              <w:jc w:val="center"/>
              <w:rPr>
                <w:rFonts w:ascii="Times New Roman" w:eastAsia="Times New Roman" w:hAnsi="Times New Roman" w:cs="Calibri"/>
                <w:sz w:val="20"/>
                <w:szCs w:val="22"/>
                <w:lang w:eastAsia="es-GT"/>
              </w:rPr>
            </w:pPr>
            <w:r w:rsidRPr="004A66F0">
              <w:rPr>
                <w:rFonts w:ascii="Times New Roman" w:eastAsia="Times New Roman" w:hAnsi="Times New Roman" w:cs="Calibri"/>
                <w:sz w:val="20"/>
                <w:szCs w:val="22"/>
                <w:lang w:eastAsia="es-GT"/>
              </w:rPr>
              <w:t>86,247.6</w:t>
            </w:r>
          </w:p>
        </w:tc>
        <w:tc>
          <w:tcPr>
            <w:tcW w:w="1660" w:type="dxa"/>
            <w:tcBorders>
              <w:top w:val="nil"/>
              <w:left w:val="nil"/>
              <w:bottom w:val="nil"/>
              <w:right w:val="single" w:sz="8" w:space="0" w:color="000000"/>
            </w:tcBorders>
            <w:vAlign w:val="center"/>
            <w:hideMark/>
          </w:tcPr>
          <w:p w14:paraId="4D6AF0B8" w14:textId="77777777" w:rsidR="004A66F0" w:rsidRPr="004A66F0" w:rsidRDefault="004A66F0" w:rsidP="008D7BB4">
            <w:pPr>
              <w:spacing w:line="276" w:lineRule="auto"/>
              <w:contextualSpacing/>
              <w:jc w:val="center"/>
              <w:rPr>
                <w:rFonts w:ascii="Times New Roman" w:eastAsia="Times New Roman" w:hAnsi="Times New Roman" w:cs="Calibri"/>
                <w:sz w:val="20"/>
                <w:szCs w:val="22"/>
                <w:lang w:eastAsia="es-GT"/>
              </w:rPr>
            </w:pPr>
            <w:r w:rsidRPr="004A66F0">
              <w:rPr>
                <w:rFonts w:ascii="Times New Roman" w:eastAsia="Times New Roman" w:hAnsi="Times New Roman" w:cs="Calibri"/>
                <w:sz w:val="20"/>
                <w:szCs w:val="22"/>
                <w:lang w:eastAsia="es-GT"/>
              </w:rPr>
              <w:t>10.9</w:t>
            </w:r>
          </w:p>
        </w:tc>
      </w:tr>
      <w:tr w:rsidR="004A66F0" w:rsidRPr="004A66F0" w14:paraId="49254A51" w14:textId="77777777" w:rsidTr="00F85317">
        <w:trPr>
          <w:trHeight w:val="300"/>
          <w:jc w:val="center"/>
        </w:trPr>
        <w:tc>
          <w:tcPr>
            <w:tcW w:w="3680" w:type="dxa"/>
            <w:tcBorders>
              <w:top w:val="nil"/>
              <w:left w:val="single" w:sz="8" w:space="0" w:color="000000"/>
              <w:bottom w:val="nil"/>
              <w:right w:val="single" w:sz="8" w:space="0" w:color="000000"/>
            </w:tcBorders>
            <w:vAlign w:val="center"/>
            <w:hideMark/>
          </w:tcPr>
          <w:p w14:paraId="484C117C" w14:textId="77777777" w:rsidR="004A66F0" w:rsidRPr="004A66F0" w:rsidRDefault="004A66F0" w:rsidP="008D7BB4">
            <w:pPr>
              <w:spacing w:line="276" w:lineRule="auto"/>
              <w:ind w:firstLineChars="100" w:firstLine="200"/>
              <w:contextualSpacing/>
              <w:rPr>
                <w:rFonts w:ascii="Times New Roman" w:eastAsia="Times New Roman" w:hAnsi="Times New Roman" w:cs="Calibri"/>
                <w:sz w:val="20"/>
                <w:szCs w:val="22"/>
                <w:lang w:eastAsia="es-GT"/>
              </w:rPr>
            </w:pPr>
            <w:r w:rsidRPr="004A66F0">
              <w:rPr>
                <w:rFonts w:ascii="Times New Roman" w:eastAsia="Times New Roman" w:hAnsi="Times New Roman" w:cs="Calibri"/>
                <w:sz w:val="20"/>
                <w:szCs w:val="22"/>
                <w:lang w:eastAsia="es-GT"/>
              </w:rPr>
              <w:t>Gastos Totales</w:t>
            </w:r>
          </w:p>
        </w:tc>
        <w:tc>
          <w:tcPr>
            <w:tcW w:w="1880" w:type="dxa"/>
            <w:tcBorders>
              <w:top w:val="nil"/>
              <w:left w:val="nil"/>
              <w:bottom w:val="nil"/>
              <w:right w:val="single" w:sz="8" w:space="0" w:color="000000"/>
            </w:tcBorders>
            <w:vAlign w:val="center"/>
            <w:hideMark/>
          </w:tcPr>
          <w:p w14:paraId="29478D5A" w14:textId="77777777" w:rsidR="004A66F0" w:rsidRPr="004A66F0" w:rsidRDefault="004A66F0" w:rsidP="008D7BB4">
            <w:pPr>
              <w:spacing w:line="276" w:lineRule="auto"/>
              <w:contextualSpacing/>
              <w:jc w:val="center"/>
              <w:rPr>
                <w:rFonts w:ascii="Times New Roman" w:eastAsia="Times New Roman" w:hAnsi="Times New Roman" w:cs="Calibri"/>
                <w:sz w:val="20"/>
                <w:szCs w:val="22"/>
                <w:lang w:eastAsia="es-GT"/>
              </w:rPr>
            </w:pPr>
            <w:r w:rsidRPr="004A66F0">
              <w:rPr>
                <w:rFonts w:ascii="Times New Roman" w:eastAsia="Times New Roman" w:hAnsi="Times New Roman" w:cs="Calibri"/>
                <w:sz w:val="20"/>
                <w:szCs w:val="22"/>
                <w:lang w:eastAsia="es-GT"/>
              </w:rPr>
              <w:t>111,014.9</w:t>
            </w:r>
          </w:p>
        </w:tc>
        <w:tc>
          <w:tcPr>
            <w:tcW w:w="1660" w:type="dxa"/>
            <w:tcBorders>
              <w:top w:val="nil"/>
              <w:left w:val="nil"/>
              <w:bottom w:val="nil"/>
              <w:right w:val="single" w:sz="8" w:space="0" w:color="000000"/>
            </w:tcBorders>
            <w:vAlign w:val="center"/>
            <w:hideMark/>
          </w:tcPr>
          <w:p w14:paraId="39067E3A" w14:textId="77777777" w:rsidR="004A66F0" w:rsidRPr="004A66F0" w:rsidRDefault="004A66F0" w:rsidP="008D7BB4">
            <w:pPr>
              <w:spacing w:line="276" w:lineRule="auto"/>
              <w:contextualSpacing/>
              <w:jc w:val="center"/>
              <w:rPr>
                <w:rFonts w:ascii="Times New Roman" w:eastAsia="Times New Roman" w:hAnsi="Times New Roman" w:cs="Calibri"/>
                <w:sz w:val="20"/>
                <w:szCs w:val="22"/>
                <w:lang w:eastAsia="es-GT"/>
              </w:rPr>
            </w:pPr>
            <w:r w:rsidRPr="004A66F0">
              <w:rPr>
                <w:rFonts w:ascii="Times New Roman" w:eastAsia="Times New Roman" w:hAnsi="Times New Roman" w:cs="Calibri"/>
                <w:sz w:val="20"/>
                <w:szCs w:val="22"/>
                <w:lang w:eastAsia="es-GT"/>
              </w:rPr>
              <w:t>14.0</w:t>
            </w:r>
          </w:p>
        </w:tc>
      </w:tr>
      <w:tr w:rsidR="004A66F0" w:rsidRPr="004A66F0" w14:paraId="7DAF1372" w14:textId="77777777" w:rsidTr="00F85317">
        <w:trPr>
          <w:trHeight w:val="300"/>
          <w:jc w:val="center"/>
        </w:trPr>
        <w:tc>
          <w:tcPr>
            <w:tcW w:w="3680" w:type="dxa"/>
            <w:tcBorders>
              <w:top w:val="nil"/>
              <w:left w:val="single" w:sz="8" w:space="0" w:color="000000"/>
              <w:bottom w:val="nil"/>
              <w:right w:val="single" w:sz="8" w:space="0" w:color="000000"/>
            </w:tcBorders>
            <w:vAlign w:val="center"/>
            <w:hideMark/>
          </w:tcPr>
          <w:p w14:paraId="36A0D7B3" w14:textId="77777777" w:rsidR="004A66F0" w:rsidRPr="004A66F0" w:rsidRDefault="004A66F0" w:rsidP="008D7BB4">
            <w:pPr>
              <w:spacing w:line="276" w:lineRule="auto"/>
              <w:ind w:firstLineChars="200" w:firstLine="400"/>
              <w:contextualSpacing/>
              <w:rPr>
                <w:rFonts w:ascii="Times New Roman" w:eastAsia="Times New Roman" w:hAnsi="Times New Roman" w:cs="Calibri"/>
                <w:sz w:val="20"/>
                <w:szCs w:val="22"/>
                <w:lang w:eastAsia="es-GT"/>
              </w:rPr>
            </w:pPr>
            <w:r w:rsidRPr="004A66F0">
              <w:rPr>
                <w:rFonts w:ascii="Times New Roman" w:eastAsia="Times New Roman" w:hAnsi="Times New Roman" w:cs="Calibri"/>
                <w:sz w:val="20"/>
                <w:szCs w:val="22"/>
                <w:lang w:eastAsia="es-GT"/>
              </w:rPr>
              <w:t>Gastos Corrientes</w:t>
            </w:r>
          </w:p>
        </w:tc>
        <w:tc>
          <w:tcPr>
            <w:tcW w:w="1880" w:type="dxa"/>
            <w:tcBorders>
              <w:top w:val="nil"/>
              <w:left w:val="nil"/>
              <w:bottom w:val="nil"/>
              <w:right w:val="single" w:sz="8" w:space="0" w:color="000000"/>
            </w:tcBorders>
            <w:vAlign w:val="center"/>
            <w:hideMark/>
          </w:tcPr>
          <w:p w14:paraId="537FB270" w14:textId="77777777" w:rsidR="004A66F0" w:rsidRPr="004A66F0" w:rsidRDefault="004A66F0" w:rsidP="008D7BB4">
            <w:pPr>
              <w:spacing w:line="276" w:lineRule="auto"/>
              <w:contextualSpacing/>
              <w:jc w:val="center"/>
              <w:rPr>
                <w:rFonts w:ascii="Times New Roman" w:eastAsia="Times New Roman" w:hAnsi="Times New Roman" w:cs="Calibri"/>
                <w:sz w:val="20"/>
                <w:szCs w:val="22"/>
                <w:lang w:eastAsia="es-GT"/>
              </w:rPr>
            </w:pPr>
            <w:r w:rsidRPr="004A66F0">
              <w:rPr>
                <w:rFonts w:ascii="Times New Roman" w:eastAsia="Times New Roman" w:hAnsi="Times New Roman" w:cs="Calibri"/>
                <w:sz w:val="20"/>
                <w:szCs w:val="22"/>
                <w:lang w:eastAsia="es-GT"/>
              </w:rPr>
              <w:t>90,698.7</w:t>
            </w:r>
          </w:p>
        </w:tc>
        <w:tc>
          <w:tcPr>
            <w:tcW w:w="1660" w:type="dxa"/>
            <w:tcBorders>
              <w:top w:val="nil"/>
              <w:left w:val="nil"/>
              <w:bottom w:val="nil"/>
              <w:right w:val="single" w:sz="8" w:space="0" w:color="000000"/>
            </w:tcBorders>
            <w:vAlign w:val="center"/>
            <w:hideMark/>
          </w:tcPr>
          <w:p w14:paraId="64ED464E" w14:textId="77777777" w:rsidR="004A66F0" w:rsidRPr="004A66F0" w:rsidRDefault="004A66F0" w:rsidP="008D7BB4">
            <w:pPr>
              <w:spacing w:line="276" w:lineRule="auto"/>
              <w:contextualSpacing/>
              <w:jc w:val="center"/>
              <w:rPr>
                <w:rFonts w:ascii="Times New Roman" w:eastAsia="Times New Roman" w:hAnsi="Times New Roman" w:cs="Calibri"/>
                <w:sz w:val="20"/>
                <w:szCs w:val="22"/>
                <w:lang w:eastAsia="es-GT"/>
              </w:rPr>
            </w:pPr>
            <w:r w:rsidRPr="004A66F0">
              <w:rPr>
                <w:rFonts w:ascii="Times New Roman" w:eastAsia="Times New Roman" w:hAnsi="Times New Roman" w:cs="Calibri"/>
                <w:sz w:val="20"/>
                <w:szCs w:val="22"/>
                <w:lang w:eastAsia="es-GT"/>
              </w:rPr>
              <w:t>11.4</w:t>
            </w:r>
          </w:p>
        </w:tc>
      </w:tr>
      <w:tr w:rsidR="004A66F0" w:rsidRPr="004A66F0" w14:paraId="3F661488" w14:textId="77777777" w:rsidTr="00F85317">
        <w:trPr>
          <w:trHeight w:val="300"/>
          <w:jc w:val="center"/>
        </w:trPr>
        <w:tc>
          <w:tcPr>
            <w:tcW w:w="3680" w:type="dxa"/>
            <w:tcBorders>
              <w:top w:val="nil"/>
              <w:left w:val="single" w:sz="8" w:space="0" w:color="000000"/>
              <w:bottom w:val="nil"/>
              <w:right w:val="single" w:sz="8" w:space="0" w:color="000000"/>
            </w:tcBorders>
            <w:vAlign w:val="center"/>
            <w:hideMark/>
          </w:tcPr>
          <w:p w14:paraId="4089F8F2" w14:textId="77777777" w:rsidR="004A66F0" w:rsidRPr="004A66F0" w:rsidRDefault="004A66F0" w:rsidP="008D7BB4">
            <w:pPr>
              <w:spacing w:line="276" w:lineRule="auto"/>
              <w:ind w:firstLineChars="200" w:firstLine="400"/>
              <w:contextualSpacing/>
              <w:rPr>
                <w:rFonts w:ascii="Times New Roman" w:eastAsia="Times New Roman" w:hAnsi="Times New Roman" w:cs="Calibri"/>
                <w:sz w:val="20"/>
                <w:szCs w:val="22"/>
                <w:lang w:eastAsia="es-GT"/>
              </w:rPr>
            </w:pPr>
            <w:r w:rsidRPr="004A66F0">
              <w:rPr>
                <w:rFonts w:ascii="Times New Roman" w:eastAsia="Times New Roman" w:hAnsi="Times New Roman" w:cs="Calibri"/>
                <w:sz w:val="20"/>
                <w:szCs w:val="22"/>
                <w:lang w:eastAsia="es-GT"/>
              </w:rPr>
              <w:t xml:space="preserve">Gastos de Capital </w:t>
            </w:r>
          </w:p>
        </w:tc>
        <w:tc>
          <w:tcPr>
            <w:tcW w:w="1880" w:type="dxa"/>
            <w:tcBorders>
              <w:top w:val="nil"/>
              <w:left w:val="nil"/>
              <w:bottom w:val="nil"/>
              <w:right w:val="single" w:sz="8" w:space="0" w:color="000000"/>
            </w:tcBorders>
            <w:vAlign w:val="center"/>
            <w:hideMark/>
          </w:tcPr>
          <w:p w14:paraId="08203190" w14:textId="77777777" w:rsidR="004A66F0" w:rsidRPr="004A66F0" w:rsidRDefault="004A66F0" w:rsidP="008D7BB4">
            <w:pPr>
              <w:spacing w:line="276" w:lineRule="auto"/>
              <w:contextualSpacing/>
              <w:jc w:val="center"/>
              <w:rPr>
                <w:rFonts w:ascii="Times New Roman" w:eastAsia="Times New Roman" w:hAnsi="Times New Roman" w:cs="Calibri"/>
                <w:sz w:val="20"/>
                <w:szCs w:val="22"/>
                <w:lang w:eastAsia="es-GT"/>
              </w:rPr>
            </w:pPr>
            <w:r w:rsidRPr="004A66F0">
              <w:rPr>
                <w:rFonts w:ascii="Times New Roman" w:eastAsia="Times New Roman" w:hAnsi="Times New Roman" w:cs="Calibri"/>
                <w:sz w:val="20"/>
                <w:szCs w:val="22"/>
                <w:lang w:eastAsia="es-GT"/>
              </w:rPr>
              <w:t>20,316.2</w:t>
            </w:r>
          </w:p>
        </w:tc>
        <w:tc>
          <w:tcPr>
            <w:tcW w:w="1660" w:type="dxa"/>
            <w:tcBorders>
              <w:top w:val="nil"/>
              <w:left w:val="nil"/>
              <w:bottom w:val="nil"/>
              <w:right w:val="single" w:sz="8" w:space="0" w:color="000000"/>
            </w:tcBorders>
            <w:vAlign w:val="center"/>
            <w:hideMark/>
          </w:tcPr>
          <w:p w14:paraId="561A0607" w14:textId="77777777" w:rsidR="004A66F0" w:rsidRPr="004A66F0" w:rsidRDefault="004A66F0" w:rsidP="008D7BB4">
            <w:pPr>
              <w:spacing w:line="276" w:lineRule="auto"/>
              <w:contextualSpacing/>
              <w:jc w:val="center"/>
              <w:rPr>
                <w:rFonts w:ascii="Times New Roman" w:eastAsia="Times New Roman" w:hAnsi="Times New Roman" w:cs="Calibri"/>
                <w:sz w:val="20"/>
                <w:szCs w:val="22"/>
                <w:lang w:eastAsia="es-GT"/>
              </w:rPr>
            </w:pPr>
            <w:r w:rsidRPr="004A66F0">
              <w:rPr>
                <w:rFonts w:ascii="Times New Roman" w:eastAsia="Times New Roman" w:hAnsi="Times New Roman" w:cs="Calibri"/>
                <w:sz w:val="20"/>
                <w:szCs w:val="22"/>
                <w:lang w:eastAsia="es-GT"/>
              </w:rPr>
              <w:t>2.6</w:t>
            </w:r>
          </w:p>
        </w:tc>
      </w:tr>
      <w:tr w:rsidR="004A66F0" w:rsidRPr="004A66F0" w14:paraId="6F600F97" w14:textId="77777777" w:rsidTr="00F85317">
        <w:trPr>
          <w:trHeight w:val="300"/>
          <w:jc w:val="center"/>
        </w:trPr>
        <w:tc>
          <w:tcPr>
            <w:tcW w:w="3680" w:type="dxa"/>
            <w:tcBorders>
              <w:top w:val="nil"/>
              <w:left w:val="single" w:sz="8" w:space="0" w:color="000000"/>
              <w:bottom w:val="nil"/>
              <w:right w:val="single" w:sz="8" w:space="0" w:color="000000"/>
            </w:tcBorders>
            <w:shd w:val="clear" w:color="000000" w:fill="ACB9CA"/>
            <w:vAlign w:val="center"/>
            <w:hideMark/>
          </w:tcPr>
          <w:p w14:paraId="4A2E8504" w14:textId="77777777" w:rsidR="004A66F0" w:rsidRPr="004A66F0" w:rsidRDefault="004A66F0" w:rsidP="008D7BB4">
            <w:pPr>
              <w:spacing w:line="276" w:lineRule="auto"/>
              <w:contextualSpacing/>
              <w:rPr>
                <w:rFonts w:ascii="Times New Roman" w:eastAsia="Times New Roman" w:hAnsi="Times New Roman" w:cs="Calibri"/>
                <w:b/>
                <w:bCs/>
                <w:sz w:val="20"/>
                <w:szCs w:val="22"/>
                <w:lang w:eastAsia="es-GT"/>
              </w:rPr>
            </w:pPr>
            <w:r w:rsidRPr="004A66F0">
              <w:rPr>
                <w:rFonts w:ascii="Times New Roman" w:eastAsia="Times New Roman" w:hAnsi="Times New Roman" w:cs="Calibri"/>
                <w:b/>
                <w:bCs/>
                <w:sz w:val="20"/>
                <w:szCs w:val="22"/>
                <w:lang w:eastAsia="es-GT"/>
              </w:rPr>
              <w:t>Balance Presupuestal</w:t>
            </w:r>
          </w:p>
        </w:tc>
        <w:tc>
          <w:tcPr>
            <w:tcW w:w="1880" w:type="dxa"/>
            <w:tcBorders>
              <w:top w:val="nil"/>
              <w:left w:val="nil"/>
              <w:bottom w:val="nil"/>
              <w:right w:val="single" w:sz="8" w:space="0" w:color="000000"/>
            </w:tcBorders>
            <w:shd w:val="clear" w:color="000000" w:fill="ACB9CA"/>
            <w:vAlign w:val="center"/>
            <w:hideMark/>
          </w:tcPr>
          <w:p w14:paraId="75B1BB99" w14:textId="77777777" w:rsidR="004A66F0" w:rsidRPr="004A66F0" w:rsidRDefault="004A66F0" w:rsidP="008D7BB4">
            <w:pPr>
              <w:spacing w:line="276" w:lineRule="auto"/>
              <w:contextualSpacing/>
              <w:jc w:val="center"/>
              <w:rPr>
                <w:rFonts w:ascii="Times New Roman" w:eastAsia="Times New Roman" w:hAnsi="Times New Roman" w:cs="Calibri"/>
                <w:b/>
                <w:bCs/>
                <w:sz w:val="20"/>
                <w:szCs w:val="22"/>
                <w:lang w:eastAsia="es-GT"/>
              </w:rPr>
            </w:pPr>
            <w:r w:rsidRPr="004A66F0">
              <w:rPr>
                <w:rFonts w:ascii="Times New Roman" w:eastAsia="Times New Roman" w:hAnsi="Times New Roman" w:cs="Calibri"/>
                <w:b/>
                <w:bCs/>
                <w:sz w:val="20"/>
                <w:szCs w:val="22"/>
                <w:lang w:eastAsia="es-GT"/>
              </w:rPr>
              <w:t>-19,920.9</w:t>
            </w:r>
          </w:p>
        </w:tc>
        <w:tc>
          <w:tcPr>
            <w:tcW w:w="1660" w:type="dxa"/>
            <w:tcBorders>
              <w:top w:val="nil"/>
              <w:left w:val="nil"/>
              <w:bottom w:val="nil"/>
              <w:right w:val="single" w:sz="8" w:space="0" w:color="000000"/>
            </w:tcBorders>
            <w:shd w:val="clear" w:color="000000" w:fill="ACB9CA"/>
            <w:vAlign w:val="center"/>
            <w:hideMark/>
          </w:tcPr>
          <w:p w14:paraId="3E76D1EC" w14:textId="77777777" w:rsidR="004A66F0" w:rsidRPr="004A66F0" w:rsidRDefault="004A66F0" w:rsidP="008D7BB4">
            <w:pPr>
              <w:spacing w:line="276" w:lineRule="auto"/>
              <w:contextualSpacing/>
              <w:jc w:val="center"/>
              <w:rPr>
                <w:rFonts w:ascii="Times New Roman" w:eastAsia="Times New Roman" w:hAnsi="Times New Roman" w:cs="Calibri"/>
                <w:b/>
                <w:bCs/>
                <w:sz w:val="20"/>
                <w:szCs w:val="22"/>
                <w:lang w:eastAsia="es-GT"/>
              </w:rPr>
            </w:pPr>
            <w:r w:rsidRPr="004A66F0">
              <w:rPr>
                <w:rFonts w:ascii="Times New Roman" w:eastAsia="Times New Roman" w:hAnsi="Times New Roman" w:cs="Calibri"/>
                <w:b/>
                <w:bCs/>
                <w:sz w:val="20"/>
                <w:szCs w:val="22"/>
                <w:lang w:eastAsia="es-GT"/>
              </w:rPr>
              <w:t>-2.5</w:t>
            </w:r>
          </w:p>
        </w:tc>
      </w:tr>
      <w:tr w:rsidR="004A66F0" w:rsidRPr="004A66F0" w14:paraId="7D0A942B" w14:textId="77777777" w:rsidTr="00F85317">
        <w:trPr>
          <w:trHeight w:val="300"/>
          <w:jc w:val="center"/>
        </w:trPr>
        <w:tc>
          <w:tcPr>
            <w:tcW w:w="3680" w:type="dxa"/>
            <w:tcBorders>
              <w:top w:val="nil"/>
              <w:left w:val="single" w:sz="8" w:space="0" w:color="000000"/>
              <w:bottom w:val="nil"/>
              <w:right w:val="single" w:sz="8" w:space="0" w:color="000000"/>
            </w:tcBorders>
            <w:vAlign w:val="center"/>
            <w:hideMark/>
          </w:tcPr>
          <w:p w14:paraId="53431149" w14:textId="77777777" w:rsidR="004A66F0" w:rsidRPr="004A66F0" w:rsidRDefault="004A66F0" w:rsidP="008D7BB4">
            <w:pPr>
              <w:spacing w:line="276" w:lineRule="auto"/>
              <w:contextualSpacing/>
              <w:rPr>
                <w:rFonts w:ascii="Times New Roman" w:eastAsia="Times New Roman" w:hAnsi="Times New Roman" w:cs="Calibri"/>
                <w:sz w:val="20"/>
                <w:szCs w:val="22"/>
                <w:lang w:eastAsia="es-GT"/>
              </w:rPr>
            </w:pPr>
            <w:r w:rsidRPr="004A66F0">
              <w:rPr>
                <w:rFonts w:ascii="Times New Roman" w:eastAsia="Times New Roman" w:hAnsi="Times New Roman" w:cs="Calibri"/>
                <w:sz w:val="20"/>
                <w:szCs w:val="22"/>
                <w:lang w:eastAsia="es-GT"/>
              </w:rPr>
              <w:t>Financiamiento Externo</w:t>
            </w:r>
          </w:p>
        </w:tc>
        <w:tc>
          <w:tcPr>
            <w:tcW w:w="1880" w:type="dxa"/>
            <w:tcBorders>
              <w:top w:val="nil"/>
              <w:left w:val="nil"/>
              <w:bottom w:val="nil"/>
              <w:right w:val="single" w:sz="8" w:space="0" w:color="000000"/>
            </w:tcBorders>
            <w:vAlign w:val="center"/>
            <w:hideMark/>
          </w:tcPr>
          <w:p w14:paraId="4EFAFA0E" w14:textId="77777777" w:rsidR="004A66F0" w:rsidRPr="004A66F0" w:rsidRDefault="004A66F0" w:rsidP="008D7BB4">
            <w:pPr>
              <w:spacing w:line="276" w:lineRule="auto"/>
              <w:contextualSpacing/>
              <w:jc w:val="center"/>
              <w:rPr>
                <w:rFonts w:ascii="Times New Roman" w:eastAsia="Times New Roman" w:hAnsi="Times New Roman" w:cs="Calibri"/>
                <w:sz w:val="20"/>
                <w:szCs w:val="22"/>
                <w:lang w:eastAsia="es-GT"/>
              </w:rPr>
            </w:pPr>
            <w:r w:rsidRPr="004A66F0">
              <w:rPr>
                <w:rFonts w:ascii="Times New Roman" w:eastAsia="Times New Roman" w:hAnsi="Times New Roman" w:cs="Calibri"/>
                <w:sz w:val="20"/>
                <w:szCs w:val="22"/>
                <w:lang w:eastAsia="es-GT"/>
              </w:rPr>
              <w:t>-1,277.6</w:t>
            </w:r>
          </w:p>
        </w:tc>
        <w:tc>
          <w:tcPr>
            <w:tcW w:w="1660" w:type="dxa"/>
            <w:tcBorders>
              <w:top w:val="nil"/>
              <w:left w:val="nil"/>
              <w:bottom w:val="nil"/>
              <w:right w:val="single" w:sz="8" w:space="0" w:color="000000"/>
            </w:tcBorders>
            <w:vAlign w:val="center"/>
            <w:hideMark/>
          </w:tcPr>
          <w:p w14:paraId="0D57D171" w14:textId="77777777" w:rsidR="004A66F0" w:rsidRPr="004A66F0" w:rsidRDefault="004A66F0" w:rsidP="008D7BB4">
            <w:pPr>
              <w:spacing w:line="276" w:lineRule="auto"/>
              <w:contextualSpacing/>
              <w:jc w:val="center"/>
              <w:rPr>
                <w:rFonts w:ascii="Times New Roman" w:eastAsia="Times New Roman" w:hAnsi="Times New Roman" w:cs="Calibri"/>
                <w:sz w:val="20"/>
                <w:szCs w:val="22"/>
                <w:lang w:eastAsia="es-GT"/>
              </w:rPr>
            </w:pPr>
            <w:r w:rsidRPr="004A66F0">
              <w:rPr>
                <w:rFonts w:ascii="Times New Roman" w:eastAsia="Times New Roman" w:hAnsi="Times New Roman" w:cs="Calibri"/>
                <w:sz w:val="20"/>
                <w:szCs w:val="22"/>
                <w:lang w:eastAsia="es-GT"/>
              </w:rPr>
              <w:t>-0.2</w:t>
            </w:r>
          </w:p>
        </w:tc>
      </w:tr>
      <w:tr w:rsidR="004A66F0" w:rsidRPr="004A66F0" w14:paraId="6D06F5CA" w14:textId="77777777" w:rsidTr="00F85317">
        <w:trPr>
          <w:trHeight w:val="300"/>
          <w:jc w:val="center"/>
        </w:trPr>
        <w:tc>
          <w:tcPr>
            <w:tcW w:w="3680" w:type="dxa"/>
            <w:tcBorders>
              <w:top w:val="nil"/>
              <w:left w:val="single" w:sz="8" w:space="0" w:color="000000"/>
              <w:bottom w:val="nil"/>
              <w:right w:val="single" w:sz="8" w:space="0" w:color="000000"/>
            </w:tcBorders>
            <w:vAlign w:val="center"/>
            <w:hideMark/>
          </w:tcPr>
          <w:p w14:paraId="19E337B3" w14:textId="77777777" w:rsidR="004A66F0" w:rsidRPr="004A66F0" w:rsidRDefault="004A66F0" w:rsidP="008D7BB4">
            <w:pPr>
              <w:spacing w:line="276" w:lineRule="auto"/>
              <w:ind w:firstLineChars="200" w:firstLine="400"/>
              <w:contextualSpacing/>
              <w:rPr>
                <w:rFonts w:ascii="Times New Roman" w:eastAsia="Times New Roman" w:hAnsi="Times New Roman" w:cs="Calibri"/>
                <w:sz w:val="20"/>
                <w:szCs w:val="22"/>
                <w:lang w:eastAsia="es-GT"/>
              </w:rPr>
            </w:pPr>
            <w:r w:rsidRPr="004A66F0">
              <w:rPr>
                <w:rFonts w:ascii="Times New Roman" w:eastAsia="Times New Roman" w:hAnsi="Times New Roman" w:cs="Calibri"/>
                <w:sz w:val="20"/>
                <w:szCs w:val="22"/>
                <w:lang w:eastAsia="es-GT"/>
              </w:rPr>
              <w:t xml:space="preserve">Desembolsos de Préstamos </w:t>
            </w:r>
          </w:p>
        </w:tc>
        <w:tc>
          <w:tcPr>
            <w:tcW w:w="1880" w:type="dxa"/>
            <w:tcBorders>
              <w:top w:val="nil"/>
              <w:left w:val="nil"/>
              <w:bottom w:val="nil"/>
              <w:right w:val="single" w:sz="8" w:space="0" w:color="000000"/>
            </w:tcBorders>
            <w:vAlign w:val="center"/>
            <w:hideMark/>
          </w:tcPr>
          <w:p w14:paraId="3CDC8E17" w14:textId="77777777" w:rsidR="004A66F0" w:rsidRPr="004A66F0" w:rsidRDefault="004A66F0" w:rsidP="008D7BB4">
            <w:pPr>
              <w:spacing w:line="276" w:lineRule="auto"/>
              <w:contextualSpacing/>
              <w:jc w:val="center"/>
              <w:rPr>
                <w:rFonts w:ascii="Times New Roman" w:eastAsia="Times New Roman" w:hAnsi="Times New Roman" w:cs="Calibri"/>
                <w:sz w:val="20"/>
                <w:szCs w:val="22"/>
                <w:lang w:eastAsia="es-GT"/>
              </w:rPr>
            </w:pPr>
            <w:r w:rsidRPr="004A66F0">
              <w:rPr>
                <w:rFonts w:ascii="Times New Roman" w:eastAsia="Times New Roman" w:hAnsi="Times New Roman" w:cs="Calibri"/>
                <w:sz w:val="20"/>
                <w:szCs w:val="22"/>
                <w:lang w:eastAsia="es-GT"/>
              </w:rPr>
              <w:t>3,096.7</w:t>
            </w:r>
          </w:p>
        </w:tc>
        <w:tc>
          <w:tcPr>
            <w:tcW w:w="1660" w:type="dxa"/>
            <w:tcBorders>
              <w:top w:val="nil"/>
              <w:left w:val="nil"/>
              <w:bottom w:val="nil"/>
              <w:right w:val="single" w:sz="8" w:space="0" w:color="000000"/>
            </w:tcBorders>
            <w:vAlign w:val="center"/>
            <w:hideMark/>
          </w:tcPr>
          <w:p w14:paraId="7443EDCE" w14:textId="77777777" w:rsidR="004A66F0" w:rsidRPr="004A66F0" w:rsidRDefault="004A66F0" w:rsidP="008D7BB4">
            <w:pPr>
              <w:spacing w:line="276" w:lineRule="auto"/>
              <w:contextualSpacing/>
              <w:jc w:val="center"/>
              <w:rPr>
                <w:rFonts w:ascii="Times New Roman" w:eastAsia="Times New Roman" w:hAnsi="Times New Roman" w:cs="Calibri"/>
                <w:sz w:val="20"/>
                <w:szCs w:val="22"/>
                <w:lang w:eastAsia="es-GT"/>
              </w:rPr>
            </w:pPr>
            <w:r w:rsidRPr="004A66F0">
              <w:rPr>
                <w:rFonts w:ascii="Times New Roman" w:eastAsia="Times New Roman" w:hAnsi="Times New Roman" w:cs="Calibri"/>
                <w:sz w:val="20"/>
                <w:szCs w:val="22"/>
                <w:lang w:eastAsia="es-GT"/>
              </w:rPr>
              <w:t>0.4</w:t>
            </w:r>
          </w:p>
        </w:tc>
      </w:tr>
      <w:tr w:rsidR="004A66F0" w:rsidRPr="004A66F0" w14:paraId="11CA51E3" w14:textId="77777777" w:rsidTr="00F85317">
        <w:trPr>
          <w:trHeight w:val="300"/>
          <w:jc w:val="center"/>
        </w:trPr>
        <w:tc>
          <w:tcPr>
            <w:tcW w:w="3680" w:type="dxa"/>
            <w:tcBorders>
              <w:top w:val="nil"/>
              <w:left w:val="single" w:sz="8" w:space="0" w:color="000000"/>
              <w:bottom w:val="nil"/>
              <w:right w:val="single" w:sz="8" w:space="0" w:color="000000"/>
            </w:tcBorders>
            <w:vAlign w:val="center"/>
            <w:hideMark/>
          </w:tcPr>
          <w:p w14:paraId="3F102D42" w14:textId="77777777" w:rsidR="004A66F0" w:rsidRPr="004A66F0" w:rsidRDefault="004A66F0" w:rsidP="008D7BB4">
            <w:pPr>
              <w:spacing w:line="276" w:lineRule="auto"/>
              <w:ind w:firstLineChars="200" w:firstLine="400"/>
              <w:contextualSpacing/>
              <w:rPr>
                <w:rFonts w:ascii="Times New Roman" w:eastAsia="Times New Roman" w:hAnsi="Times New Roman" w:cs="Calibri"/>
                <w:sz w:val="20"/>
                <w:szCs w:val="22"/>
                <w:lang w:eastAsia="es-GT"/>
              </w:rPr>
            </w:pPr>
            <w:r w:rsidRPr="004A66F0">
              <w:rPr>
                <w:rFonts w:ascii="Times New Roman" w:eastAsia="Times New Roman" w:hAnsi="Times New Roman" w:cs="Calibri"/>
                <w:sz w:val="20"/>
                <w:szCs w:val="22"/>
                <w:lang w:eastAsia="es-GT"/>
              </w:rPr>
              <w:t>Amortizaciones de Préstamos</w:t>
            </w:r>
          </w:p>
        </w:tc>
        <w:tc>
          <w:tcPr>
            <w:tcW w:w="1880" w:type="dxa"/>
            <w:tcBorders>
              <w:top w:val="nil"/>
              <w:left w:val="nil"/>
              <w:bottom w:val="nil"/>
              <w:right w:val="single" w:sz="8" w:space="0" w:color="000000"/>
            </w:tcBorders>
            <w:vAlign w:val="center"/>
            <w:hideMark/>
          </w:tcPr>
          <w:p w14:paraId="6AA525F3" w14:textId="77777777" w:rsidR="004A66F0" w:rsidRPr="004A66F0" w:rsidRDefault="004A66F0" w:rsidP="008D7BB4">
            <w:pPr>
              <w:spacing w:line="276" w:lineRule="auto"/>
              <w:contextualSpacing/>
              <w:jc w:val="center"/>
              <w:rPr>
                <w:rFonts w:ascii="Times New Roman" w:eastAsia="Times New Roman" w:hAnsi="Times New Roman" w:cs="Calibri"/>
                <w:sz w:val="20"/>
                <w:szCs w:val="22"/>
                <w:lang w:eastAsia="es-GT"/>
              </w:rPr>
            </w:pPr>
            <w:r w:rsidRPr="004A66F0">
              <w:rPr>
                <w:rFonts w:ascii="Times New Roman" w:eastAsia="Times New Roman" w:hAnsi="Times New Roman" w:cs="Calibri"/>
                <w:sz w:val="20"/>
                <w:szCs w:val="22"/>
                <w:lang w:eastAsia="es-GT"/>
              </w:rPr>
              <w:t>4,374.4</w:t>
            </w:r>
          </w:p>
        </w:tc>
        <w:tc>
          <w:tcPr>
            <w:tcW w:w="1660" w:type="dxa"/>
            <w:tcBorders>
              <w:top w:val="nil"/>
              <w:left w:val="nil"/>
              <w:bottom w:val="nil"/>
              <w:right w:val="single" w:sz="8" w:space="0" w:color="000000"/>
            </w:tcBorders>
            <w:vAlign w:val="center"/>
            <w:hideMark/>
          </w:tcPr>
          <w:p w14:paraId="5CADC779" w14:textId="77777777" w:rsidR="004A66F0" w:rsidRPr="004A66F0" w:rsidRDefault="004A66F0" w:rsidP="008D7BB4">
            <w:pPr>
              <w:spacing w:line="276" w:lineRule="auto"/>
              <w:contextualSpacing/>
              <w:jc w:val="center"/>
              <w:rPr>
                <w:rFonts w:ascii="Times New Roman" w:eastAsia="Times New Roman" w:hAnsi="Times New Roman" w:cs="Calibri"/>
                <w:sz w:val="20"/>
                <w:szCs w:val="22"/>
                <w:lang w:eastAsia="es-GT"/>
              </w:rPr>
            </w:pPr>
            <w:r w:rsidRPr="004A66F0">
              <w:rPr>
                <w:rFonts w:ascii="Times New Roman" w:eastAsia="Times New Roman" w:hAnsi="Times New Roman" w:cs="Calibri"/>
                <w:sz w:val="20"/>
                <w:szCs w:val="22"/>
                <w:lang w:eastAsia="es-GT"/>
              </w:rPr>
              <w:t>0.6</w:t>
            </w:r>
          </w:p>
        </w:tc>
      </w:tr>
      <w:tr w:rsidR="004A66F0" w:rsidRPr="004A66F0" w14:paraId="3D70B1DB" w14:textId="77777777" w:rsidTr="00F85317">
        <w:trPr>
          <w:trHeight w:val="300"/>
          <w:jc w:val="center"/>
        </w:trPr>
        <w:tc>
          <w:tcPr>
            <w:tcW w:w="3680" w:type="dxa"/>
            <w:tcBorders>
              <w:top w:val="nil"/>
              <w:left w:val="single" w:sz="8" w:space="0" w:color="000000"/>
              <w:bottom w:val="nil"/>
              <w:right w:val="single" w:sz="8" w:space="0" w:color="000000"/>
            </w:tcBorders>
            <w:hideMark/>
          </w:tcPr>
          <w:p w14:paraId="19B43EA5" w14:textId="77777777" w:rsidR="004A66F0" w:rsidRPr="004A66F0" w:rsidRDefault="004A66F0" w:rsidP="008D7BB4">
            <w:pPr>
              <w:spacing w:line="276" w:lineRule="auto"/>
              <w:contextualSpacing/>
              <w:rPr>
                <w:rFonts w:ascii="Times New Roman" w:eastAsia="Times New Roman" w:hAnsi="Times New Roman" w:cs="Calibri"/>
                <w:sz w:val="20"/>
                <w:szCs w:val="22"/>
                <w:lang w:eastAsia="es-GT"/>
              </w:rPr>
            </w:pPr>
            <w:r w:rsidRPr="004A66F0">
              <w:rPr>
                <w:rFonts w:ascii="Times New Roman" w:eastAsia="Times New Roman" w:hAnsi="Times New Roman" w:cs="Calibri"/>
                <w:sz w:val="20"/>
                <w:szCs w:val="22"/>
                <w:lang w:eastAsia="es-GT"/>
              </w:rPr>
              <w:t>Financiamiento Interno</w:t>
            </w:r>
          </w:p>
        </w:tc>
        <w:tc>
          <w:tcPr>
            <w:tcW w:w="1880" w:type="dxa"/>
            <w:tcBorders>
              <w:top w:val="nil"/>
              <w:left w:val="nil"/>
              <w:bottom w:val="nil"/>
              <w:right w:val="single" w:sz="8" w:space="0" w:color="000000"/>
            </w:tcBorders>
            <w:vAlign w:val="center"/>
            <w:hideMark/>
          </w:tcPr>
          <w:p w14:paraId="32D3F6DD" w14:textId="77777777" w:rsidR="004A66F0" w:rsidRPr="004A66F0" w:rsidRDefault="004A66F0" w:rsidP="008D7BB4">
            <w:pPr>
              <w:spacing w:line="276" w:lineRule="auto"/>
              <w:contextualSpacing/>
              <w:jc w:val="center"/>
              <w:rPr>
                <w:rFonts w:ascii="Times New Roman" w:eastAsia="Times New Roman" w:hAnsi="Times New Roman" w:cs="Calibri"/>
                <w:sz w:val="20"/>
                <w:szCs w:val="22"/>
                <w:lang w:eastAsia="es-GT"/>
              </w:rPr>
            </w:pPr>
            <w:r w:rsidRPr="004A66F0">
              <w:rPr>
                <w:rFonts w:ascii="Times New Roman" w:eastAsia="Times New Roman" w:hAnsi="Times New Roman" w:cs="Calibri"/>
                <w:sz w:val="20"/>
                <w:szCs w:val="22"/>
                <w:lang w:eastAsia="es-GT"/>
              </w:rPr>
              <w:t>21,198.5</w:t>
            </w:r>
          </w:p>
        </w:tc>
        <w:tc>
          <w:tcPr>
            <w:tcW w:w="1660" w:type="dxa"/>
            <w:tcBorders>
              <w:top w:val="nil"/>
              <w:left w:val="nil"/>
              <w:bottom w:val="nil"/>
              <w:right w:val="single" w:sz="8" w:space="0" w:color="000000"/>
            </w:tcBorders>
            <w:vAlign w:val="center"/>
            <w:hideMark/>
          </w:tcPr>
          <w:p w14:paraId="08B25B99" w14:textId="77777777" w:rsidR="004A66F0" w:rsidRPr="004A66F0" w:rsidRDefault="004A66F0" w:rsidP="008D7BB4">
            <w:pPr>
              <w:spacing w:line="276" w:lineRule="auto"/>
              <w:contextualSpacing/>
              <w:jc w:val="center"/>
              <w:rPr>
                <w:rFonts w:ascii="Times New Roman" w:eastAsia="Times New Roman" w:hAnsi="Times New Roman" w:cs="Calibri"/>
                <w:sz w:val="20"/>
                <w:szCs w:val="22"/>
                <w:lang w:eastAsia="es-GT"/>
              </w:rPr>
            </w:pPr>
            <w:r w:rsidRPr="004A66F0">
              <w:rPr>
                <w:rFonts w:ascii="Times New Roman" w:eastAsia="Times New Roman" w:hAnsi="Times New Roman" w:cs="Calibri"/>
                <w:sz w:val="20"/>
                <w:szCs w:val="22"/>
                <w:lang w:eastAsia="es-GT"/>
              </w:rPr>
              <w:t>2.7</w:t>
            </w:r>
          </w:p>
        </w:tc>
      </w:tr>
      <w:tr w:rsidR="004A66F0" w:rsidRPr="004A66F0" w14:paraId="309E44CD" w14:textId="77777777" w:rsidTr="00F85317">
        <w:trPr>
          <w:trHeight w:val="300"/>
          <w:jc w:val="center"/>
        </w:trPr>
        <w:tc>
          <w:tcPr>
            <w:tcW w:w="3680" w:type="dxa"/>
            <w:tcBorders>
              <w:top w:val="nil"/>
              <w:left w:val="single" w:sz="8" w:space="0" w:color="000000"/>
              <w:bottom w:val="nil"/>
              <w:right w:val="single" w:sz="8" w:space="0" w:color="000000"/>
            </w:tcBorders>
            <w:vAlign w:val="center"/>
            <w:hideMark/>
          </w:tcPr>
          <w:p w14:paraId="2763FE05" w14:textId="77777777" w:rsidR="004A66F0" w:rsidRPr="004A66F0" w:rsidRDefault="004A66F0" w:rsidP="008D7BB4">
            <w:pPr>
              <w:spacing w:line="276" w:lineRule="auto"/>
              <w:ind w:firstLineChars="200" w:firstLine="400"/>
              <w:contextualSpacing/>
              <w:rPr>
                <w:rFonts w:ascii="Times New Roman" w:eastAsia="Times New Roman" w:hAnsi="Times New Roman" w:cs="Calibri"/>
                <w:sz w:val="20"/>
                <w:szCs w:val="22"/>
                <w:lang w:eastAsia="es-GT"/>
              </w:rPr>
            </w:pPr>
            <w:r w:rsidRPr="004A66F0">
              <w:rPr>
                <w:rFonts w:ascii="Times New Roman" w:eastAsia="Times New Roman" w:hAnsi="Times New Roman" w:cs="Calibri"/>
                <w:sz w:val="20"/>
                <w:szCs w:val="22"/>
                <w:lang w:eastAsia="es-GT"/>
              </w:rPr>
              <w:t>Negociación Neta de Bonos</w:t>
            </w:r>
          </w:p>
        </w:tc>
        <w:tc>
          <w:tcPr>
            <w:tcW w:w="1880" w:type="dxa"/>
            <w:tcBorders>
              <w:top w:val="nil"/>
              <w:left w:val="nil"/>
              <w:bottom w:val="nil"/>
              <w:right w:val="single" w:sz="8" w:space="0" w:color="000000"/>
            </w:tcBorders>
            <w:vAlign w:val="center"/>
            <w:hideMark/>
          </w:tcPr>
          <w:p w14:paraId="4214C907" w14:textId="77777777" w:rsidR="004A66F0" w:rsidRPr="004A66F0" w:rsidRDefault="004A66F0" w:rsidP="008D7BB4">
            <w:pPr>
              <w:spacing w:line="276" w:lineRule="auto"/>
              <w:contextualSpacing/>
              <w:jc w:val="center"/>
              <w:rPr>
                <w:rFonts w:ascii="Times New Roman" w:eastAsia="Times New Roman" w:hAnsi="Times New Roman" w:cs="Calibri"/>
                <w:sz w:val="20"/>
                <w:szCs w:val="22"/>
                <w:lang w:eastAsia="es-GT"/>
              </w:rPr>
            </w:pPr>
            <w:r w:rsidRPr="004A66F0">
              <w:rPr>
                <w:rFonts w:ascii="Times New Roman" w:eastAsia="Times New Roman" w:hAnsi="Times New Roman" w:cs="Calibri"/>
                <w:sz w:val="20"/>
                <w:szCs w:val="22"/>
                <w:lang w:eastAsia="es-GT"/>
              </w:rPr>
              <w:t>12,775.1</w:t>
            </w:r>
          </w:p>
        </w:tc>
        <w:tc>
          <w:tcPr>
            <w:tcW w:w="1660" w:type="dxa"/>
            <w:tcBorders>
              <w:top w:val="nil"/>
              <w:left w:val="nil"/>
              <w:bottom w:val="nil"/>
              <w:right w:val="single" w:sz="8" w:space="0" w:color="000000"/>
            </w:tcBorders>
            <w:vAlign w:val="center"/>
            <w:hideMark/>
          </w:tcPr>
          <w:p w14:paraId="3270E8C3" w14:textId="77777777" w:rsidR="004A66F0" w:rsidRPr="004A66F0" w:rsidRDefault="004A66F0" w:rsidP="008D7BB4">
            <w:pPr>
              <w:spacing w:line="276" w:lineRule="auto"/>
              <w:contextualSpacing/>
              <w:jc w:val="center"/>
              <w:rPr>
                <w:rFonts w:ascii="Times New Roman" w:eastAsia="Times New Roman" w:hAnsi="Times New Roman" w:cs="Calibri"/>
                <w:sz w:val="20"/>
                <w:szCs w:val="22"/>
                <w:lang w:eastAsia="es-GT"/>
              </w:rPr>
            </w:pPr>
            <w:r w:rsidRPr="004A66F0">
              <w:rPr>
                <w:rFonts w:ascii="Times New Roman" w:eastAsia="Times New Roman" w:hAnsi="Times New Roman" w:cs="Calibri"/>
                <w:sz w:val="20"/>
                <w:szCs w:val="22"/>
                <w:lang w:eastAsia="es-GT"/>
              </w:rPr>
              <w:t>1.6</w:t>
            </w:r>
          </w:p>
        </w:tc>
      </w:tr>
      <w:tr w:rsidR="004A66F0" w:rsidRPr="004A66F0" w14:paraId="7562B101" w14:textId="77777777" w:rsidTr="00F85317">
        <w:trPr>
          <w:trHeight w:val="315"/>
          <w:jc w:val="center"/>
        </w:trPr>
        <w:tc>
          <w:tcPr>
            <w:tcW w:w="3680" w:type="dxa"/>
            <w:tcBorders>
              <w:top w:val="nil"/>
              <w:left w:val="single" w:sz="8" w:space="0" w:color="000000"/>
              <w:bottom w:val="single" w:sz="8" w:space="0" w:color="000000"/>
              <w:right w:val="single" w:sz="8" w:space="0" w:color="000000"/>
            </w:tcBorders>
            <w:shd w:val="clear" w:color="000000" w:fill="ACB9CA"/>
            <w:vAlign w:val="center"/>
            <w:hideMark/>
          </w:tcPr>
          <w:p w14:paraId="42C23CA5" w14:textId="77777777" w:rsidR="004A66F0" w:rsidRPr="004A66F0" w:rsidRDefault="004A66F0" w:rsidP="008D7BB4">
            <w:pPr>
              <w:spacing w:line="276" w:lineRule="auto"/>
              <w:contextualSpacing/>
              <w:rPr>
                <w:rFonts w:ascii="Times New Roman" w:eastAsia="Times New Roman" w:hAnsi="Times New Roman" w:cs="Calibri"/>
                <w:b/>
                <w:bCs/>
                <w:sz w:val="20"/>
                <w:szCs w:val="22"/>
                <w:lang w:eastAsia="es-GT"/>
              </w:rPr>
            </w:pPr>
            <w:r w:rsidRPr="004A66F0">
              <w:rPr>
                <w:rFonts w:ascii="Times New Roman" w:eastAsia="Times New Roman" w:hAnsi="Times New Roman" w:cs="Calibri"/>
                <w:b/>
                <w:bCs/>
                <w:sz w:val="20"/>
                <w:szCs w:val="22"/>
                <w:lang w:eastAsia="es-GT"/>
              </w:rPr>
              <w:t>Variación de Caja</w:t>
            </w:r>
          </w:p>
        </w:tc>
        <w:tc>
          <w:tcPr>
            <w:tcW w:w="1880" w:type="dxa"/>
            <w:tcBorders>
              <w:top w:val="nil"/>
              <w:left w:val="nil"/>
              <w:bottom w:val="single" w:sz="8" w:space="0" w:color="000000"/>
              <w:right w:val="single" w:sz="8" w:space="0" w:color="000000"/>
            </w:tcBorders>
            <w:shd w:val="clear" w:color="000000" w:fill="ACB9CA"/>
            <w:vAlign w:val="center"/>
            <w:hideMark/>
          </w:tcPr>
          <w:p w14:paraId="309D6D6B" w14:textId="77777777" w:rsidR="004A66F0" w:rsidRPr="004A66F0" w:rsidRDefault="004A66F0" w:rsidP="008D7BB4">
            <w:pPr>
              <w:spacing w:line="276" w:lineRule="auto"/>
              <w:contextualSpacing/>
              <w:jc w:val="center"/>
              <w:rPr>
                <w:rFonts w:ascii="Times New Roman" w:eastAsia="Times New Roman" w:hAnsi="Times New Roman" w:cs="Calibri"/>
                <w:b/>
                <w:bCs/>
                <w:sz w:val="20"/>
                <w:szCs w:val="22"/>
                <w:lang w:eastAsia="es-GT"/>
              </w:rPr>
            </w:pPr>
            <w:r w:rsidRPr="004A66F0">
              <w:rPr>
                <w:rFonts w:ascii="Times New Roman" w:eastAsia="Times New Roman" w:hAnsi="Times New Roman" w:cs="Calibri"/>
                <w:b/>
                <w:bCs/>
                <w:sz w:val="20"/>
                <w:szCs w:val="22"/>
                <w:lang w:eastAsia="es-GT"/>
              </w:rPr>
              <w:t>8,477.9</w:t>
            </w:r>
          </w:p>
        </w:tc>
        <w:tc>
          <w:tcPr>
            <w:tcW w:w="1660" w:type="dxa"/>
            <w:tcBorders>
              <w:top w:val="nil"/>
              <w:left w:val="nil"/>
              <w:bottom w:val="single" w:sz="8" w:space="0" w:color="000000"/>
              <w:right w:val="single" w:sz="8" w:space="0" w:color="000000"/>
            </w:tcBorders>
            <w:shd w:val="clear" w:color="000000" w:fill="ACB9CA"/>
            <w:vAlign w:val="center"/>
            <w:hideMark/>
          </w:tcPr>
          <w:p w14:paraId="227B75CB" w14:textId="77777777" w:rsidR="004A66F0" w:rsidRPr="004A66F0" w:rsidRDefault="004A66F0" w:rsidP="008D7BB4">
            <w:pPr>
              <w:spacing w:line="276" w:lineRule="auto"/>
              <w:contextualSpacing/>
              <w:jc w:val="center"/>
              <w:rPr>
                <w:rFonts w:ascii="Times New Roman" w:eastAsia="Times New Roman" w:hAnsi="Times New Roman" w:cs="Calibri"/>
                <w:b/>
                <w:bCs/>
                <w:sz w:val="20"/>
                <w:szCs w:val="22"/>
                <w:lang w:eastAsia="es-GT"/>
              </w:rPr>
            </w:pPr>
            <w:r w:rsidRPr="004A66F0">
              <w:rPr>
                <w:rFonts w:ascii="Times New Roman" w:eastAsia="Times New Roman" w:hAnsi="Times New Roman" w:cs="Calibri"/>
                <w:b/>
                <w:bCs/>
                <w:sz w:val="20"/>
                <w:szCs w:val="22"/>
                <w:lang w:eastAsia="es-GT"/>
              </w:rPr>
              <w:t>1.1</w:t>
            </w:r>
          </w:p>
        </w:tc>
      </w:tr>
    </w:tbl>
    <w:p w14:paraId="662D5F68" w14:textId="77777777" w:rsidR="004A66F0" w:rsidRPr="004A66F0" w:rsidRDefault="004A66F0" w:rsidP="008D7BB4">
      <w:pPr>
        <w:spacing w:line="276" w:lineRule="auto"/>
        <w:ind w:left="708" w:firstLine="708"/>
        <w:contextualSpacing/>
        <w:rPr>
          <w:rFonts w:ascii="Times New Roman" w:eastAsia="Times New Roman" w:hAnsi="Times New Roman" w:cs="Calibri"/>
          <w:sz w:val="22"/>
          <w:szCs w:val="22"/>
        </w:rPr>
      </w:pPr>
      <w:r w:rsidRPr="004A66F0">
        <w:rPr>
          <w:rFonts w:ascii="Times New Roman" w:eastAsia="Times New Roman" w:hAnsi="Times New Roman" w:cs="Calibri"/>
          <w:sz w:val="18"/>
          <w:szCs w:val="18"/>
        </w:rPr>
        <w:t>Fuente: Dirección de Análisis y Política Fiscal</w:t>
      </w:r>
    </w:p>
    <w:p w14:paraId="75B21648" w14:textId="77777777" w:rsidR="004A66F0" w:rsidRPr="004A66F0" w:rsidRDefault="004A66F0" w:rsidP="008D7BB4">
      <w:pPr>
        <w:spacing w:line="276" w:lineRule="auto"/>
        <w:contextualSpacing/>
        <w:jc w:val="center"/>
        <w:rPr>
          <w:rFonts w:ascii="Times New Roman" w:eastAsia="Times New Roman" w:hAnsi="Times New Roman" w:cs="Calibri"/>
          <w:sz w:val="22"/>
          <w:szCs w:val="22"/>
        </w:rPr>
      </w:pPr>
    </w:p>
    <w:p w14:paraId="535785A7" w14:textId="05FD2735" w:rsidR="004A66F0" w:rsidRDefault="004A66F0" w:rsidP="008D7BB4">
      <w:pPr>
        <w:tabs>
          <w:tab w:val="left" w:pos="2430"/>
        </w:tabs>
        <w:spacing w:line="276" w:lineRule="auto"/>
        <w:contextualSpacing/>
        <w:rPr>
          <w:rFonts w:ascii="Montserrat" w:hAnsi="Montserrat"/>
          <w:sz w:val="21"/>
          <w:szCs w:val="21"/>
        </w:rPr>
      </w:pPr>
    </w:p>
    <w:p w14:paraId="5BD5D067" w14:textId="34A8E971" w:rsidR="00F63769" w:rsidRDefault="00F63769" w:rsidP="008D7BB4">
      <w:pPr>
        <w:tabs>
          <w:tab w:val="left" w:pos="2430"/>
        </w:tabs>
        <w:spacing w:line="276" w:lineRule="auto"/>
        <w:contextualSpacing/>
        <w:rPr>
          <w:rFonts w:ascii="Montserrat" w:hAnsi="Montserrat"/>
          <w:sz w:val="21"/>
          <w:szCs w:val="21"/>
        </w:rPr>
      </w:pPr>
    </w:p>
    <w:p w14:paraId="1B668934" w14:textId="77777777" w:rsidR="006C7DA1" w:rsidRDefault="006C7DA1" w:rsidP="008D7BB4">
      <w:pPr>
        <w:tabs>
          <w:tab w:val="left" w:pos="2430"/>
        </w:tabs>
        <w:spacing w:line="276" w:lineRule="auto"/>
        <w:contextualSpacing/>
        <w:rPr>
          <w:rFonts w:ascii="Montserrat" w:hAnsi="Montserrat"/>
          <w:sz w:val="21"/>
          <w:szCs w:val="21"/>
        </w:rPr>
        <w:sectPr w:rsidR="006C7DA1" w:rsidSect="00500E38">
          <w:pgSz w:w="12240" w:h="15840"/>
          <w:pgMar w:top="2189" w:right="1701" w:bottom="1417" w:left="1701" w:header="708" w:footer="708" w:gutter="0"/>
          <w:cols w:space="708"/>
          <w:docGrid w:linePitch="360"/>
        </w:sectPr>
      </w:pPr>
    </w:p>
    <w:p w14:paraId="08D832C0" w14:textId="33374C4D" w:rsidR="005F6612" w:rsidRPr="005F6612" w:rsidRDefault="00F63769" w:rsidP="008D7BB4">
      <w:pPr>
        <w:pStyle w:val="Prrafodelista"/>
        <w:numPr>
          <w:ilvl w:val="0"/>
          <w:numId w:val="20"/>
        </w:numPr>
        <w:spacing w:line="276" w:lineRule="auto"/>
        <w:ind w:left="284" w:hanging="284"/>
        <w:jc w:val="both"/>
        <w:outlineLvl w:val="0"/>
        <w:rPr>
          <w:rFonts w:ascii="Times New Roman" w:eastAsia="Times New Roman" w:hAnsi="Times New Roman" w:cs="Times New Roman"/>
          <w:b/>
          <w:bCs/>
          <w:szCs w:val="26"/>
        </w:rPr>
      </w:pPr>
      <w:bookmarkStart w:id="120" w:name="_Toc125723300"/>
      <w:bookmarkStart w:id="121" w:name="_Toc94259654"/>
      <w:r w:rsidRPr="00CD72A1">
        <w:rPr>
          <w:rFonts w:ascii="Times New Roman" w:eastAsiaTheme="majorEastAsia" w:hAnsi="Times New Roman" w:cs="Times New Roman"/>
          <w:b/>
          <w:bCs/>
          <w:sz w:val="26"/>
          <w:szCs w:val="26"/>
          <w:lang w:val="es-ES_tradnl" w:eastAsia="es-ES"/>
        </w:rPr>
        <w:lastRenderedPageBreak/>
        <w:t>Apéndice</w:t>
      </w:r>
      <w:bookmarkEnd w:id="120"/>
      <w:r w:rsidRPr="00CD72A1">
        <w:rPr>
          <w:rFonts w:ascii="Times New Roman" w:eastAsiaTheme="majorEastAsia" w:hAnsi="Times New Roman" w:cs="Times New Roman"/>
          <w:b/>
          <w:bCs/>
          <w:sz w:val="26"/>
          <w:szCs w:val="26"/>
          <w:lang w:val="es-ES_tradnl" w:eastAsia="es-ES"/>
        </w:rPr>
        <w:t xml:space="preserve"> </w:t>
      </w:r>
    </w:p>
    <w:p w14:paraId="6B76ECED" w14:textId="77777777" w:rsidR="005F6612" w:rsidRPr="005F6612" w:rsidRDefault="005F6612" w:rsidP="008D7BB4">
      <w:pPr>
        <w:pStyle w:val="Prrafodelista"/>
        <w:spacing w:line="276" w:lineRule="auto"/>
        <w:ind w:left="284"/>
        <w:jc w:val="both"/>
        <w:outlineLvl w:val="0"/>
        <w:rPr>
          <w:rFonts w:ascii="Times New Roman" w:eastAsia="Times New Roman" w:hAnsi="Times New Roman" w:cs="Times New Roman"/>
          <w:b/>
          <w:bCs/>
          <w:szCs w:val="26"/>
        </w:rPr>
      </w:pPr>
    </w:p>
    <w:p w14:paraId="74B6E57E" w14:textId="0DCA8084" w:rsidR="00F63769" w:rsidRPr="005F6612" w:rsidRDefault="005F6612" w:rsidP="008D7BB4">
      <w:pPr>
        <w:pStyle w:val="Prrafodelista"/>
        <w:keepNext/>
        <w:keepLines/>
        <w:numPr>
          <w:ilvl w:val="1"/>
          <w:numId w:val="20"/>
        </w:numPr>
        <w:tabs>
          <w:tab w:val="left" w:pos="1134"/>
        </w:tabs>
        <w:spacing w:line="276" w:lineRule="auto"/>
        <w:jc w:val="both"/>
        <w:outlineLvl w:val="1"/>
        <w:rPr>
          <w:rFonts w:ascii="Times New Roman" w:eastAsia="Times New Roman" w:hAnsi="Times New Roman" w:cs="Times New Roman"/>
          <w:b/>
          <w:bCs/>
          <w:color w:val="000000" w:themeColor="text1"/>
          <w:sz w:val="24"/>
          <w:szCs w:val="24"/>
        </w:rPr>
      </w:pPr>
      <w:bookmarkStart w:id="122" w:name="_Toc125723301"/>
      <w:r w:rsidRPr="00D31116">
        <w:rPr>
          <w:rFonts w:ascii="Times New Roman" w:eastAsiaTheme="majorEastAsia" w:hAnsi="Times New Roman" w:cs="Times New Roman"/>
          <w:b/>
          <w:bCs/>
        </w:rPr>
        <w:t>C</w:t>
      </w:r>
      <w:r w:rsidR="00F63769" w:rsidRPr="00D31116">
        <w:rPr>
          <w:rFonts w:ascii="Times New Roman" w:eastAsiaTheme="majorEastAsia" w:hAnsi="Times New Roman" w:cs="Times New Roman"/>
          <w:b/>
          <w:bCs/>
        </w:rPr>
        <w:t xml:space="preserve">ontexto macroeconómico </w:t>
      </w:r>
      <w:bookmarkEnd w:id="121"/>
      <w:r w:rsidR="009C60C1" w:rsidRPr="00D31116">
        <w:rPr>
          <w:rFonts w:ascii="Times New Roman" w:eastAsiaTheme="majorEastAsia" w:hAnsi="Times New Roman" w:cs="Times New Roman"/>
          <w:b/>
          <w:bCs/>
        </w:rPr>
        <w:t>externo</w:t>
      </w:r>
      <w:r w:rsidR="00F63769" w:rsidRPr="00D31116">
        <w:rPr>
          <w:rFonts w:ascii="Times New Roman" w:eastAsiaTheme="majorEastAsia" w:hAnsi="Times New Roman" w:cs="Times New Roman"/>
          <w:b/>
          <w:bCs/>
        </w:rPr>
        <w:t xml:space="preserve"> </w:t>
      </w:r>
      <w:r w:rsidR="009C60C1" w:rsidRPr="00D31116">
        <w:rPr>
          <w:rFonts w:ascii="Times New Roman" w:eastAsiaTheme="majorEastAsia" w:hAnsi="Times New Roman" w:cs="Times New Roman"/>
          <w:b/>
          <w:bCs/>
        </w:rPr>
        <w:t xml:space="preserve">e interno </w:t>
      </w:r>
      <w:r w:rsidR="00F63769" w:rsidRPr="00D31116">
        <w:rPr>
          <w:rFonts w:ascii="Times New Roman" w:eastAsiaTheme="majorEastAsia" w:hAnsi="Times New Roman" w:cs="Times New Roman"/>
          <w:b/>
          <w:bCs/>
        </w:rPr>
        <w:t>en 2022</w:t>
      </w:r>
      <w:bookmarkEnd w:id="122"/>
    </w:p>
    <w:p w14:paraId="19E37948" w14:textId="77777777" w:rsidR="00F63769" w:rsidRPr="00F63769" w:rsidRDefault="00F63769" w:rsidP="008D7BB4">
      <w:pPr>
        <w:spacing w:line="276" w:lineRule="auto"/>
        <w:contextualSpacing/>
        <w:jc w:val="both"/>
        <w:rPr>
          <w:rFonts w:ascii="Times New Roman" w:eastAsia="Times New Roman" w:hAnsi="Times New Roman" w:cs="Times New Roman"/>
          <w:noProof/>
          <w:sz w:val="22"/>
          <w:szCs w:val="22"/>
          <w:lang w:val="es-ES_tradnl" w:eastAsia="es-GT"/>
        </w:rPr>
      </w:pPr>
      <w:bookmarkStart w:id="123" w:name="_Toc125458281"/>
      <w:bookmarkStart w:id="124" w:name="_Toc125458369"/>
      <w:bookmarkEnd w:id="123"/>
      <w:bookmarkEnd w:id="124"/>
    </w:p>
    <w:p w14:paraId="54C99A80" w14:textId="3B59F041" w:rsidR="00E5175E" w:rsidRPr="00B72147" w:rsidRDefault="00E5175E" w:rsidP="008D7BB4">
      <w:pPr>
        <w:pStyle w:val="Prrafodelista"/>
        <w:keepNext/>
        <w:keepLines/>
        <w:numPr>
          <w:ilvl w:val="2"/>
          <w:numId w:val="20"/>
        </w:numPr>
        <w:tabs>
          <w:tab w:val="left" w:pos="1134"/>
        </w:tabs>
        <w:spacing w:line="276" w:lineRule="auto"/>
        <w:jc w:val="both"/>
        <w:outlineLvl w:val="1"/>
        <w:rPr>
          <w:rFonts w:ascii="Times New Roman" w:eastAsiaTheme="majorEastAsia" w:hAnsi="Times New Roman" w:cs="Times New Roman"/>
          <w:b/>
          <w:bCs/>
        </w:rPr>
      </w:pPr>
      <w:bookmarkStart w:id="125" w:name="_Toc125723302"/>
      <w:r w:rsidRPr="00B72147">
        <w:rPr>
          <w:rFonts w:ascii="Times New Roman" w:eastAsiaTheme="majorEastAsia" w:hAnsi="Times New Roman" w:cs="Times New Roman"/>
          <w:b/>
          <w:bCs/>
        </w:rPr>
        <w:t>Entorno Externo</w:t>
      </w:r>
      <w:bookmarkEnd w:id="125"/>
      <w:r w:rsidRPr="00B72147">
        <w:rPr>
          <w:rFonts w:ascii="Times New Roman" w:eastAsiaTheme="majorEastAsia" w:hAnsi="Times New Roman" w:cs="Times New Roman"/>
          <w:b/>
          <w:bCs/>
        </w:rPr>
        <w:t xml:space="preserve"> </w:t>
      </w:r>
    </w:p>
    <w:p w14:paraId="47A3DC7E" w14:textId="55A0EB1D" w:rsidR="00E5175E" w:rsidRDefault="00E5175E" w:rsidP="008D7BB4">
      <w:pPr>
        <w:spacing w:line="276" w:lineRule="auto"/>
        <w:contextualSpacing/>
        <w:jc w:val="both"/>
        <w:rPr>
          <w:rFonts w:ascii="Times New Roman" w:eastAsia="Times New Roman" w:hAnsi="Times New Roman" w:cs="Times New Roman"/>
          <w:noProof/>
          <w:lang w:val="es-ES_tradnl" w:eastAsia="es-GT"/>
        </w:rPr>
      </w:pPr>
    </w:p>
    <w:p w14:paraId="393F9A76" w14:textId="514E294C" w:rsidR="00E5175E" w:rsidRPr="00E5175E" w:rsidRDefault="00E5175E" w:rsidP="008D7BB4">
      <w:pPr>
        <w:numPr>
          <w:ilvl w:val="0"/>
          <w:numId w:val="48"/>
        </w:numPr>
        <w:spacing w:line="276" w:lineRule="auto"/>
        <w:contextualSpacing/>
        <w:jc w:val="both"/>
        <w:rPr>
          <w:rFonts w:ascii="Times New Roman" w:eastAsia="Times New Roman" w:hAnsi="Times New Roman" w:cs="Times New Roman"/>
          <w:sz w:val="22"/>
          <w:szCs w:val="22"/>
        </w:rPr>
      </w:pPr>
      <w:r w:rsidRPr="00E5175E">
        <w:rPr>
          <w:rFonts w:ascii="Times New Roman" w:eastAsia="Times New Roman" w:hAnsi="Times New Roman" w:cs="Times New Roman"/>
          <w:sz w:val="22"/>
          <w:szCs w:val="22"/>
        </w:rPr>
        <w:t xml:space="preserve">La recuperación económica mundial se ha desacelerado después del repunte del año 2021, del 6.0%, con una normalización del 3.2% en 2022, según las perspectivas económicas mundiales a octubre del Fondo Monetario Internacional -FMI-, como consecuencia de los continuos brotes de COVID-19, la disminución del apoyo fiscal, la incertidumbre generada por la guerra Rusia-Ucrania, la alta inflación en la mayoría de las economías que disminuye el ingreso real de los hogares y por el endurecimiento de las condiciones financieras por el </w:t>
      </w:r>
      <w:r w:rsidR="00D64BC1" w:rsidRPr="00E5175E">
        <w:rPr>
          <w:rFonts w:ascii="Times New Roman" w:eastAsia="Times New Roman" w:hAnsi="Times New Roman" w:cs="Times New Roman"/>
          <w:sz w:val="22"/>
          <w:szCs w:val="22"/>
        </w:rPr>
        <w:t>aumento</w:t>
      </w:r>
      <w:r w:rsidRPr="00E5175E">
        <w:rPr>
          <w:rFonts w:ascii="Times New Roman" w:eastAsia="Times New Roman" w:hAnsi="Times New Roman" w:cs="Times New Roman"/>
          <w:sz w:val="22"/>
          <w:szCs w:val="22"/>
        </w:rPr>
        <w:t xml:space="preserve"> de las tasas de interés de los bancos centrales. </w:t>
      </w:r>
    </w:p>
    <w:p w14:paraId="58158678" w14:textId="77777777" w:rsidR="00E5175E" w:rsidRPr="00E5175E" w:rsidRDefault="00E5175E" w:rsidP="008D7BB4">
      <w:pPr>
        <w:spacing w:line="276" w:lineRule="auto"/>
        <w:ind w:left="360"/>
        <w:contextualSpacing/>
        <w:jc w:val="both"/>
        <w:rPr>
          <w:rFonts w:ascii="Times New Roman" w:eastAsia="Times New Roman" w:hAnsi="Times New Roman" w:cs="Times New Roman"/>
          <w:sz w:val="22"/>
          <w:szCs w:val="22"/>
        </w:rPr>
      </w:pPr>
    </w:p>
    <w:p w14:paraId="4CD48F1F" w14:textId="6C43CDB2" w:rsidR="00E5175E" w:rsidRPr="00E5175E" w:rsidRDefault="00E5175E" w:rsidP="008D7BB4">
      <w:pPr>
        <w:numPr>
          <w:ilvl w:val="0"/>
          <w:numId w:val="48"/>
        </w:numPr>
        <w:spacing w:line="276" w:lineRule="auto"/>
        <w:contextualSpacing/>
        <w:jc w:val="both"/>
        <w:rPr>
          <w:rFonts w:ascii="Times New Roman" w:eastAsia="Times New Roman" w:hAnsi="Times New Roman" w:cs="Times New Roman"/>
          <w:sz w:val="22"/>
          <w:szCs w:val="22"/>
        </w:rPr>
      </w:pPr>
      <w:r w:rsidRPr="00E5175E">
        <w:rPr>
          <w:rFonts w:ascii="Times New Roman" w:eastAsia="Times New Roman" w:hAnsi="Times New Roman" w:cs="Times New Roman"/>
          <w:sz w:val="22"/>
          <w:szCs w:val="22"/>
        </w:rPr>
        <w:t xml:space="preserve">Asimismo, para el 2022 el FMI estima que el crecimiento de las economías avanzadas se encuentre en 2.4%, en particular para la zona del euro se espera un crecimiento de 3.1%, el promedio de crecimiento de esta región esconde una heterogeneidad entre países, mientras Italia y España se recuperan en los servicios de turismo y de producción industrial, para Francia y Alemania se espera un crecimiento menor, debido a los efectos negativos de la guerra entre Rusia y Ucrania. Para las economías emergentes y en desarrollo se espera que el crecimiento se encuentre alrededor del 3.7%, se espera que el crecimiento de América Latina y el Caribe se encuentre en 3.5%. </w:t>
      </w:r>
    </w:p>
    <w:p w14:paraId="196895DF" w14:textId="109D2C9F" w:rsidR="00E5175E" w:rsidRDefault="00E5175E" w:rsidP="008D7BB4">
      <w:pPr>
        <w:spacing w:line="276" w:lineRule="auto"/>
        <w:contextualSpacing/>
        <w:jc w:val="both"/>
        <w:rPr>
          <w:rFonts w:ascii="Times New Roman" w:eastAsia="Times New Roman" w:hAnsi="Times New Roman" w:cs="Times New Roman"/>
          <w:noProof/>
          <w:lang w:eastAsia="es-GT"/>
        </w:rPr>
      </w:pPr>
    </w:p>
    <w:p w14:paraId="4D14A3A6" w14:textId="34642397" w:rsidR="006C7DA1" w:rsidRDefault="006C7DA1" w:rsidP="006C7DA1">
      <w:pPr>
        <w:numPr>
          <w:ilvl w:val="0"/>
          <w:numId w:val="48"/>
        </w:numPr>
        <w:spacing w:line="276" w:lineRule="auto"/>
        <w:contextualSpacing/>
        <w:jc w:val="both"/>
        <w:rPr>
          <w:rFonts w:ascii="Times New Roman" w:eastAsia="Times New Roman" w:hAnsi="Times New Roman" w:cs="Times New Roman"/>
          <w:sz w:val="22"/>
          <w:szCs w:val="22"/>
        </w:rPr>
      </w:pPr>
      <w:r w:rsidRPr="00E5175E">
        <w:rPr>
          <w:rFonts w:ascii="Times New Roman" w:eastAsia="Times New Roman" w:hAnsi="Times New Roman" w:cs="Times New Roman"/>
          <w:sz w:val="22"/>
          <w:szCs w:val="22"/>
        </w:rPr>
        <w:t>Desde finales de 2021, la inflación ha aumentado más rápido y persistentemente de lo previsto. Para el 2022, la inflación en las economías avanzadas alcanzó su tasa más alta desde 1982. La cual ha reflejado su impacto entre los grupos de menor ingreso de las economías en desarrollo. En esos países, hasta la mitad del gasto de consumo de los hogares es en alimentos, lo cual significa que la inflación puede tener repercusiones particularmente graves en la salud y el nivel de vida de los seres humanos. Se prevé que la inflación subyacente mundial, medida excluyendo los precios de los alimentos y la energía, sea de 6.6% entre cuartos trimestres, reflejando el traspaso de los precios de la energía, la presión de costos de la cadena de suministro y los ajustados mercados de trabajo, especialmente en las economías avanzadas</w:t>
      </w:r>
      <w:r>
        <w:rPr>
          <w:rFonts w:ascii="Times New Roman" w:eastAsia="Times New Roman" w:hAnsi="Times New Roman" w:cs="Times New Roman"/>
          <w:sz w:val="22"/>
          <w:szCs w:val="22"/>
        </w:rPr>
        <w:t>.</w:t>
      </w:r>
    </w:p>
    <w:p w14:paraId="65D46B68" w14:textId="77777777" w:rsidR="006C7DA1" w:rsidRDefault="006C7DA1" w:rsidP="006C7DA1">
      <w:pPr>
        <w:pStyle w:val="Prrafodelista"/>
        <w:rPr>
          <w:rFonts w:ascii="Times New Roman" w:eastAsia="Times New Roman" w:hAnsi="Times New Roman" w:cs="Times New Roman"/>
        </w:rPr>
      </w:pPr>
    </w:p>
    <w:p w14:paraId="212966C0" w14:textId="77777777" w:rsidR="006C7DA1" w:rsidRPr="00E5175E" w:rsidRDefault="006C7DA1" w:rsidP="006C7DA1">
      <w:pPr>
        <w:numPr>
          <w:ilvl w:val="0"/>
          <w:numId w:val="48"/>
        </w:numPr>
        <w:spacing w:line="276" w:lineRule="auto"/>
        <w:contextualSpacing/>
        <w:jc w:val="both"/>
        <w:rPr>
          <w:rFonts w:ascii="Times New Roman" w:eastAsia="Times New Roman" w:hAnsi="Times New Roman" w:cs="Times New Roman"/>
          <w:sz w:val="22"/>
          <w:szCs w:val="22"/>
        </w:rPr>
      </w:pPr>
      <w:r w:rsidRPr="00E5175E">
        <w:rPr>
          <w:rFonts w:ascii="Times New Roman" w:eastAsia="Times New Roman" w:hAnsi="Times New Roman" w:cs="Times New Roman"/>
          <w:sz w:val="22"/>
          <w:szCs w:val="22"/>
        </w:rPr>
        <w:t xml:space="preserve">La guerra en Ucrania: el desplazamiento de millones de personas; las sanciones por parte la Unión Europea sobre Rusia, así como el bloqueo en la importación de carbón y petróleo han traído como consecuencia que la economía rusa se contrajera 21.8% (tasa trimestral anualizada) durante el segundo trimestre, aunque las exportaciones de petróleo crudo y de productos no energéticos se sostuvieron. La reducción de las exportaciones procedentes de Rusia, sobre todo de gas, también ha afectado el comercio de combustibles fósiles, descendiendo el flujo de gas ruso a Europa por gasoducto a alrededor de 20% de su nivel registrado hace un año, contribuyendo al aumento de los precios del gas natural. Por otra parte, la guerra está teniendo consecuencias mundiales para </w:t>
      </w:r>
      <w:r w:rsidRPr="00E5175E">
        <w:rPr>
          <w:rFonts w:ascii="Times New Roman" w:eastAsia="Times New Roman" w:hAnsi="Times New Roman" w:cs="Times New Roman"/>
          <w:sz w:val="22"/>
          <w:szCs w:val="22"/>
        </w:rPr>
        <w:lastRenderedPageBreak/>
        <w:t>los precios de los alimentos. Los países donde los alimentos representan el 40% de la cesta de los alimentos región, en promedio, y el traspaso de los precios mundiales de los alimentos a sus precios locales es relativamente alto, de 30%.</w:t>
      </w:r>
    </w:p>
    <w:p w14:paraId="78C5888E" w14:textId="77777777" w:rsidR="006C7DA1" w:rsidRPr="00E5175E" w:rsidRDefault="006C7DA1" w:rsidP="008D7BB4">
      <w:pPr>
        <w:spacing w:line="276" w:lineRule="auto"/>
        <w:contextualSpacing/>
        <w:jc w:val="both"/>
        <w:rPr>
          <w:rFonts w:ascii="Times New Roman" w:eastAsia="Times New Roman" w:hAnsi="Times New Roman" w:cs="Times New Roman"/>
          <w:noProof/>
          <w:lang w:eastAsia="es-GT"/>
        </w:rPr>
      </w:pPr>
    </w:p>
    <w:p w14:paraId="26BE9967" w14:textId="6D41444F" w:rsidR="00E5175E" w:rsidRPr="00E5175E" w:rsidRDefault="00FE0B42" w:rsidP="008D7BB4">
      <w:pPr>
        <w:spacing w:line="276" w:lineRule="auto"/>
        <w:contextualSpacing/>
        <w:jc w:val="center"/>
        <w:rPr>
          <w:rFonts w:ascii="Times New Roman" w:eastAsia="Times New Roman" w:hAnsi="Times New Roman" w:cs="Times New Roman"/>
          <w:b/>
          <w:sz w:val="22"/>
          <w:szCs w:val="22"/>
          <w:lang w:val="es-ES_tradnl" w:eastAsia="es-ES"/>
        </w:rPr>
      </w:pPr>
      <w:bookmarkStart w:id="126" w:name="_Toc125534817"/>
      <w:r w:rsidRPr="0014283B">
        <w:rPr>
          <w:rFonts w:ascii="Times New Roman" w:hAnsi="Times New Roman" w:cs="Times New Roman"/>
          <w:b/>
          <w:bCs/>
          <w:sz w:val="22"/>
          <w:szCs w:val="22"/>
        </w:rPr>
        <w:t xml:space="preserve">Tabla </w:t>
      </w:r>
      <w:r w:rsidRPr="0014283B">
        <w:rPr>
          <w:rFonts w:ascii="Times New Roman" w:hAnsi="Times New Roman" w:cs="Times New Roman"/>
          <w:b/>
          <w:bCs/>
          <w:sz w:val="22"/>
          <w:szCs w:val="22"/>
        </w:rPr>
        <w:fldChar w:fldCharType="begin"/>
      </w:r>
      <w:r w:rsidRPr="0014283B">
        <w:rPr>
          <w:rFonts w:ascii="Times New Roman" w:hAnsi="Times New Roman" w:cs="Times New Roman"/>
          <w:b/>
          <w:bCs/>
          <w:sz w:val="22"/>
          <w:szCs w:val="22"/>
        </w:rPr>
        <w:instrText xml:space="preserve"> SEQ Tabla \* ARABIC </w:instrText>
      </w:r>
      <w:r w:rsidRPr="0014283B">
        <w:rPr>
          <w:rFonts w:ascii="Times New Roman" w:hAnsi="Times New Roman" w:cs="Times New Roman"/>
          <w:b/>
          <w:bCs/>
          <w:sz w:val="22"/>
          <w:szCs w:val="22"/>
        </w:rPr>
        <w:fldChar w:fldCharType="separate"/>
      </w:r>
      <w:r w:rsidR="006F4BE5">
        <w:rPr>
          <w:rFonts w:ascii="Times New Roman" w:hAnsi="Times New Roman" w:cs="Times New Roman"/>
          <w:b/>
          <w:bCs/>
          <w:noProof/>
          <w:sz w:val="22"/>
          <w:szCs w:val="22"/>
        </w:rPr>
        <w:t>8</w:t>
      </w:r>
      <w:r w:rsidRPr="0014283B">
        <w:rPr>
          <w:rFonts w:ascii="Times New Roman" w:hAnsi="Times New Roman" w:cs="Times New Roman"/>
          <w:b/>
          <w:bCs/>
          <w:sz w:val="22"/>
          <w:szCs w:val="22"/>
        </w:rPr>
        <w:fldChar w:fldCharType="end"/>
      </w:r>
      <w:r w:rsidRPr="0014283B">
        <w:rPr>
          <w:rFonts w:ascii="Times New Roman" w:hAnsi="Times New Roman" w:cs="Times New Roman"/>
          <w:b/>
          <w:bCs/>
          <w:sz w:val="22"/>
          <w:szCs w:val="22"/>
        </w:rPr>
        <w:t>.</w:t>
      </w:r>
      <w:r w:rsidRPr="0014283B">
        <w:rPr>
          <w:sz w:val="22"/>
          <w:szCs w:val="22"/>
        </w:rPr>
        <w:t xml:space="preserve"> </w:t>
      </w:r>
      <w:r w:rsidR="00E5175E" w:rsidRPr="00E5175E">
        <w:rPr>
          <w:rFonts w:ascii="Times New Roman" w:eastAsia="Times New Roman" w:hAnsi="Times New Roman" w:cs="Times New Roman"/>
          <w:b/>
          <w:sz w:val="22"/>
          <w:szCs w:val="22"/>
          <w:lang w:val="es-ES_tradnl" w:eastAsia="es-ES"/>
        </w:rPr>
        <w:t>Evolución de las estimaciones de cierre 2022 según el FMI</w:t>
      </w:r>
      <w:bookmarkEnd w:id="126"/>
    </w:p>
    <w:tbl>
      <w:tblPr>
        <w:tblStyle w:val="Tablaconcuadrcula8"/>
        <w:tblW w:w="0" w:type="auto"/>
        <w:jc w:val="center"/>
        <w:tblLook w:val="04A0" w:firstRow="1" w:lastRow="0" w:firstColumn="1" w:lastColumn="0" w:noHBand="0" w:noVBand="1"/>
      </w:tblPr>
      <w:tblGrid>
        <w:gridCol w:w="854"/>
        <w:gridCol w:w="994"/>
        <w:gridCol w:w="994"/>
        <w:gridCol w:w="994"/>
        <w:gridCol w:w="994"/>
        <w:gridCol w:w="994"/>
        <w:gridCol w:w="994"/>
        <w:gridCol w:w="994"/>
        <w:gridCol w:w="994"/>
      </w:tblGrid>
      <w:tr w:rsidR="00E5175E" w:rsidRPr="00E5175E" w14:paraId="3A63178C" w14:textId="77777777" w:rsidTr="00AC6441">
        <w:trPr>
          <w:trHeight w:val="15"/>
          <w:jc w:val="center"/>
        </w:trPr>
        <w:tc>
          <w:tcPr>
            <w:tcW w:w="846" w:type="dxa"/>
            <w:shd w:val="clear" w:color="auto" w:fill="D9E2F3" w:themeFill="accent1" w:themeFillTint="33"/>
            <w:vAlign w:val="center"/>
          </w:tcPr>
          <w:p w14:paraId="790FBF62" w14:textId="77777777" w:rsidR="00E5175E" w:rsidRPr="00E5175E" w:rsidRDefault="00E5175E" w:rsidP="008D7BB4">
            <w:pPr>
              <w:spacing w:line="276" w:lineRule="auto"/>
              <w:contextualSpacing/>
              <w:jc w:val="both"/>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PIB real, variación porcentual anual</w:t>
            </w:r>
          </w:p>
        </w:tc>
        <w:tc>
          <w:tcPr>
            <w:tcW w:w="985" w:type="dxa"/>
            <w:shd w:val="clear" w:color="auto" w:fill="D9E2F3" w:themeFill="accent1" w:themeFillTint="33"/>
            <w:vAlign w:val="center"/>
          </w:tcPr>
          <w:p w14:paraId="6C2E10EE"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proofErr w:type="spellStart"/>
            <w:r w:rsidRPr="00E5175E">
              <w:rPr>
                <w:rFonts w:ascii="Times New Roman" w:eastAsia="Times New Roman" w:hAnsi="Times New Roman"/>
                <w:sz w:val="14"/>
                <w:szCs w:val="16"/>
                <w:lang w:val="en-US" w:eastAsia="es-ES"/>
              </w:rPr>
              <w:t>Actualizaci</w:t>
            </w:r>
            <w:r w:rsidRPr="00E5175E">
              <w:rPr>
                <w:rFonts w:ascii="Times New Roman" w:eastAsia="Times New Roman" w:hAnsi="Times New Roman"/>
                <w:sz w:val="14"/>
                <w:szCs w:val="16"/>
                <w:lang w:eastAsia="es-ES"/>
              </w:rPr>
              <w:t>ón</w:t>
            </w:r>
            <w:proofErr w:type="spellEnd"/>
            <w:r w:rsidRPr="00E5175E">
              <w:rPr>
                <w:rFonts w:ascii="Times New Roman" w:eastAsia="Times New Roman" w:hAnsi="Times New Roman"/>
                <w:sz w:val="14"/>
                <w:szCs w:val="16"/>
                <w:lang w:eastAsia="es-ES"/>
              </w:rPr>
              <w:t xml:space="preserve"> </w:t>
            </w:r>
          </w:p>
          <w:p w14:paraId="3E4C5DE4" w14:textId="77777777" w:rsidR="00E5175E" w:rsidRPr="00E5175E" w:rsidRDefault="00E5175E" w:rsidP="008D7BB4">
            <w:pPr>
              <w:spacing w:line="276" w:lineRule="auto"/>
              <w:contextualSpacing/>
              <w:jc w:val="center"/>
              <w:rPr>
                <w:rFonts w:ascii="Times New Roman" w:eastAsia="Times New Roman" w:hAnsi="Times New Roman"/>
                <w:sz w:val="14"/>
                <w:szCs w:val="16"/>
                <w:lang w:val="en-US" w:eastAsia="es-ES"/>
              </w:rPr>
            </w:pPr>
            <w:proofErr w:type="spellStart"/>
            <w:r w:rsidRPr="00E5175E">
              <w:rPr>
                <w:rFonts w:ascii="Times New Roman" w:eastAsia="Times New Roman" w:hAnsi="Times New Roman"/>
                <w:sz w:val="14"/>
                <w:szCs w:val="16"/>
                <w:lang w:val="en-US" w:eastAsia="es-ES"/>
              </w:rPr>
              <w:t>enero</w:t>
            </w:r>
            <w:proofErr w:type="spellEnd"/>
            <w:r w:rsidRPr="00E5175E">
              <w:rPr>
                <w:rFonts w:ascii="Times New Roman" w:eastAsia="Times New Roman" w:hAnsi="Times New Roman"/>
                <w:sz w:val="14"/>
                <w:szCs w:val="16"/>
                <w:lang w:val="en-US" w:eastAsia="es-ES"/>
              </w:rPr>
              <w:t xml:space="preserve"> 2021</w:t>
            </w:r>
          </w:p>
        </w:tc>
        <w:tc>
          <w:tcPr>
            <w:tcW w:w="985" w:type="dxa"/>
            <w:shd w:val="clear" w:color="auto" w:fill="D9E2F3" w:themeFill="accent1" w:themeFillTint="33"/>
            <w:vAlign w:val="center"/>
          </w:tcPr>
          <w:p w14:paraId="12BACF2B"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proofErr w:type="spellStart"/>
            <w:r w:rsidRPr="00E5175E">
              <w:rPr>
                <w:rFonts w:ascii="Times New Roman" w:eastAsia="Times New Roman" w:hAnsi="Times New Roman"/>
                <w:sz w:val="14"/>
                <w:szCs w:val="16"/>
                <w:lang w:val="en-US" w:eastAsia="es-ES"/>
              </w:rPr>
              <w:t>Actualizaci</w:t>
            </w:r>
            <w:r w:rsidRPr="00E5175E">
              <w:rPr>
                <w:rFonts w:ascii="Times New Roman" w:eastAsia="Times New Roman" w:hAnsi="Times New Roman"/>
                <w:sz w:val="14"/>
                <w:szCs w:val="16"/>
                <w:lang w:eastAsia="es-ES"/>
              </w:rPr>
              <w:t>ón</w:t>
            </w:r>
            <w:proofErr w:type="spellEnd"/>
          </w:p>
          <w:p w14:paraId="23AA6835" w14:textId="77777777" w:rsidR="00E5175E" w:rsidRPr="00E5175E" w:rsidRDefault="00E5175E" w:rsidP="008D7BB4">
            <w:pPr>
              <w:spacing w:line="276" w:lineRule="auto"/>
              <w:contextualSpacing/>
              <w:jc w:val="center"/>
              <w:rPr>
                <w:rFonts w:ascii="Times New Roman" w:eastAsia="Times New Roman" w:hAnsi="Times New Roman"/>
                <w:sz w:val="14"/>
                <w:szCs w:val="16"/>
                <w:lang w:val="en-US" w:eastAsia="es-ES"/>
              </w:rPr>
            </w:pPr>
            <w:r w:rsidRPr="00E5175E">
              <w:rPr>
                <w:rFonts w:ascii="Times New Roman" w:eastAsia="Times New Roman" w:hAnsi="Times New Roman"/>
                <w:sz w:val="14"/>
                <w:szCs w:val="16"/>
                <w:lang w:eastAsia="es-ES"/>
              </w:rPr>
              <w:t xml:space="preserve"> </w:t>
            </w:r>
            <w:proofErr w:type="spellStart"/>
            <w:r w:rsidRPr="00E5175E">
              <w:rPr>
                <w:rFonts w:ascii="Times New Roman" w:eastAsia="Times New Roman" w:hAnsi="Times New Roman"/>
                <w:sz w:val="14"/>
                <w:szCs w:val="16"/>
                <w:lang w:val="en-US" w:eastAsia="es-ES"/>
              </w:rPr>
              <w:t>abril</w:t>
            </w:r>
            <w:proofErr w:type="spellEnd"/>
            <w:r w:rsidRPr="00E5175E">
              <w:rPr>
                <w:rFonts w:ascii="Times New Roman" w:eastAsia="Times New Roman" w:hAnsi="Times New Roman"/>
                <w:sz w:val="14"/>
                <w:szCs w:val="16"/>
                <w:lang w:val="en-US" w:eastAsia="es-ES"/>
              </w:rPr>
              <w:t xml:space="preserve"> 2021</w:t>
            </w:r>
          </w:p>
        </w:tc>
        <w:tc>
          <w:tcPr>
            <w:tcW w:w="985" w:type="dxa"/>
            <w:shd w:val="clear" w:color="auto" w:fill="D9E2F3" w:themeFill="accent1" w:themeFillTint="33"/>
            <w:vAlign w:val="center"/>
          </w:tcPr>
          <w:p w14:paraId="5B6C8CF3"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proofErr w:type="spellStart"/>
            <w:r w:rsidRPr="00E5175E">
              <w:rPr>
                <w:rFonts w:ascii="Times New Roman" w:eastAsia="Times New Roman" w:hAnsi="Times New Roman"/>
                <w:sz w:val="14"/>
                <w:szCs w:val="16"/>
                <w:lang w:val="en-US" w:eastAsia="es-ES"/>
              </w:rPr>
              <w:t>Actualizaci</w:t>
            </w:r>
            <w:r w:rsidRPr="00E5175E">
              <w:rPr>
                <w:rFonts w:ascii="Times New Roman" w:eastAsia="Times New Roman" w:hAnsi="Times New Roman"/>
                <w:sz w:val="14"/>
                <w:szCs w:val="16"/>
                <w:lang w:eastAsia="es-ES"/>
              </w:rPr>
              <w:t>ón</w:t>
            </w:r>
            <w:proofErr w:type="spellEnd"/>
            <w:r w:rsidRPr="00E5175E">
              <w:rPr>
                <w:rFonts w:ascii="Times New Roman" w:eastAsia="Times New Roman" w:hAnsi="Times New Roman"/>
                <w:sz w:val="14"/>
                <w:szCs w:val="16"/>
                <w:lang w:eastAsia="es-ES"/>
              </w:rPr>
              <w:t xml:space="preserve"> </w:t>
            </w:r>
          </w:p>
          <w:p w14:paraId="6E681BFE" w14:textId="77777777" w:rsidR="00E5175E" w:rsidRPr="00E5175E" w:rsidRDefault="00E5175E" w:rsidP="008D7BB4">
            <w:pPr>
              <w:spacing w:line="276" w:lineRule="auto"/>
              <w:contextualSpacing/>
              <w:jc w:val="center"/>
              <w:rPr>
                <w:rFonts w:ascii="Times New Roman" w:eastAsia="Times New Roman" w:hAnsi="Times New Roman"/>
                <w:sz w:val="14"/>
                <w:szCs w:val="16"/>
                <w:lang w:val="en-US" w:eastAsia="es-ES"/>
              </w:rPr>
            </w:pPr>
            <w:proofErr w:type="spellStart"/>
            <w:r w:rsidRPr="00E5175E">
              <w:rPr>
                <w:rFonts w:ascii="Times New Roman" w:eastAsia="Times New Roman" w:hAnsi="Times New Roman"/>
                <w:sz w:val="14"/>
                <w:szCs w:val="16"/>
                <w:lang w:val="en-US" w:eastAsia="es-ES"/>
              </w:rPr>
              <w:t>julio</w:t>
            </w:r>
            <w:proofErr w:type="spellEnd"/>
            <w:r w:rsidRPr="00E5175E">
              <w:rPr>
                <w:rFonts w:ascii="Times New Roman" w:eastAsia="Times New Roman" w:hAnsi="Times New Roman"/>
                <w:sz w:val="14"/>
                <w:szCs w:val="16"/>
                <w:lang w:val="en-US" w:eastAsia="es-ES"/>
              </w:rPr>
              <w:t xml:space="preserve"> 2021</w:t>
            </w:r>
          </w:p>
        </w:tc>
        <w:tc>
          <w:tcPr>
            <w:tcW w:w="985" w:type="dxa"/>
            <w:shd w:val="clear" w:color="auto" w:fill="D9E2F3" w:themeFill="accent1" w:themeFillTint="33"/>
            <w:vAlign w:val="center"/>
          </w:tcPr>
          <w:p w14:paraId="2B06D7AF"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proofErr w:type="spellStart"/>
            <w:r w:rsidRPr="00E5175E">
              <w:rPr>
                <w:rFonts w:ascii="Times New Roman" w:eastAsia="Times New Roman" w:hAnsi="Times New Roman"/>
                <w:sz w:val="14"/>
                <w:szCs w:val="16"/>
                <w:lang w:val="en-US" w:eastAsia="es-ES"/>
              </w:rPr>
              <w:t>Actualizaci</w:t>
            </w:r>
            <w:r w:rsidRPr="00E5175E">
              <w:rPr>
                <w:rFonts w:ascii="Times New Roman" w:eastAsia="Times New Roman" w:hAnsi="Times New Roman"/>
                <w:sz w:val="14"/>
                <w:szCs w:val="16"/>
                <w:lang w:eastAsia="es-ES"/>
              </w:rPr>
              <w:t>ón</w:t>
            </w:r>
            <w:proofErr w:type="spellEnd"/>
            <w:r w:rsidRPr="00E5175E">
              <w:rPr>
                <w:rFonts w:ascii="Times New Roman" w:eastAsia="Times New Roman" w:hAnsi="Times New Roman"/>
                <w:sz w:val="14"/>
                <w:szCs w:val="16"/>
                <w:lang w:eastAsia="es-ES"/>
              </w:rPr>
              <w:t xml:space="preserve"> </w:t>
            </w:r>
          </w:p>
          <w:p w14:paraId="408D2A84" w14:textId="77777777" w:rsidR="00E5175E" w:rsidRPr="00E5175E" w:rsidRDefault="00E5175E" w:rsidP="008D7BB4">
            <w:pPr>
              <w:spacing w:line="276" w:lineRule="auto"/>
              <w:contextualSpacing/>
              <w:jc w:val="center"/>
              <w:rPr>
                <w:rFonts w:ascii="Times New Roman" w:eastAsia="Times New Roman" w:hAnsi="Times New Roman"/>
                <w:sz w:val="14"/>
                <w:szCs w:val="16"/>
                <w:lang w:val="en-US" w:eastAsia="es-ES"/>
              </w:rPr>
            </w:pPr>
            <w:proofErr w:type="spellStart"/>
            <w:r w:rsidRPr="00E5175E">
              <w:rPr>
                <w:rFonts w:ascii="Times New Roman" w:eastAsia="Times New Roman" w:hAnsi="Times New Roman"/>
                <w:sz w:val="14"/>
                <w:szCs w:val="16"/>
                <w:lang w:val="en-US" w:eastAsia="es-ES"/>
              </w:rPr>
              <w:t>octubre</w:t>
            </w:r>
            <w:proofErr w:type="spellEnd"/>
            <w:r w:rsidRPr="00E5175E">
              <w:rPr>
                <w:rFonts w:ascii="Times New Roman" w:eastAsia="Times New Roman" w:hAnsi="Times New Roman"/>
                <w:sz w:val="14"/>
                <w:szCs w:val="16"/>
                <w:lang w:val="en-US" w:eastAsia="es-ES"/>
              </w:rPr>
              <w:t xml:space="preserve"> 2021</w:t>
            </w:r>
          </w:p>
        </w:tc>
        <w:tc>
          <w:tcPr>
            <w:tcW w:w="985" w:type="dxa"/>
            <w:shd w:val="clear" w:color="auto" w:fill="D9E2F3" w:themeFill="accent1" w:themeFillTint="33"/>
            <w:vAlign w:val="center"/>
          </w:tcPr>
          <w:p w14:paraId="02A4F0E9"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proofErr w:type="spellStart"/>
            <w:r w:rsidRPr="00E5175E">
              <w:rPr>
                <w:rFonts w:ascii="Times New Roman" w:eastAsia="Times New Roman" w:hAnsi="Times New Roman"/>
                <w:sz w:val="14"/>
                <w:szCs w:val="16"/>
                <w:lang w:val="en-US" w:eastAsia="es-ES"/>
              </w:rPr>
              <w:t>Actualizaci</w:t>
            </w:r>
            <w:r w:rsidRPr="00E5175E">
              <w:rPr>
                <w:rFonts w:ascii="Times New Roman" w:eastAsia="Times New Roman" w:hAnsi="Times New Roman"/>
                <w:sz w:val="14"/>
                <w:szCs w:val="16"/>
                <w:lang w:eastAsia="es-ES"/>
              </w:rPr>
              <w:t>ón</w:t>
            </w:r>
            <w:proofErr w:type="spellEnd"/>
            <w:r w:rsidRPr="00E5175E">
              <w:rPr>
                <w:rFonts w:ascii="Times New Roman" w:eastAsia="Times New Roman" w:hAnsi="Times New Roman"/>
                <w:sz w:val="14"/>
                <w:szCs w:val="16"/>
                <w:lang w:eastAsia="es-ES"/>
              </w:rPr>
              <w:t xml:space="preserve"> </w:t>
            </w:r>
          </w:p>
          <w:p w14:paraId="0CBABDCA" w14:textId="77777777" w:rsidR="00E5175E" w:rsidRPr="00E5175E" w:rsidRDefault="00E5175E" w:rsidP="008D7BB4">
            <w:pPr>
              <w:spacing w:line="276" w:lineRule="auto"/>
              <w:contextualSpacing/>
              <w:jc w:val="center"/>
              <w:rPr>
                <w:rFonts w:ascii="Times New Roman" w:eastAsia="Times New Roman" w:hAnsi="Times New Roman"/>
                <w:sz w:val="14"/>
                <w:szCs w:val="16"/>
                <w:lang w:val="en-US" w:eastAsia="es-ES"/>
              </w:rPr>
            </w:pPr>
            <w:proofErr w:type="spellStart"/>
            <w:r w:rsidRPr="00E5175E">
              <w:rPr>
                <w:rFonts w:ascii="Times New Roman" w:eastAsia="Times New Roman" w:hAnsi="Times New Roman"/>
                <w:sz w:val="14"/>
                <w:szCs w:val="16"/>
                <w:lang w:val="en-US" w:eastAsia="es-ES"/>
              </w:rPr>
              <w:t>enero</w:t>
            </w:r>
            <w:proofErr w:type="spellEnd"/>
            <w:r w:rsidRPr="00E5175E">
              <w:rPr>
                <w:rFonts w:ascii="Times New Roman" w:eastAsia="Times New Roman" w:hAnsi="Times New Roman"/>
                <w:sz w:val="14"/>
                <w:szCs w:val="16"/>
                <w:lang w:val="en-US" w:eastAsia="es-ES"/>
              </w:rPr>
              <w:t xml:space="preserve"> 2022</w:t>
            </w:r>
          </w:p>
        </w:tc>
        <w:tc>
          <w:tcPr>
            <w:tcW w:w="985" w:type="dxa"/>
            <w:shd w:val="clear" w:color="auto" w:fill="D9E2F3" w:themeFill="accent1" w:themeFillTint="33"/>
            <w:vAlign w:val="center"/>
          </w:tcPr>
          <w:p w14:paraId="730FA920"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proofErr w:type="spellStart"/>
            <w:r w:rsidRPr="00E5175E">
              <w:rPr>
                <w:rFonts w:ascii="Times New Roman" w:eastAsia="Times New Roman" w:hAnsi="Times New Roman"/>
                <w:sz w:val="14"/>
                <w:szCs w:val="16"/>
                <w:lang w:val="en-US" w:eastAsia="es-ES"/>
              </w:rPr>
              <w:t>Actualizaci</w:t>
            </w:r>
            <w:r w:rsidRPr="00E5175E">
              <w:rPr>
                <w:rFonts w:ascii="Times New Roman" w:eastAsia="Times New Roman" w:hAnsi="Times New Roman"/>
                <w:sz w:val="14"/>
                <w:szCs w:val="16"/>
                <w:lang w:eastAsia="es-ES"/>
              </w:rPr>
              <w:t>ón</w:t>
            </w:r>
            <w:proofErr w:type="spellEnd"/>
          </w:p>
          <w:p w14:paraId="3AD8310B" w14:textId="77777777" w:rsidR="00E5175E" w:rsidRPr="00E5175E" w:rsidRDefault="00E5175E" w:rsidP="008D7BB4">
            <w:pPr>
              <w:spacing w:line="276" w:lineRule="auto"/>
              <w:contextualSpacing/>
              <w:jc w:val="center"/>
              <w:rPr>
                <w:rFonts w:ascii="Times New Roman" w:eastAsia="Times New Roman" w:hAnsi="Times New Roman"/>
                <w:sz w:val="14"/>
                <w:szCs w:val="16"/>
                <w:lang w:val="en-US" w:eastAsia="es-ES"/>
              </w:rPr>
            </w:pPr>
            <w:r w:rsidRPr="00E5175E">
              <w:rPr>
                <w:rFonts w:ascii="Times New Roman" w:eastAsia="Times New Roman" w:hAnsi="Times New Roman"/>
                <w:sz w:val="14"/>
                <w:szCs w:val="16"/>
                <w:lang w:eastAsia="es-ES"/>
              </w:rPr>
              <w:t xml:space="preserve"> </w:t>
            </w:r>
            <w:proofErr w:type="spellStart"/>
            <w:r w:rsidRPr="00E5175E">
              <w:rPr>
                <w:rFonts w:ascii="Times New Roman" w:eastAsia="Times New Roman" w:hAnsi="Times New Roman"/>
                <w:sz w:val="14"/>
                <w:szCs w:val="16"/>
                <w:lang w:val="en-US" w:eastAsia="es-ES"/>
              </w:rPr>
              <w:t>abril</w:t>
            </w:r>
            <w:proofErr w:type="spellEnd"/>
            <w:r w:rsidRPr="00E5175E">
              <w:rPr>
                <w:rFonts w:ascii="Times New Roman" w:eastAsia="Times New Roman" w:hAnsi="Times New Roman"/>
                <w:sz w:val="14"/>
                <w:szCs w:val="16"/>
                <w:lang w:val="en-US" w:eastAsia="es-ES"/>
              </w:rPr>
              <w:t xml:space="preserve"> 2022</w:t>
            </w:r>
          </w:p>
        </w:tc>
        <w:tc>
          <w:tcPr>
            <w:tcW w:w="985" w:type="dxa"/>
            <w:shd w:val="clear" w:color="auto" w:fill="D9E2F3" w:themeFill="accent1" w:themeFillTint="33"/>
            <w:vAlign w:val="center"/>
          </w:tcPr>
          <w:p w14:paraId="12DE4A71"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proofErr w:type="spellStart"/>
            <w:r w:rsidRPr="00E5175E">
              <w:rPr>
                <w:rFonts w:ascii="Times New Roman" w:eastAsia="Times New Roman" w:hAnsi="Times New Roman"/>
                <w:sz w:val="14"/>
                <w:szCs w:val="16"/>
                <w:lang w:val="en-US" w:eastAsia="es-ES"/>
              </w:rPr>
              <w:t>Actualizaci</w:t>
            </w:r>
            <w:r w:rsidRPr="00E5175E">
              <w:rPr>
                <w:rFonts w:ascii="Times New Roman" w:eastAsia="Times New Roman" w:hAnsi="Times New Roman"/>
                <w:sz w:val="14"/>
                <w:szCs w:val="16"/>
                <w:lang w:eastAsia="es-ES"/>
              </w:rPr>
              <w:t>ón</w:t>
            </w:r>
            <w:proofErr w:type="spellEnd"/>
          </w:p>
          <w:p w14:paraId="74DA838D"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p>
          <w:p w14:paraId="7DF5A265" w14:textId="77777777" w:rsidR="00E5175E" w:rsidRPr="00E5175E" w:rsidRDefault="00E5175E" w:rsidP="008D7BB4">
            <w:pPr>
              <w:spacing w:line="276" w:lineRule="auto"/>
              <w:contextualSpacing/>
              <w:jc w:val="center"/>
              <w:rPr>
                <w:rFonts w:ascii="Times New Roman" w:eastAsia="Times New Roman" w:hAnsi="Times New Roman"/>
                <w:sz w:val="14"/>
                <w:szCs w:val="16"/>
                <w:lang w:val="en-US" w:eastAsia="es-ES"/>
              </w:rPr>
            </w:pPr>
            <w:r w:rsidRPr="00E5175E">
              <w:rPr>
                <w:rFonts w:ascii="Times New Roman" w:eastAsia="Times New Roman" w:hAnsi="Times New Roman"/>
                <w:sz w:val="14"/>
                <w:szCs w:val="16"/>
                <w:lang w:eastAsia="es-ES"/>
              </w:rPr>
              <w:t xml:space="preserve"> </w:t>
            </w:r>
            <w:proofErr w:type="spellStart"/>
            <w:r w:rsidRPr="00E5175E">
              <w:rPr>
                <w:rFonts w:ascii="Times New Roman" w:eastAsia="Times New Roman" w:hAnsi="Times New Roman"/>
                <w:sz w:val="14"/>
                <w:szCs w:val="16"/>
                <w:lang w:val="en-US" w:eastAsia="es-ES"/>
              </w:rPr>
              <w:t>julio</w:t>
            </w:r>
            <w:proofErr w:type="spellEnd"/>
            <w:r w:rsidRPr="00E5175E">
              <w:rPr>
                <w:rFonts w:ascii="Times New Roman" w:eastAsia="Times New Roman" w:hAnsi="Times New Roman"/>
                <w:sz w:val="14"/>
                <w:szCs w:val="16"/>
                <w:lang w:val="en-US" w:eastAsia="es-ES"/>
              </w:rPr>
              <w:t xml:space="preserve"> 2022</w:t>
            </w:r>
          </w:p>
        </w:tc>
        <w:tc>
          <w:tcPr>
            <w:tcW w:w="985" w:type="dxa"/>
            <w:shd w:val="clear" w:color="auto" w:fill="D9E2F3" w:themeFill="accent1" w:themeFillTint="33"/>
            <w:vAlign w:val="center"/>
          </w:tcPr>
          <w:p w14:paraId="5363E55E" w14:textId="77777777" w:rsidR="00E5175E" w:rsidRPr="00E5175E" w:rsidRDefault="00E5175E" w:rsidP="008D7BB4">
            <w:pPr>
              <w:spacing w:line="276" w:lineRule="auto"/>
              <w:contextualSpacing/>
              <w:jc w:val="center"/>
              <w:rPr>
                <w:rFonts w:ascii="Times New Roman" w:eastAsia="Times New Roman" w:hAnsi="Times New Roman"/>
                <w:sz w:val="14"/>
                <w:szCs w:val="16"/>
                <w:lang w:val="en-US" w:eastAsia="es-ES"/>
              </w:rPr>
            </w:pPr>
            <w:proofErr w:type="spellStart"/>
            <w:r w:rsidRPr="00E5175E">
              <w:rPr>
                <w:rFonts w:ascii="Times New Roman" w:eastAsia="Times New Roman" w:hAnsi="Times New Roman"/>
                <w:sz w:val="14"/>
                <w:szCs w:val="16"/>
                <w:lang w:val="en-US" w:eastAsia="es-ES"/>
              </w:rPr>
              <w:t>Actualizaci</w:t>
            </w:r>
            <w:r w:rsidRPr="00E5175E">
              <w:rPr>
                <w:rFonts w:ascii="Times New Roman" w:eastAsia="Times New Roman" w:hAnsi="Times New Roman"/>
                <w:sz w:val="14"/>
                <w:szCs w:val="16"/>
                <w:lang w:eastAsia="es-ES"/>
              </w:rPr>
              <w:t>ón</w:t>
            </w:r>
            <w:proofErr w:type="spellEnd"/>
            <w:r w:rsidRPr="00E5175E">
              <w:rPr>
                <w:rFonts w:ascii="Times New Roman" w:eastAsia="Times New Roman" w:hAnsi="Times New Roman"/>
                <w:sz w:val="14"/>
                <w:szCs w:val="16"/>
                <w:lang w:eastAsia="es-ES"/>
              </w:rPr>
              <w:t xml:space="preserve"> </w:t>
            </w:r>
            <w:proofErr w:type="spellStart"/>
            <w:r w:rsidRPr="00E5175E">
              <w:rPr>
                <w:rFonts w:ascii="Times New Roman" w:eastAsia="Times New Roman" w:hAnsi="Times New Roman"/>
                <w:sz w:val="14"/>
                <w:szCs w:val="16"/>
                <w:lang w:val="en-US" w:eastAsia="es-ES"/>
              </w:rPr>
              <w:t>octubre</w:t>
            </w:r>
            <w:proofErr w:type="spellEnd"/>
            <w:r w:rsidRPr="00E5175E">
              <w:rPr>
                <w:rFonts w:ascii="Times New Roman" w:eastAsia="Times New Roman" w:hAnsi="Times New Roman"/>
                <w:sz w:val="14"/>
                <w:szCs w:val="16"/>
                <w:lang w:val="en-US" w:eastAsia="es-ES"/>
              </w:rPr>
              <w:t xml:space="preserve"> 2022</w:t>
            </w:r>
          </w:p>
        </w:tc>
      </w:tr>
      <w:tr w:rsidR="00E5175E" w:rsidRPr="00E5175E" w14:paraId="0D8E2AD6" w14:textId="77777777" w:rsidTr="006C7DA1">
        <w:trPr>
          <w:trHeight w:val="15"/>
          <w:jc w:val="center"/>
        </w:trPr>
        <w:tc>
          <w:tcPr>
            <w:tcW w:w="846" w:type="dxa"/>
            <w:vAlign w:val="center"/>
          </w:tcPr>
          <w:p w14:paraId="068B2BE2" w14:textId="77777777" w:rsidR="00E5175E" w:rsidRPr="00E5175E" w:rsidRDefault="00E5175E" w:rsidP="008D7BB4">
            <w:pPr>
              <w:spacing w:line="276" w:lineRule="auto"/>
              <w:contextualSpacing/>
              <w:rPr>
                <w:rFonts w:ascii="Times New Roman" w:eastAsia="Times New Roman" w:hAnsi="Times New Roman"/>
                <w:sz w:val="14"/>
                <w:lang w:val="es-ES_tradnl" w:eastAsia="es-ES"/>
              </w:rPr>
            </w:pPr>
            <w:r w:rsidRPr="00E5175E">
              <w:rPr>
                <w:rFonts w:ascii="Times New Roman" w:eastAsia="Times New Roman" w:hAnsi="Times New Roman"/>
                <w:sz w:val="14"/>
                <w:lang w:val="es-ES_tradnl" w:eastAsia="es-ES"/>
              </w:rPr>
              <w:t>Mundo</w:t>
            </w:r>
          </w:p>
        </w:tc>
        <w:tc>
          <w:tcPr>
            <w:tcW w:w="985" w:type="dxa"/>
            <w:vAlign w:val="center"/>
          </w:tcPr>
          <w:p w14:paraId="241F1E4C"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4.2</w:t>
            </w:r>
          </w:p>
        </w:tc>
        <w:tc>
          <w:tcPr>
            <w:tcW w:w="985" w:type="dxa"/>
            <w:vAlign w:val="center"/>
          </w:tcPr>
          <w:p w14:paraId="58DA0EFE"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4.4</w:t>
            </w:r>
          </w:p>
        </w:tc>
        <w:tc>
          <w:tcPr>
            <w:tcW w:w="985" w:type="dxa"/>
            <w:vAlign w:val="center"/>
          </w:tcPr>
          <w:p w14:paraId="407E07C1"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4.9</w:t>
            </w:r>
          </w:p>
        </w:tc>
        <w:tc>
          <w:tcPr>
            <w:tcW w:w="985" w:type="dxa"/>
            <w:vAlign w:val="center"/>
          </w:tcPr>
          <w:p w14:paraId="3DFC5D04"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4.9</w:t>
            </w:r>
          </w:p>
        </w:tc>
        <w:tc>
          <w:tcPr>
            <w:tcW w:w="985" w:type="dxa"/>
            <w:vAlign w:val="center"/>
          </w:tcPr>
          <w:p w14:paraId="15893D7E"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4.4</w:t>
            </w:r>
          </w:p>
        </w:tc>
        <w:tc>
          <w:tcPr>
            <w:tcW w:w="985" w:type="dxa"/>
            <w:vAlign w:val="center"/>
          </w:tcPr>
          <w:p w14:paraId="4D08D8D9"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3.6</w:t>
            </w:r>
          </w:p>
        </w:tc>
        <w:tc>
          <w:tcPr>
            <w:tcW w:w="985" w:type="dxa"/>
            <w:vAlign w:val="center"/>
          </w:tcPr>
          <w:p w14:paraId="6773E102"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3.2</w:t>
            </w:r>
          </w:p>
        </w:tc>
        <w:tc>
          <w:tcPr>
            <w:tcW w:w="985" w:type="dxa"/>
            <w:vAlign w:val="center"/>
          </w:tcPr>
          <w:p w14:paraId="638C044F"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3.2</w:t>
            </w:r>
          </w:p>
        </w:tc>
      </w:tr>
      <w:tr w:rsidR="00E5175E" w:rsidRPr="00E5175E" w14:paraId="10B4CA29" w14:textId="77777777" w:rsidTr="006C7DA1">
        <w:trPr>
          <w:trHeight w:val="15"/>
          <w:jc w:val="center"/>
        </w:trPr>
        <w:tc>
          <w:tcPr>
            <w:tcW w:w="846" w:type="dxa"/>
            <w:vAlign w:val="center"/>
          </w:tcPr>
          <w:p w14:paraId="220E08F2" w14:textId="77777777" w:rsidR="00E5175E" w:rsidRPr="00E5175E" w:rsidRDefault="00E5175E" w:rsidP="008D7BB4">
            <w:pPr>
              <w:spacing w:line="276" w:lineRule="auto"/>
              <w:contextualSpacing/>
              <w:rPr>
                <w:rFonts w:ascii="Times New Roman" w:eastAsia="Times New Roman" w:hAnsi="Times New Roman"/>
                <w:sz w:val="14"/>
                <w:u w:val="single"/>
                <w:lang w:val="es-ES_tradnl" w:eastAsia="es-ES"/>
              </w:rPr>
            </w:pPr>
            <w:r w:rsidRPr="00E5175E">
              <w:rPr>
                <w:rFonts w:ascii="Times New Roman" w:eastAsia="Times New Roman" w:hAnsi="Times New Roman"/>
                <w:sz w:val="14"/>
                <w:lang w:val="es-ES_tradnl" w:eastAsia="es-ES"/>
              </w:rPr>
              <w:t>Economías avanzadas</w:t>
            </w:r>
          </w:p>
        </w:tc>
        <w:tc>
          <w:tcPr>
            <w:tcW w:w="985" w:type="dxa"/>
            <w:vAlign w:val="center"/>
          </w:tcPr>
          <w:p w14:paraId="0F79DE0B"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3.1</w:t>
            </w:r>
          </w:p>
        </w:tc>
        <w:tc>
          <w:tcPr>
            <w:tcW w:w="985" w:type="dxa"/>
            <w:vAlign w:val="center"/>
          </w:tcPr>
          <w:p w14:paraId="51481354"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3.6</w:t>
            </w:r>
          </w:p>
        </w:tc>
        <w:tc>
          <w:tcPr>
            <w:tcW w:w="985" w:type="dxa"/>
            <w:vAlign w:val="center"/>
          </w:tcPr>
          <w:p w14:paraId="551A545B"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4.4</w:t>
            </w:r>
          </w:p>
        </w:tc>
        <w:tc>
          <w:tcPr>
            <w:tcW w:w="985" w:type="dxa"/>
            <w:vAlign w:val="center"/>
          </w:tcPr>
          <w:p w14:paraId="6E2314E7"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4.5</w:t>
            </w:r>
          </w:p>
        </w:tc>
        <w:tc>
          <w:tcPr>
            <w:tcW w:w="985" w:type="dxa"/>
            <w:vAlign w:val="center"/>
          </w:tcPr>
          <w:p w14:paraId="52E5C6B2"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3.9</w:t>
            </w:r>
          </w:p>
        </w:tc>
        <w:tc>
          <w:tcPr>
            <w:tcW w:w="985" w:type="dxa"/>
            <w:vAlign w:val="center"/>
          </w:tcPr>
          <w:p w14:paraId="54048057"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3.3</w:t>
            </w:r>
          </w:p>
        </w:tc>
        <w:tc>
          <w:tcPr>
            <w:tcW w:w="985" w:type="dxa"/>
            <w:vAlign w:val="center"/>
          </w:tcPr>
          <w:p w14:paraId="4BBC761A"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2.5</w:t>
            </w:r>
          </w:p>
        </w:tc>
        <w:tc>
          <w:tcPr>
            <w:tcW w:w="985" w:type="dxa"/>
            <w:vAlign w:val="center"/>
          </w:tcPr>
          <w:p w14:paraId="180B9DE3"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2.4</w:t>
            </w:r>
          </w:p>
        </w:tc>
      </w:tr>
      <w:tr w:rsidR="00E5175E" w:rsidRPr="00E5175E" w14:paraId="450872C0" w14:textId="77777777" w:rsidTr="006C7DA1">
        <w:trPr>
          <w:trHeight w:val="15"/>
          <w:jc w:val="center"/>
        </w:trPr>
        <w:tc>
          <w:tcPr>
            <w:tcW w:w="846" w:type="dxa"/>
            <w:vAlign w:val="center"/>
          </w:tcPr>
          <w:p w14:paraId="02BC3F52" w14:textId="77777777" w:rsidR="00E5175E" w:rsidRPr="00E5175E" w:rsidRDefault="00E5175E" w:rsidP="008D7BB4">
            <w:pPr>
              <w:spacing w:line="276" w:lineRule="auto"/>
              <w:contextualSpacing/>
              <w:rPr>
                <w:rFonts w:ascii="Times New Roman" w:eastAsia="Times New Roman" w:hAnsi="Times New Roman"/>
                <w:sz w:val="14"/>
                <w:u w:val="single"/>
                <w:lang w:val="es-ES_tradnl" w:eastAsia="es-ES"/>
              </w:rPr>
            </w:pPr>
            <w:r w:rsidRPr="00E5175E">
              <w:rPr>
                <w:rFonts w:ascii="Times New Roman" w:eastAsia="Times New Roman" w:hAnsi="Times New Roman"/>
                <w:sz w:val="14"/>
                <w:lang w:val="es-ES_tradnl" w:eastAsia="es-ES"/>
              </w:rPr>
              <w:t>Estados Unidos</w:t>
            </w:r>
          </w:p>
        </w:tc>
        <w:tc>
          <w:tcPr>
            <w:tcW w:w="985" w:type="dxa"/>
            <w:vAlign w:val="center"/>
          </w:tcPr>
          <w:p w14:paraId="0AD5D7A7"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2.5</w:t>
            </w:r>
          </w:p>
        </w:tc>
        <w:tc>
          <w:tcPr>
            <w:tcW w:w="985" w:type="dxa"/>
            <w:vAlign w:val="center"/>
          </w:tcPr>
          <w:p w14:paraId="48BED140"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3.5</w:t>
            </w:r>
          </w:p>
        </w:tc>
        <w:tc>
          <w:tcPr>
            <w:tcW w:w="985" w:type="dxa"/>
            <w:vAlign w:val="center"/>
          </w:tcPr>
          <w:p w14:paraId="5B6E5BD5"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4.9</w:t>
            </w:r>
          </w:p>
        </w:tc>
        <w:tc>
          <w:tcPr>
            <w:tcW w:w="985" w:type="dxa"/>
            <w:vAlign w:val="center"/>
          </w:tcPr>
          <w:p w14:paraId="33C5D1E5"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5.2</w:t>
            </w:r>
          </w:p>
        </w:tc>
        <w:tc>
          <w:tcPr>
            <w:tcW w:w="985" w:type="dxa"/>
            <w:vAlign w:val="center"/>
          </w:tcPr>
          <w:p w14:paraId="47121E06"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4.0</w:t>
            </w:r>
          </w:p>
        </w:tc>
        <w:tc>
          <w:tcPr>
            <w:tcW w:w="985" w:type="dxa"/>
            <w:vAlign w:val="center"/>
          </w:tcPr>
          <w:p w14:paraId="1D16B23C"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3.7</w:t>
            </w:r>
          </w:p>
        </w:tc>
        <w:tc>
          <w:tcPr>
            <w:tcW w:w="985" w:type="dxa"/>
            <w:vAlign w:val="center"/>
          </w:tcPr>
          <w:p w14:paraId="0AC06A69"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2.3</w:t>
            </w:r>
          </w:p>
        </w:tc>
        <w:tc>
          <w:tcPr>
            <w:tcW w:w="985" w:type="dxa"/>
            <w:vAlign w:val="center"/>
          </w:tcPr>
          <w:p w14:paraId="12BF03FB"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1.6</w:t>
            </w:r>
          </w:p>
        </w:tc>
      </w:tr>
      <w:tr w:rsidR="00E5175E" w:rsidRPr="00E5175E" w14:paraId="65DBA5BF" w14:textId="77777777" w:rsidTr="006C7DA1">
        <w:trPr>
          <w:trHeight w:val="15"/>
          <w:jc w:val="center"/>
        </w:trPr>
        <w:tc>
          <w:tcPr>
            <w:tcW w:w="846" w:type="dxa"/>
            <w:vAlign w:val="center"/>
          </w:tcPr>
          <w:p w14:paraId="7026FCEC" w14:textId="77777777" w:rsidR="00E5175E" w:rsidRPr="00E5175E" w:rsidRDefault="00E5175E" w:rsidP="008D7BB4">
            <w:pPr>
              <w:spacing w:line="276" w:lineRule="auto"/>
              <w:contextualSpacing/>
              <w:rPr>
                <w:rFonts w:ascii="Times New Roman" w:eastAsia="Times New Roman" w:hAnsi="Times New Roman"/>
                <w:sz w:val="14"/>
                <w:u w:val="single"/>
                <w:lang w:val="es-ES_tradnl" w:eastAsia="es-ES"/>
              </w:rPr>
            </w:pPr>
            <w:r w:rsidRPr="00E5175E">
              <w:rPr>
                <w:rFonts w:ascii="Times New Roman" w:eastAsia="Times New Roman" w:hAnsi="Times New Roman"/>
                <w:sz w:val="14"/>
                <w:lang w:val="es-ES_tradnl" w:eastAsia="es-ES"/>
              </w:rPr>
              <w:t>Zona del euro</w:t>
            </w:r>
          </w:p>
        </w:tc>
        <w:tc>
          <w:tcPr>
            <w:tcW w:w="985" w:type="dxa"/>
            <w:vAlign w:val="center"/>
          </w:tcPr>
          <w:p w14:paraId="22C1ED63"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3.6</w:t>
            </w:r>
          </w:p>
        </w:tc>
        <w:tc>
          <w:tcPr>
            <w:tcW w:w="985" w:type="dxa"/>
            <w:vAlign w:val="center"/>
          </w:tcPr>
          <w:p w14:paraId="04BCA7FD"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3.8</w:t>
            </w:r>
          </w:p>
        </w:tc>
        <w:tc>
          <w:tcPr>
            <w:tcW w:w="985" w:type="dxa"/>
            <w:vAlign w:val="center"/>
          </w:tcPr>
          <w:p w14:paraId="54855127"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4.3</w:t>
            </w:r>
          </w:p>
        </w:tc>
        <w:tc>
          <w:tcPr>
            <w:tcW w:w="985" w:type="dxa"/>
            <w:vAlign w:val="center"/>
          </w:tcPr>
          <w:p w14:paraId="19872082"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4.3</w:t>
            </w:r>
          </w:p>
        </w:tc>
        <w:tc>
          <w:tcPr>
            <w:tcW w:w="985" w:type="dxa"/>
            <w:vAlign w:val="center"/>
          </w:tcPr>
          <w:p w14:paraId="6FF6DECF"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3.9</w:t>
            </w:r>
          </w:p>
        </w:tc>
        <w:tc>
          <w:tcPr>
            <w:tcW w:w="985" w:type="dxa"/>
            <w:vAlign w:val="center"/>
          </w:tcPr>
          <w:p w14:paraId="6CCEA541"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2.8</w:t>
            </w:r>
          </w:p>
        </w:tc>
        <w:tc>
          <w:tcPr>
            <w:tcW w:w="985" w:type="dxa"/>
            <w:vAlign w:val="center"/>
          </w:tcPr>
          <w:p w14:paraId="4EA6AAC5"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2.6</w:t>
            </w:r>
          </w:p>
        </w:tc>
        <w:tc>
          <w:tcPr>
            <w:tcW w:w="985" w:type="dxa"/>
            <w:vAlign w:val="center"/>
          </w:tcPr>
          <w:p w14:paraId="6AF220A7"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3.1</w:t>
            </w:r>
          </w:p>
        </w:tc>
      </w:tr>
      <w:tr w:rsidR="00E5175E" w:rsidRPr="00E5175E" w14:paraId="5B270994" w14:textId="77777777" w:rsidTr="006C7DA1">
        <w:trPr>
          <w:trHeight w:val="15"/>
          <w:jc w:val="center"/>
        </w:trPr>
        <w:tc>
          <w:tcPr>
            <w:tcW w:w="846" w:type="dxa"/>
            <w:vAlign w:val="center"/>
          </w:tcPr>
          <w:p w14:paraId="36726CA0" w14:textId="77777777" w:rsidR="00E5175E" w:rsidRPr="00E5175E" w:rsidRDefault="00E5175E" w:rsidP="008D7BB4">
            <w:pPr>
              <w:spacing w:line="276" w:lineRule="auto"/>
              <w:contextualSpacing/>
              <w:rPr>
                <w:rFonts w:ascii="Times New Roman" w:eastAsia="Times New Roman" w:hAnsi="Times New Roman"/>
                <w:sz w:val="14"/>
                <w:u w:val="single"/>
                <w:lang w:val="es-ES_tradnl" w:eastAsia="es-ES"/>
              </w:rPr>
            </w:pPr>
            <w:r w:rsidRPr="00E5175E">
              <w:rPr>
                <w:rFonts w:ascii="Times New Roman" w:eastAsia="Times New Roman" w:hAnsi="Times New Roman"/>
                <w:sz w:val="14"/>
                <w:lang w:val="es-ES_tradnl" w:eastAsia="es-ES"/>
              </w:rPr>
              <w:t>Japón</w:t>
            </w:r>
          </w:p>
        </w:tc>
        <w:tc>
          <w:tcPr>
            <w:tcW w:w="985" w:type="dxa"/>
            <w:vAlign w:val="center"/>
          </w:tcPr>
          <w:p w14:paraId="5EBE009A"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2.4</w:t>
            </w:r>
          </w:p>
        </w:tc>
        <w:tc>
          <w:tcPr>
            <w:tcW w:w="985" w:type="dxa"/>
            <w:vAlign w:val="center"/>
          </w:tcPr>
          <w:p w14:paraId="3A2A02EA"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2.5</w:t>
            </w:r>
          </w:p>
        </w:tc>
        <w:tc>
          <w:tcPr>
            <w:tcW w:w="985" w:type="dxa"/>
            <w:vAlign w:val="center"/>
          </w:tcPr>
          <w:p w14:paraId="78BEA538"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3.0</w:t>
            </w:r>
          </w:p>
        </w:tc>
        <w:tc>
          <w:tcPr>
            <w:tcW w:w="985" w:type="dxa"/>
            <w:vAlign w:val="center"/>
          </w:tcPr>
          <w:p w14:paraId="44D549DB"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3.2</w:t>
            </w:r>
          </w:p>
        </w:tc>
        <w:tc>
          <w:tcPr>
            <w:tcW w:w="985" w:type="dxa"/>
            <w:vAlign w:val="center"/>
          </w:tcPr>
          <w:p w14:paraId="457F41C8"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3.3</w:t>
            </w:r>
          </w:p>
        </w:tc>
        <w:tc>
          <w:tcPr>
            <w:tcW w:w="985" w:type="dxa"/>
            <w:vAlign w:val="center"/>
          </w:tcPr>
          <w:p w14:paraId="3E0B6CB9"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2.4</w:t>
            </w:r>
          </w:p>
        </w:tc>
        <w:tc>
          <w:tcPr>
            <w:tcW w:w="985" w:type="dxa"/>
            <w:vAlign w:val="center"/>
          </w:tcPr>
          <w:p w14:paraId="5756D198"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1.7</w:t>
            </w:r>
          </w:p>
        </w:tc>
        <w:tc>
          <w:tcPr>
            <w:tcW w:w="985" w:type="dxa"/>
            <w:vAlign w:val="center"/>
          </w:tcPr>
          <w:p w14:paraId="38B38CA3"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1.7</w:t>
            </w:r>
          </w:p>
        </w:tc>
      </w:tr>
      <w:tr w:rsidR="00E5175E" w:rsidRPr="00E5175E" w14:paraId="28179F5D" w14:textId="77777777" w:rsidTr="006C7DA1">
        <w:trPr>
          <w:trHeight w:val="15"/>
          <w:jc w:val="center"/>
        </w:trPr>
        <w:tc>
          <w:tcPr>
            <w:tcW w:w="846" w:type="dxa"/>
            <w:vAlign w:val="center"/>
          </w:tcPr>
          <w:p w14:paraId="03A74DBC" w14:textId="77777777" w:rsidR="00E5175E" w:rsidRPr="00E5175E" w:rsidRDefault="00E5175E" w:rsidP="008D7BB4">
            <w:pPr>
              <w:spacing w:line="276" w:lineRule="auto"/>
              <w:contextualSpacing/>
              <w:rPr>
                <w:rFonts w:ascii="Times New Roman" w:eastAsia="Times New Roman" w:hAnsi="Times New Roman"/>
                <w:sz w:val="14"/>
                <w:u w:val="single"/>
                <w:lang w:val="es-ES_tradnl" w:eastAsia="es-ES"/>
              </w:rPr>
            </w:pPr>
            <w:r w:rsidRPr="00E5175E">
              <w:rPr>
                <w:rFonts w:ascii="Times New Roman" w:eastAsia="Times New Roman" w:hAnsi="Times New Roman"/>
                <w:sz w:val="14"/>
                <w:lang w:val="es-ES_tradnl" w:eastAsia="es-ES"/>
              </w:rPr>
              <w:t>Reino Unido</w:t>
            </w:r>
          </w:p>
        </w:tc>
        <w:tc>
          <w:tcPr>
            <w:tcW w:w="985" w:type="dxa"/>
            <w:vAlign w:val="center"/>
          </w:tcPr>
          <w:p w14:paraId="445DC60A"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5.0</w:t>
            </w:r>
          </w:p>
        </w:tc>
        <w:tc>
          <w:tcPr>
            <w:tcW w:w="985" w:type="dxa"/>
            <w:vAlign w:val="center"/>
          </w:tcPr>
          <w:p w14:paraId="5C8355EE"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5.1</w:t>
            </w:r>
          </w:p>
        </w:tc>
        <w:tc>
          <w:tcPr>
            <w:tcW w:w="985" w:type="dxa"/>
            <w:vAlign w:val="center"/>
          </w:tcPr>
          <w:p w14:paraId="358485AC"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4.8</w:t>
            </w:r>
          </w:p>
        </w:tc>
        <w:tc>
          <w:tcPr>
            <w:tcW w:w="985" w:type="dxa"/>
            <w:vAlign w:val="center"/>
          </w:tcPr>
          <w:p w14:paraId="3808D4C7"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5.0</w:t>
            </w:r>
          </w:p>
        </w:tc>
        <w:tc>
          <w:tcPr>
            <w:tcW w:w="985" w:type="dxa"/>
            <w:vAlign w:val="center"/>
          </w:tcPr>
          <w:p w14:paraId="45D7A019"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4.7</w:t>
            </w:r>
          </w:p>
        </w:tc>
        <w:tc>
          <w:tcPr>
            <w:tcW w:w="985" w:type="dxa"/>
            <w:vAlign w:val="center"/>
          </w:tcPr>
          <w:p w14:paraId="7C25B5B2"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3.7</w:t>
            </w:r>
          </w:p>
        </w:tc>
        <w:tc>
          <w:tcPr>
            <w:tcW w:w="985" w:type="dxa"/>
            <w:vAlign w:val="center"/>
          </w:tcPr>
          <w:p w14:paraId="4DB86CF7"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3.2</w:t>
            </w:r>
          </w:p>
        </w:tc>
        <w:tc>
          <w:tcPr>
            <w:tcW w:w="985" w:type="dxa"/>
            <w:vAlign w:val="center"/>
          </w:tcPr>
          <w:p w14:paraId="373930F3"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3.6</w:t>
            </w:r>
          </w:p>
        </w:tc>
      </w:tr>
      <w:tr w:rsidR="00E5175E" w:rsidRPr="00E5175E" w14:paraId="0B105981" w14:textId="77777777" w:rsidTr="006C7DA1">
        <w:trPr>
          <w:trHeight w:val="15"/>
          <w:jc w:val="center"/>
        </w:trPr>
        <w:tc>
          <w:tcPr>
            <w:tcW w:w="846" w:type="dxa"/>
            <w:vAlign w:val="center"/>
          </w:tcPr>
          <w:p w14:paraId="2D497865" w14:textId="77777777" w:rsidR="00E5175E" w:rsidRPr="00E5175E" w:rsidRDefault="00E5175E" w:rsidP="008D7BB4">
            <w:pPr>
              <w:spacing w:line="276" w:lineRule="auto"/>
              <w:contextualSpacing/>
              <w:rPr>
                <w:rFonts w:ascii="Times New Roman" w:eastAsia="Times New Roman" w:hAnsi="Times New Roman"/>
                <w:sz w:val="14"/>
                <w:u w:val="single"/>
                <w:lang w:val="es-ES_tradnl" w:eastAsia="es-ES"/>
              </w:rPr>
            </w:pPr>
            <w:r w:rsidRPr="00E5175E">
              <w:rPr>
                <w:rFonts w:ascii="Times New Roman" w:eastAsia="Times New Roman" w:hAnsi="Times New Roman"/>
                <w:sz w:val="14"/>
                <w:lang w:val="es-ES_tradnl" w:eastAsia="es-ES"/>
              </w:rPr>
              <w:t>Canadá</w:t>
            </w:r>
          </w:p>
        </w:tc>
        <w:tc>
          <w:tcPr>
            <w:tcW w:w="985" w:type="dxa"/>
            <w:vAlign w:val="center"/>
          </w:tcPr>
          <w:p w14:paraId="769C8AB6"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4.1</w:t>
            </w:r>
          </w:p>
        </w:tc>
        <w:tc>
          <w:tcPr>
            <w:tcW w:w="985" w:type="dxa"/>
            <w:vAlign w:val="center"/>
          </w:tcPr>
          <w:p w14:paraId="6E826804"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4.7</w:t>
            </w:r>
          </w:p>
        </w:tc>
        <w:tc>
          <w:tcPr>
            <w:tcW w:w="985" w:type="dxa"/>
            <w:vAlign w:val="center"/>
          </w:tcPr>
          <w:p w14:paraId="1BDD640E"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4.5</w:t>
            </w:r>
          </w:p>
        </w:tc>
        <w:tc>
          <w:tcPr>
            <w:tcW w:w="985" w:type="dxa"/>
            <w:vAlign w:val="center"/>
          </w:tcPr>
          <w:p w14:paraId="175437A4"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4.9</w:t>
            </w:r>
          </w:p>
        </w:tc>
        <w:tc>
          <w:tcPr>
            <w:tcW w:w="985" w:type="dxa"/>
            <w:vAlign w:val="center"/>
          </w:tcPr>
          <w:p w14:paraId="14E75E28"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4.1</w:t>
            </w:r>
          </w:p>
        </w:tc>
        <w:tc>
          <w:tcPr>
            <w:tcW w:w="985" w:type="dxa"/>
            <w:vAlign w:val="center"/>
          </w:tcPr>
          <w:p w14:paraId="0B13D444"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3.9</w:t>
            </w:r>
          </w:p>
        </w:tc>
        <w:tc>
          <w:tcPr>
            <w:tcW w:w="985" w:type="dxa"/>
            <w:vAlign w:val="center"/>
          </w:tcPr>
          <w:p w14:paraId="12C2DCDE"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3.4</w:t>
            </w:r>
          </w:p>
        </w:tc>
        <w:tc>
          <w:tcPr>
            <w:tcW w:w="985" w:type="dxa"/>
            <w:vAlign w:val="center"/>
          </w:tcPr>
          <w:p w14:paraId="589FF1E9"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3.3</w:t>
            </w:r>
          </w:p>
        </w:tc>
      </w:tr>
      <w:tr w:rsidR="00E5175E" w:rsidRPr="00E5175E" w14:paraId="4BC39E5A" w14:textId="77777777" w:rsidTr="006C7DA1">
        <w:trPr>
          <w:trHeight w:val="15"/>
          <w:jc w:val="center"/>
        </w:trPr>
        <w:tc>
          <w:tcPr>
            <w:tcW w:w="846" w:type="dxa"/>
            <w:vAlign w:val="center"/>
          </w:tcPr>
          <w:p w14:paraId="0D4665E2" w14:textId="77777777" w:rsidR="00E5175E" w:rsidRPr="00E5175E" w:rsidRDefault="00E5175E" w:rsidP="008D7BB4">
            <w:pPr>
              <w:spacing w:line="276" w:lineRule="auto"/>
              <w:contextualSpacing/>
              <w:rPr>
                <w:rFonts w:ascii="Times New Roman" w:eastAsia="Times New Roman" w:hAnsi="Times New Roman"/>
                <w:sz w:val="14"/>
                <w:u w:val="single"/>
                <w:lang w:val="es-ES_tradnl" w:eastAsia="es-ES"/>
              </w:rPr>
            </w:pPr>
            <w:r w:rsidRPr="00E5175E">
              <w:rPr>
                <w:rFonts w:ascii="Times New Roman" w:eastAsia="Times New Roman" w:hAnsi="Times New Roman"/>
                <w:sz w:val="14"/>
                <w:lang w:val="es-ES_tradnl" w:eastAsia="es-ES"/>
              </w:rPr>
              <w:t>Otras economías avanzadas</w:t>
            </w:r>
          </w:p>
        </w:tc>
        <w:tc>
          <w:tcPr>
            <w:tcW w:w="985" w:type="dxa"/>
            <w:vAlign w:val="center"/>
          </w:tcPr>
          <w:p w14:paraId="60BF5588"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3.1</w:t>
            </w:r>
          </w:p>
        </w:tc>
        <w:tc>
          <w:tcPr>
            <w:tcW w:w="985" w:type="dxa"/>
            <w:vAlign w:val="center"/>
          </w:tcPr>
          <w:p w14:paraId="274138B8"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3.4</w:t>
            </w:r>
          </w:p>
        </w:tc>
        <w:tc>
          <w:tcPr>
            <w:tcW w:w="985" w:type="dxa"/>
            <w:vAlign w:val="center"/>
          </w:tcPr>
          <w:p w14:paraId="0C29BD6B"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3.6</w:t>
            </w:r>
          </w:p>
        </w:tc>
        <w:tc>
          <w:tcPr>
            <w:tcW w:w="985" w:type="dxa"/>
            <w:vAlign w:val="center"/>
          </w:tcPr>
          <w:p w14:paraId="38546BCB"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3.7</w:t>
            </w:r>
          </w:p>
        </w:tc>
        <w:tc>
          <w:tcPr>
            <w:tcW w:w="985" w:type="dxa"/>
            <w:vAlign w:val="center"/>
          </w:tcPr>
          <w:p w14:paraId="19B80DE2"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3.6</w:t>
            </w:r>
          </w:p>
        </w:tc>
        <w:tc>
          <w:tcPr>
            <w:tcW w:w="985" w:type="dxa"/>
            <w:vAlign w:val="center"/>
          </w:tcPr>
          <w:p w14:paraId="44F9675A"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3.1</w:t>
            </w:r>
          </w:p>
        </w:tc>
        <w:tc>
          <w:tcPr>
            <w:tcW w:w="985" w:type="dxa"/>
            <w:vAlign w:val="center"/>
          </w:tcPr>
          <w:p w14:paraId="2EFEAFC7"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2.9</w:t>
            </w:r>
          </w:p>
        </w:tc>
        <w:tc>
          <w:tcPr>
            <w:tcW w:w="985" w:type="dxa"/>
            <w:vAlign w:val="center"/>
          </w:tcPr>
          <w:p w14:paraId="7BAA3517"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2.8</w:t>
            </w:r>
          </w:p>
        </w:tc>
      </w:tr>
      <w:tr w:rsidR="00E5175E" w:rsidRPr="00E5175E" w14:paraId="337D48C1" w14:textId="77777777" w:rsidTr="006C7DA1">
        <w:trPr>
          <w:trHeight w:val="15"/>
          <w:jc w:val="center"/>
        </w:trPr>
        <w:tc>
          <w:tcPr>
            <w:tcW w:w="846" w:type="dxa"/>
            <w:vAlign w:val="center"/>
          </w:tcPr>
          <w:p w14:paraId="2A9ECB39" w14:textId="77777777" w:rsidR="00E5175E" w:rsidRPr="00E5175E" w:rsidRDefault="00E5175E" w:rsidP="008D7BB4">
            <w:pPr>
              <w:spacing w:line="276" w:lineRule="auto"/>
              <w:contextualSpacing/>
              <w:rPr>
                <w:rFonts w:ascii="Times New Roman" w:eastAsia="Times New Roman" w:hAnsi="Times New Roman"/>
                <w:sz w:val="14"/>
                <w:u w:val="single"/>
                <w:lang w:val="es-ES_tradnl" w:eastAsia="es-ES"/>
              </w:rPr>
            </w:pPr>
            <w:r w:rsidRPr="00E5175E">
              <w:rPr>
                <w:rFonts w:ascii="Times New Roman" w:eastAsia="Times New Roman" w:hAnsi="Times New Roman"/>
                <w:sz w:val="14"/>
                <w:lang w:val="es-ES_tradnl" w:eastAsia="es-ES"/>
              </w:rPr>
              <w:t xml:space="preserve">Economías emergentes </w:t>
            </w:r>
          </w:p>
        </w:tc>
        <w:tc>
          <w:tcPr>
            <w:tcW w:w="985" w:type="dxa"/>
            <w:vAlign w:val="center"/>
          </w:tcPr>
          <w:p w14:paraId="28E70C18"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5.0</w:t>
            </w:r>
          </w:p>
        </w:tc>
        <w:tc>
          <w:tcPr>
            <w:tcW w:w="985" w:type="dxa"/>
            <w:vAlign w:val="center"/>
          </w:tcPr>
          <w:p w14:paraId="42C7CC03"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5.0</w:t>
            </w:r>
          </w:p>
        </w:tc>
        <w:tc>
          <w:tcPr>
            <w:tcW w:w="985" w:type="dxa"/>
            <w:vAlign w:val="center"/>
          </w:tcPr>
          <w:p w14:paraId="05EA5A06"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5.2</w:t>
            </w:r>
          </w:p>
        </w:tc>
        <w:tc>
          <w:tcPr>
            <w:tcW w:w="985" w:type="dxa"/>
            <w:vAlign w:val="center"/>
          </w:tcPr>
          <w:p w14:paraId="0A8C3DDF"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5.1</w:t>
            </w:r>
          </w:p>
        </w:tc>
        <w:tc>
          <w:tcPr>
            <w:tcW w:w="985" w:type="dxa"/>
            <w:vAlign w:val="center"/>
          </w:tcPr>
          <w:p w14:paraId="412E5580"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4.8</w:t>
            </w:r>
          </w:p>
        </w:tc>
        <w:tc>
          <w:tcPr>
            <w:tcW w:w="985" w:type="dxa"/>
            <w:vAlign w:val="center"/>
          </w:tcPr>
          <w:p w14:paraId="2992DFE6"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3.8</w:t>
            </w:r>
          </w:p>
        </w:tc>
        <w:tc>
          <w:tcPr>
            <w:tcW w:w="985" w:type="dxa"/>
            <w:vAlign w:val="center"/>
          </w:tcPr>
          <w:p w14:paraId="02A45094"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3.6</w:t>
            </w:r>
          </w:p>
        </w:tc>
        <w:tc>
          <w:tcPr>
            <w:tcW w:w="985" w:type="dxa"/>
            <w:vAlign w:val="center"/>
          </w:tcPr>
          <w:p w14:paraId="74B3DEF5"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3.7</w:t>
            </w:r>
          </w:p>
        </w:tc>
      </w:tr>
      <w:tr w:rsidR="00E5175E" w:rsidRPr="00E5175E" w14:paraId="0BAFEC54" w14:textId="77777777" w:rsidTr="006C7DA1">
        <w:trPr>
          <w:trHeight w:val="15"/>
          <w:jc w:val="center"/>
        </w:trPr>
        <w:tc>
          <w:tcPr>
            <w:tcW w:w="846" w:type="dxa"/>
            <w:vAlign w:val="center"/>
          </w:tcPr>
          <w:p w14:paraId="685CE64F" w14:textId="77777777" w:rsidR="00E5175E" w:rsidRPr="00E5175E" w:rsidRDefault="00E5175E" w:rsidP="008D7BB4">
            <w:pPr>
              <w:spacing w:line="276" w:lineRule="auto"/>
              <w:contextualSpacing/>
              <w:rPr>
                <w:rFonts w:ascii="Times New Roman" w:eastAsia="Times New Roman" w:hAnsi="Times New Roman"/>
                <w:sz w:val="14"/>
                <w:lang w:val="es-ES_tradnl" w:eastAsia="es-ES"/>
              </w:rPr>
            </w:pPr>
            <w:r w:rsidRPr="00E5175E">
              <w:rPr>
                <w:rFonts w:ascii="Times New Roman" w:eastAsia="Times New Roman" w:hAnsi="Times New Roman"/>
                <w:sz w:val="14"/>
                <w:lang w:val="es-ES_tradnl" w:eastAsia="es-ES"/>
              </w:rPr>
              <w:t>China</w:t>
            </w:r>
          </w:p>
        </w:tc>
        <w:tc>
          <w:tcPr>
            <w:tcW w:w="985" w:type="dxa"/>
            <w:vAlign w:val="center"/>
          </w:tcPr>
          <w:p w14:paraId="4EFC4881"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5.6</w:t>
            </w:r>
          </w:p>
        </w:tc>
        <w:tc>
          <w:tcPr>
            <w:tcW w:w="985" w:type="dxa"/>
            <w:vAlign w:val="center"/>
          </w:tcPr>
          <w:p w14:paraId="3F76549B"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5.6</w:t>
            </w:r>
          </w:p>
        </w:tc>
        <w:tc>
          <w:tcPr>
            <w:tcW w:w="985" w:type="dxa"/>
            <w:vAlign w:val="center"/>
          </w:tcPr>
          <w:p w14:paraId="39988CAF"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5.7</w:t>
            </w:r>
          </w:p>
        </w:tc>
        <w:tc>
          <w:tcPr>
            <w:tcW w:w="985" w:type="dxa"/>
            <w:vAlign w:val="center"/>
          </w:tcPr>
          <w:p w14:paraId="2C59EF44"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5.6</w:t>
            </w:r>
          </w:p>
        </w:tc>
        <w:tc>
          <w:tcPr>
            <w:tcW w:w="985" w:type="dxa"/>
            <w:vAlign w:val="center"/>
          </w:tcPr>
          <w:p w14:paraId="113CC771"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4.8</w:t>
            </w:r>
          </w:p>
        </w:tc>
        <w:tc>
          <w:tcPr>
            <w:tcW w:w="985" w:type="dxa"/>
            <w:vAlign w:val="center"/>
          </w:tcPr>
          <w:p w14:paraId="63BBF551"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4.4</w:t>
            </w:r>
          </w:p>
        </w:tc>
        <w:tc>
          <w:tcPr>
            <w:tcW w:w="985" w:type="dxa"/>
            <w:vAlign w:val="center"/>
          </w:tcPr>
          <w:p w14:paraId="3CBF1844"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3.3</w:t>
            </w:r>
          </w:p>
        </w:tc>
        <w:tc>
          <w:tcPr>
            <w:tcW w:w="985" w:type="dxa"/>
            <w:vAlign w:val="center"/>
          </w:tcPr>
          <w:p w14:paraId="0A12BB81"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3.2</w:t>
            </w:r>
          </w:p>
        </w:tc>
      </w:tr>
      <w:tr w:rsidR="00E5175E" w:rsidRPr="00E5175E" w14:paraId="3E28FA5B" w14:textId="77777777" w:rsidTr="006C7DA1">
        <w:trPr>
          <w:trHeight w:val="15"/>
          <w:jc w:val="center"/>
        </w:trPr>
        <w:tc>
          <w:tcPr>
            <w:tcW w:w="846" w:type="dxa"/>
            <w:vAlign w:val="center"/>
          </w:tcPr>
          <w:p w14:paraId="770A0949" w14:textId="77777777" w:rsidR="00E5175E" w:rsidRPr="00E5175E" w:rsidRDefault="00E5175E" w:rsidP="008D7BB4">
            <w:pPr>
              <w:spacing w:line="276" w:lineRule="auto"/>
              <w:contextualSpacing/>
              <w:rPr>
                <w:rFonts w:ascii="Times New Roman" w:eastAsia="Times New Roman" w:hAnsi="Times New Roman"/>
                <w:sz w:val="14"/>
                <w:lang w:val="es-ES_tradnl" w:eastAsia="es-ES"/>
              </w:rPr>
            </w:pPr>
            <w:r w:rsidRPr="00E5175E">
              <w:rPr>
                <w:rFonts w:ascii="Times New Roman" w:eastAsia="Times New Roman" w:hAnsi="Times New Roman"/>
                <w:sz w:val="14"/>
                <w:lang w:val="es-ES_tradnl" w:eastAsia="es-ES"/>
              </w:rPr>
              <w:t>India</w:t>
            </w:r>
          </w:p>
        </w:tc>
        <w:tc>
          <w:tcPr>
            <w:tcW w:w="985" w:type="dxa"/>
            <w:vAlign w:val="center"/>
          </w:tcPr>
          <w:p w14:paraId="57132D41"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6.8</w:t>
            </w:r>
          </w:p>
        </w:tc>
        <w:tc>
          <w:tcPr>
            <w:tcW w:w="985" w:type="dxa"/>
            <w:vAlign w:val="center"/>
          </w:tcPr>
          <w:p w14:paraId="15BBFAA5"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6.9</w:t>
            </w:r>
          </w:p>
        </w:tc>
        <w:tc>
          <w:tcPr>
            <w:tcW w:w="985" w:type="dxa"/>
            <w:vAlign w:val="center"/>
          </w:tcPr>
          <w:p w14:paraId="678B5239"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8.5</w:t>
            </w:r>
          </w:p>
        </w:tc>
        <w:tc>
          <w:tcPr>
            <w:tcW w:w="985" w:type="dxa"/>
            <w:vAlign w:val="center"/>
          </w:tcPr>
          <w:p w14:paraId="66DE3D15"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8.5</w:t>
            </w:r>
          </w:p>
        </w:tc>
        <w:tc>
          <w:tcPr>
            <w:tcW w:w="985" w:type="dxa"/>
            <w:vAlign w:val="center"/>
          </w:tcPr>
          <w:p w14:paraId="76DA2970"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9.0</w:t>
            </w:r>
          </w:p>
        </w:tc>
        <w:tc>
          <w:tcPr>
            <w:tcW w:w="985" w:type="dxa"/>
            <w:vAlign w:val="center"/>
          </w:tcPr>
          <w:p w14:paraId="2A74B396"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8.2</w:t>
            </w:r>
          </w:p>
        </w:tc>
        <w:tc>
          <w:tcPr>
            <w:tcW w:w="985" w:type="dxa"/>
            <w:vAlign w:val="center"/>
          </w:tcPr>
          <w:p w14:paraId="5A1A4BBF"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7.4</w:t>
            </w:r>
          </w:p>
        </w:tc>
        <w:tc>
          <w:tcPr>
            <w:tcW w:w="985" w:type="dxa"/>
            <w:vAlign w:val="center"/>
          </w:tcPr>
          <w:p w14:paraId="3DD8B873"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6.8</w:t>
            </w:r>
          </w:p>
        </w:tc>
      </w:tr>
      <w:tr w:rsidR="00E5175E" w:rsidRPr="00E5175E" w14:paraId="71BBE2A9" w14:textId="77777777" w:rsidTr="006C7DA1">
        <w:trPr>
          <w:trHeight w:val="15"/>
          <w:jc w:val="center"/>
        </w:trPr>
        <w:tc>
          <w:tcPr>
            <w:tcW w:w="846" w:type="dxa"/>
            <w:vAlign w:val="center"/>
          </w:tcPr>
          <w:p w14:paraId="45194216" w14:textId="77777777" w:rsidR="00E5175E" w:rsidRPr="00E5175E" w:rsidRDefault="00E5175E" w:rsidP="008D7BB4">
            <w:pPr>
              <w:spacing w:line="276" w:lineRule="auto"/>
              <w:contextualSpacing/>
              <w:rPr>
                <w:rFonts w:ascii="Times New Roman" w:eastAsia="Times New Roman" w:hAnsi="Times New Roman"/>
                <w:sz w:val="14"/>
                <w:lang w:val="es-ES_tradnl" w:eastAsia="es-ES"/>
              </w:rPr>
            </w:pPr>
            <w:r w:rsidRPr="00E5175E">
              <w:rPr>
                <w:rFonts w:ascii="Times New Roman" w:eastAsia="Times New Roman" w:hAnsi="Times New Roman"/>
                <w:sz w:val="14"/>
                <w:lang w:val="es-ES_tradnl" w:eastAsia="es-ES"/>
              </w:rPr>
              <w:t>Rusia</w:t>
            </w:r>
          </w:p>
        </w:tc>
        <w:tc>
          <w:tcPr>
            <w:tcW w:w="985" w:type="dxa"/>
            <w:vAlign w:val="center"/>
          </w:tcPr>
          <w:p w14:paraId="75091557"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3.9</w:t>
            </w:r>
          </w:p>
        </w:tc>
        <w:tc>
          <w:tcPr>
            <w:tcW w:w="985" w:type="dxa"/>
            <w:vAlign w:val="center"/>
          </w:tcPr>
          <w:p w14:paraId="78849227"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3.8</w:t>
            </w:r>
          </w:p>
        </w:tc>
        <w:tc>
          <w:tcPr>
            <w:tcW w:w="985" w:type="dxa"/>
            <w:vAlign w:val="center"/>
          </w:tcPr>
          <w:p w14:paraId="10E7E393"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3.1</w:t>
            </w:r>
          </w:p>
        </w:tc>
        <w:tc>
          <w:tcPr>
            <w:tcW w:w="985" w:type="dxa"/>
            <w:vAlign w:val="center"/>
          </w:tcPr>
          <w:p w14:paraId="2B122631"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2.9</w:t>
            </w:r>
          </w:p>
        </w:tc>
        <w:tc>
          <w:tcPr>
            <w:tcW w:w="985" w:type="dxa"/>
            <w:vAlign w:val="center"/>
          </w:tcPr>
          <w:p w14:paraId="724FEA95"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2.8</w:t>
            </w:r>
          </w:p>
        </w:tc>
        <w:tc>
          <w:tcPr>
            <w:tcW w:w="985" w:type="dxa"/>
            <w:vAlign w:val="center"/>
          </w:tcPr>
          <w:p w14:paraId="7EE74C96"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-8.5</w:t>
            </w:r>
          </w:p>
        </w:tc>
        <w:tc>
          <w:tcPr>
            <w:tcW w:w="985" w:type="dxa"/>
            <w:vAlign w:val="center"/>
          </w:tcPr>
          <w:p w14:paraId="0A721D71"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-6.0</w:t>
            </w:r>
          </w:p>
        </w:tc>
        <w:tc>
          <w:tcPr>
            <w:tcW w:w="985" w:type="dxa"/>
            <w:vAlign w:val="center"/>
          </w:tcPr>
          <w:p w14:paraId="56E030C5"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-3.4</w:t>
            </w:r>
          </w:p>
        </w:tc>
      </w:tr>
      <w:tr w:rsidR="00E5175E" w:rsidRPr="00E5175E" w14:paraId="761EC606" w14:textId="77777777" w:rsidTr="006C7DA1">
        <w:trPr>
          <w:trHeight w:val="15"/>
          <w:jc w:val="center"/>
        </w:trPr>
        <w:tc>
          <w:tcPr>
            <w:tcW w:w="846" w:type="dxa"/>
            <w:vAlign w:val="center"/>
          </w:tcPr>
          <w:p w14:paraId="4FF35937" w14:textId="77777777" w:rsidR="00E5175E" w:rsidRPr="00E5175E" w:rsidRDefault="00E5175E" w:rsidP="008D7BB4">
            <w:pPr>
              <w:spacing w:line="276" w:lineRule="auto"/>
              <w:contextualSpacing/>
              <w:rPr>
                <w:rFonts w:ascii="Times New Roman" w:eastAsia="Times New Roman" w:hAnsi="Times New Roman"/>
                <w:sz w:val="14"/>
                <w:lang w:val="es-ES_tradnl" w:eastAsia="es-ES"/>
              </w:rPr>
            </w:pPr>
            <w:r w:rsidRPr="00E5175E">
              <w:rPr>
                <w:rFonts w:ascii="Times New Roman" w:eastAsia="Times New Roman" w:hAnsi="Times New Roman"/>
                <w:sz w:val="14"/>
                <w:lang w:val="es-ES_tradnl" w:eastAsia="es-ES"/>
              </w:rPr>
              <w:t xml:space="preserve">América Latina </w:t>
            </w:r>
          </w:p>
        </w:tc>
        <w:tc>
          <w:tcPr>
            <w:tcW w:w="985" w:type="dxa"/>
            <w:vAlign w:val="center"/>
          </w:tcPr>
          <w:p w14:paraId="45B27B81"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 xml:space="preserve"> 2.9</w:t>
            </w:r>
          </w:p>
        </w:tc>
        <w:tc>
          <w:tcPr>
            <w:tcW w:w="985" w:type="dxa"/>
            <w:vAlign w:val="center"/>
          </w:tcPr>
          <w:p w14:paraId="6B38EC9C"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3.1</w:t>
            </w:r>
          </w:p>
        </w:tc>
        <w:tc>
          <w:tcPr>
            <w:tcW w:w="985" w:type="dxa"/>
            <w:vAlign w:val="center"/>
          </w:tcPr>
          <w:p w14:paraId="01DA1A55"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3.2</w:t>
            </w:r>
          </w:p>
        </w:tc>
        <w:tc>
          <w:tcPr>
            <w:tcW w:w="985" w:type="dxa"/>
            <w:vAlign w:val="center"/>
          </w:tcPr>
          <w:p w14:paraId="2730D385"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3.0</w:t>
            </w:r>
          </w:p>
        </w:tc>
        <w:tc>
          <w:tcPr>
            <w:tcW w:w="985" w:type="dxa"/>
            <w:vAlign w:val="center"/>
          </w:tcPr>
          <w:p w14:paraId="172F6858"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2.4</w:t>
            </w:r>
          </w:p>
        </w:tc>
        <w:tc>
          <w:tcPr>
            <w:tcW w:w="985" w:type="dxa"/>
            <w:vAlign w:val="center"/>
          </w:tcPr>
          <w:p w14:paraId="10C2A5FA"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2.5</w:t>
            </w:r>
          </w:p>
        </w:tc>
        <w:tc>
          <w:tcPr>
            <w:tcW w:w="985" w:type="dxa"/>
            <w:vAlign w:val="center"/>
          </w:tcPr>
          <w:p w14:paraId="16662F88"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3.0</w:t>
            </w:r>
          </w:p>
        </w:tc>
        <w:tc>
          <w:tcPr>
            <w:tcW w:w="985" w:type="dxa"/>
            <w:vAlign w:val="center"/>
          </w:tcPr>
          <w:p w14:paraId="693A215C"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3.5</w:t>
            </w:r>
          </w:p>
        </w:tc>
      </w:tr>
      <w:tr w:rsidR="00E5175E" w:rsidRPr="00E5175E" w14:paraId="4BEBA602" w14:textId="77777777" w:rsidTr="006C7DA1">
        <w:trPr>
          <w:trHeight w:val="15"/>
          <w:jc w:val="center"/>
        </w:trPr>
        <w:tc>
          <w:tcPr>
            <w:tcW w:w="846" w:type="dxa"/>
            <w:vAlign w:val="center"/>
          </w:tcPr>
          <w:p w14:paraId="159FBAD6" w14:textId="77777777" w:rsidR="00E5175E" w:rsidRPr="00E5175E" w:rsidRDefault="00E5175E" w:rsidP="008D7BB4">
            <w:pPr>
              <w:spacing w:line="276" w:lineRule="auto"/>
              <w:contextualSpacing/>
              <w:rPr>
                <w:rFonts w:ascii="Times New Roman" w:eastAsia="Times New Roman" w:hAnsi="Times New Roman"/>
                <w:sz w:val="14"/>
                <w:lang w:val="es-ES_tradnl" w:eastAsia="es-ES"/>
              </w:rPr>
            </w:pPr>
            <w:r w:rsidRPr="00E5175E">
              <w:rPr>
                <w:rFonts w:ascii="Times New Roman" w:eastAsia="Times New Roman" w:hAnsi="Times New Roman"/>
                <w:sz w:val="14"/>
                <w:lang w:val="es-ES_tradnl" w:eastAsia="es-ES"/>
              </w:rPr>
              <w:t xml:space="preserve">Países en desarrollo </w:t>
            </w:r>
          </w:p>
        </w:tc>
        <w:tc>
          <w:tcPr>
            <w:tcW w:w="985" w:type="dxa"/>
            <w:vAlign w:val="center"/>
          </w:tcPr>
          <w:p w14:paraId="2BCF5186"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5.5</w:t>
            </w:r>
          </w:p>
        </w:tc>
        <w:tc>
          <w:tcPr>
            <w:tcW w:w="985" w:type="dxa"/>
            <w:vAlign w:val="center"/>
          </w:tcPr>
          <w:p w14:paraId="4B775AD8"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5.2</w:t>
            </w:r>
          </w:p>
        </w:tc>
        <w:tc>
          <w:tcPr>
            <w:tcW w:w="985" w:type="dxa"/>
            <w:vAlign w:val="center"/>
          </w:tcPr>
          <w:p w14:paraId="3CE4F027"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3.5</w:t>
            </w:r>
          </w:p>
        </w:tc>
        <w:tc>
          <w:tcPr>
            <w:tcW w:w="985" w:type="dxa"/>
            <w:vAlign w:val="center"/>
          </w:tcPr>
          <w:p w14:paraId="35DDE049"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5.3</w:t>
            </w:r>
          </w:p>
        </w:tc>
        <w:tc>
          <w:tcPr>
            <w:tcW w:w="985" w:type="dxa"/>
            <w:vAlign w:val="center"/>
          </w:tcPr>
          <w:p w14:paraId="1BF21B60"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5.3</w:t>
            </w:r>
          </w:p>
        </w:tc>
        <w:tc>
          <w:tcPr>
            <w:tcW w:w="985" w:type="dxa"/>
            <w:vAlign w:val="center"/>
          </w:tcPr>
          <w:p w14:paraId="3210F6F6"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4.6</w:t>
            </w:r>
          </w:p>
        </w:tc>
        <w:tc>
          <w:tcPr>
            <w:tcW w:w="985" w:type="dxa"/>
            <w:vAlign w:val="center"/>
          </w:tcPr>
          <w:p w14:paraId="4FDF00FA"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5.0</w:t>
            </w:r>
          </w:p>
        </w:tc>
        <w:tc>
          <w:tcPr>
            <w:tcW w:w="985" w:type="dxa"/>
            <w:vAlign w:val="center"/>
          </w:tcPr>
          <w:p w14:paraId="393546D8" w14:textId="77777777" w:rsidR="00E5175E" w:rsidRPr="00E5175E" w:rsidRDefault="00E5175E" w:rsidP="008D7BB4">
            <w:pPr>
              <w:spacing w:line="276" w:lineRule="auto"/>
              <w:contextualSpacing/>
              <w:jc w:val="center"/>
              <w:rPr>
                <w:rFonts w:ascii="Times New Roman" w:eastAsia="Times New Roman" w:hAnsi="Times New Roman"/>
                <w:sz w:val="14"/>
                <w:szCs w:val="16"/>
                <w:lang w:eastAsia="es-ES"/>
              </w:rPr>
            </w:pPr>
            <w:r w:rsidRPr="00E5175E">
              <w:rPr>
                <w:rFonts w:ascii="Times New Roman" w:eastAsia="Times New Roman" w:hAnsi="Times New Roman"/>
                <w:sz w:val="14"/>
                <w:szCs w:val="16"/>
                <w:lang w:eastAsia="es-ES"/>
              </w:rPr>
              <w:t>4.8</w:t>
            </w:r>
          </w:p>
        </w:tc>
      </w:tr>
    </w:tbl>
    <w:p w14:paraId="2A4C76E4" w14:textId="77777777" w:rsidR="00E5175E" w:rsidRPr="00E5175E" w:rsidRDefault="00E5175E" w:rsidP="008C3120">
      <w:pPr>
        <w:spacing w:line="276" w:lineRule="auto"/>
        <w:contextualSpacing/>
        <w:rPr>
          <w:rFonts w:ascii="Times New Roman" w:eastAsia="Times New Roman" w:hAnsi="Times New Roman" w:cs="Times New Roman"/>
          <w:sz w:val="16"/>
          <w:lang w:eastAsia="es-ES"/>
        </w:rPr>
      </w:pPr>
      <w:r w:rsidRPr="008C3120">
        <w:rPr>
          <w:rFonts w:ascii="Times New Roman" w:eastAsia="Times New Roman" w:hAnsi="Times New Roman" w:cs="Times New Roman"/>
          <w:sz w:val="18"/>
          <w:szCs w:val="18"/>
          <w:lang w:val="es-ES_tradnl" w:eastAsia="es-ES"/>
        </w:rPr>
        <w:t xml:space="preserve">Fuente:  FMI, actualización de las Perspectivas de la economía mundial, </w:t>
      </w:r>
      <w:r w:rsidRPr="008C3120">
        <w:rPr>
          <w:rFonts w:ascii="Times New Roman" w:eastAsia="Times New Roman" w:hAnsi="Times New Roman" w:cs="Times New Roman"/>
          <w:sz w:val="18"/>
          <w:szCs w:val="18"/>
          <w:lang w:eastAsia="es-ES"/>
        </w:rPr>
        <w:t>enero 2021, abril 2021, julio 2021, octubre 2021, enero 2022, abril 2022, julio 2022, octubre 2022</w:t>
      </w:r>
      <w:r w:rsidRPr="00E5175E">
        <w:rPr>
          <w:rFonts w:ascii="Times New Roman" w:eastAsia="Times New Roman" w:hAnsi="Times New Roman" w:cs="Times New Roman"/>
          <w:sz w:val="16"/>
          <w:lang w:eastAsia="es-ES"/>
        </w:rPr>
        <w:t>.</w:t>
      </w:r>
    </w:p>
    <w:p w14:paraId="2A9C721F" w14:textId="77777777" w:rsidR="00E5175E" w:rsidRPr="00E5175E" w:rsidRDefault="00E5175E" w:rsidP="006C7DA1">
      <w:pPr>
        <w:spacing w:line="276" w:lineRule="auto"/>
        <w:contextualSpacing/>
        <w:rPr>
          <w:rFonts w:ascii="Times New Roman" w:eastAsia="Times New Roman" w:hAnsi="Times New Roman" w:cs="Times New Roman"/>
          <w:sz w:val="22"/>
          <w:szCs w:val="22"/>
        </w:rPr>
      </w:pPr>
    </w:p>
    <w:p w14:paraId="4ED2E0C8" w14:textId="77777777" w:rsidR="00E5175E" w:rsidRPr="00E5175E" w:rsidRDefault="00E5175E" w:rsidP="008D7BB4">
      <w:pPr>
        <w:numPr>
          <w:ilvl w:val="0"/>
          <w:numId w:val="48"/>
        </w:numPr>
        <w:spacing w:line="276" w:lineRule="auto"/>
        <w:contextualSpacing/>
        <w:jc w:val="both"/>
        <w:rPr>
          <w:rFonts w:ascii="Times New Roman" w:eastAsia="Times New Roman" w:hAnsi="Times New Roman" w:cs="Times New Roman"/>
          <w:sz w:val="22"/>
          <w:szCs w:val="22"/>
        </w:rPr>
      </w:pPr>
      <w:r w:rsidRPr="00E5175E">
        <w:rPr>
          <w:rFonts w:ascii="Times New Roman" w:eastAsia="Times New Roman" w:hAnsi="Times New Roman" w:cs="Times New Roman"/>
          <w:sz w:val="22"/>
          <w:szCs w:val="22"/>
        </w:rPr>
        <w:t>Los confinamientos temporales dispuestos en Shanghái y otros lugares debido al resurgimiento de variantes del virus Covid-19 han debilitado las demandas locales, a su vez, han dispuesto, como en el caso de China que redujo su capacidad manufacturera en 76%, limitaciones de capacidad en producción y logística demorando el desbloqueo de las cadenas de suministro, manteniendo elevadas las presiones de oferta mundial y, por ende, la inflación.</w:t>
      </w:r>
    </w:p>
    <w:p w14:paraId="0B064A7A" w14:textId="77777777" w:rsidR="00E5175E" w:rsidRPr="00E5175E" w:rsidRDefault="00E5175E" w:rsidP="008D7BB4">
      <w:pPr>
        <w:spacing w:line="276" w:lineRule="auto"/>
        <w:ind w:left="720"/>
        <w:contextualSpacing/>
        <w:rPr>
          <w:rFonts w:ascii="Times New Roman" w:eastAsia="Times New Roman" w:hAnsi="Times New Roman" w:cs="Times New Roman"/>
          <w:sz w:val="22"/>
          <w:szCs w:val="22"/>
        </w:rPr>
      </w:pPr>
    </w:p>
    <w:p w14:paraId="0B63DA6E" w14:textId="3D4C73A6" w:rsidR="00E5175E" w:rsidRPr="00E5175E" w:rsidRDefault="00E5175E" w:rsidP="008D7BB4">
      <w:pPr>
        <w:numPr>
          <w:ilvl w:val="0"/>
          <w:numId w:val="48"/>
        </w:numPr>
        <w:spacing w:line="276" w:lineRule="auto"/>
        <w:contextualSpacing/>
        <w:jc w:val="both"/>
        <w:rPr>
          <w:rFonts w:ascii="Times New Roman" w:eastAsia="Times New Roman" w:hAnsi="Times New Roman" w:cs="Times New Roman"/>
          <w:sz w:val="22"/>
          <w:szCs w:val="22"/>
        </w:rPr>
      </w:pPr>
      <w:r w:rsidRPr="00E5175E">
        <w:rPr>
          <w:rFonts w:ascii="Times New Roman" w:eastAsia="Times New Roman" w:hAnsi="Times New Roman" w:cs="Times New Roman"/>
          <w:sz w:val="22"/>
          <w:szCs w:val="22"/>
        </w:rPr>
        <w:t>El comercio mundial se está desacelerando de 10.1% para 2021 hacia una estimación de cierre de 4.3% para 2022. La desaceleración, que es 0.7 puntos porcentuales más pronunciada que la proyectada para 2023 refleja sobre todo la disminución del crecimiento del producto mundial, lo que repercute en una menor demanda externa de bienes y servicios.</w:t>
      </w:r>
    </w:p>
    <w:p w14:paraId="10BF529B" w14:textId="77777777" w:rsidR="00E5175E" w:rsidRPr="00E5175E" w:rsidRDefault="00E5175E" w:rsidP="008D7BB4">
      <w:pPr>
        <w:spacing w:line="276" w:lineRule="auto"/>
        <w:ind w:left="720"/>
        <w:contextualSpacing/>
        <w:rPr>
          <w:rFonts w:ascii="Times New Roman" w:eastAsia="Times New Roman" w:hAnsi="Times New Roman" w:cs="Times New Roman"/>
          <w:sz w:val="22"/>
          <w:szCs w:val="22"/>
        </w:rPr>
      </w:pPr>
    </w:p>
    <w:p w14:paraId="16D0B0F8" w14:textId="4A2EED05" w:rsidR="00E5175E" w:rsidRPr="00E5175E" w:rsidRDefault="00E5175E" w:rsidP="008D7BB4">
      <w:pPr>
        <w:numPr>
          <w:ilvl w:val="0"/>
          <w:numId w:val="48"/>
        </w:numPr>
        <w:spacing w:line="276" w:lineRule="auto"/>
        <w:contextualSpacing/>
        <w:jc w:val="both"/>
        <w:rPr>
          <w:rFonts w:ascii="Times New Roman" w:eastAsia="Times New Roman" w:hAnsi="Times New Roman" w:cs="Times New Roman"/>
          <w:sz w:val="22"/>
          <w:szCs w:val="22"/>
        </w:rPr>
      </w:pPr>
      <w:r w:rsidRPr="00E5175E">
        <w:rPr>
          <w:rFonts w:ascii="Times New Roman" w:eastAsia="Times New Roman" w:hAnsi="Times New Roman" w:cs="Times New Roman"/>
          <w:sz w:val="22"/>
          <w:szCs w:val="22"/>
        </w:rPr>
        <w:t>En lo que resp</w:t>
      </w:r>
      <w:r w:rsidR="00AB792A">
        <w:rPr>
          <w:rFonts w:ascii="Times New Roman" w:eastAsia="Times New Roman" w:hAnsi="Times New Roman" w:cs="Times New Roman"/>
          <w:sz w:val="22"/>
          <w:szCs w:val="22"/>
        </w:rPr>
        <w:t>ec</w:t>
      </w:r>
      <w:r w:rsidRPr="00E5175E">
        <w:rPr>
          <w:rFonts w:ascii="Times New Roman" w:eastAsia="Times New Roman" w:hAnsi="Times New Roman" w:cs="Times New Roman"/>
          <w:sz w:val="22"/>
          <w:szCs w:val="22"/>
        </w:rPr>
        <w:t>ta a los precios internacionales del crudo de petróleo, el precio spot de WTI se ubicó en USD$ 80.2 por barril para el 31 de diciembre de 2022, mostrando en el primer semestre los precios más altos registrados desde el 2008 en la crisis financiera. En el segundo semestre los precios disminuyeron, aunque con una volatilidad significativa, no obstante, la apreciación de dólar ocasiono que los precios de los combustibles se mantuvieran alto en las monedas locales.</w:t>
      </w:r>
    </w:p>
    <w:p w14:paraId="5F21D775" w14:textId="77777777" w:rsidR="00E5175E" w:rsidRPr="00E5175E" w:rsidRDefault="00E5175E" w:rsidP="008D7BB4">
      <w:pPr>
        <w:spacing w:line="276" w:lineRule="auto"/>
        <w:ind w:left="720"/>
        <w:contextualSpacing/>
        <w:rPr>
          <w:rFonts w:ascii="Times New Roman" w:eastAsia="Times New Roman" w:hAnsi="Times New Roman" w:cs="Times New Roman"/>
          <w:sz w:val="22"/>
          <w:szCs w:val="22"/>
        </w:rPr>
      </w:pPr>
    </w:p>
    <w:p w14:paraId="6F02260D" w14:textId="75209CE1" w:rsidR="002F6DED" w:rsidRPr="00564342" w:rsidRDefault="00E5175E" w:rsidP="008D7BB4">
      <w:pPr>
        <w:numPr>
          <w:ilvl w:val="0"/>
          <w:numId w:val="48"/>
        </w:numPr>
        <w:spacing w:line="276" w:lineRule="auto"/>
        <w:contextualSpacing/>
        <w:jc w:val="both"/>
        <w:rPr>
          <w:rFonts w:ascii="Times New Roman" w:eastAsia="Times New Roman" w:hAnsi="Times New Roman" w:cs="Times New Roman"/>
          <w:sz w:val="22"/>
          <w:szCs w:val="22"/>
        </w:rPr>
      </w:pPr>
      <w:r w:rsidRPr="00E5175E">
        <w:rPr>
          <w:rFonts w:ascii="Times New Roman" w:eastAsia="Times New Roman" w:hAnsi="Times New Roman" w:cs="Times New Roman"/>
          <w:sz w:val="22"/>
          <w:szCs w:val="22"/>
        </w:rPr>
        <w:t>Asimismo, los precios de varias materias primas han experimentaron durante los primeros meses incrementos sustantivo a raíz del conflicto Rusia-Ucrania. En el caso de los insumos alimenticios (maíz y arroz), los incrementos han sido sostenidos; mientras que, en los p</w:t>
      </w:r>
      <w:r w:rsidR="00AB792A">
        <w:rPr>
          <w:rFonts w:ascii="Times New Roman" w:eastAsia="Times New Roman" w:hAnsi="Times New Roman" w:cs="Times New Roman"/>
          <w:sz w:val="22"/>
          <w:szCs w:val="22"/>
        </w:rPr>
        <w:t>r</w:t>
      </w:r>
      <w:r w:rsidRPr="00E5175E">
        <w:rPr>
          <w:rFonts w:ascii="Times New Roman" w:eastAsia="Times New Roman" w:hAnsi="Times New Roman" w:cs="Times New Roman"/>
          <w:sz w:val="22"/>
          <w:szCs w:val="22"/>
        </w:rPr>
        <w:t>ecios de los metales, que registraron un fuerte crecimiento en el primer semestre, tendieron a regularizarse en el segundo semestre, a excepción de algunas materias prima como el cobre, el níquel</w:t>
      </w:r>
      <w:r w:rsidR="00AB792A">
        <w:rPr>
          <w:rFonts w:ascii="Times New Roman" w:eastAsia="Times New Roman" w:hAnsi="Times New Roman" w:cs="Times New Roman"/>
          <w:sz w:val="22"/>
          <w:szCs w:val="22"/>
        </w:rPr>
        <w:t>,</w:t>
      </w:r>
      <w:r w:rsidRPr="00E5175E">
        <w:rPr>
          <w:rFonts w:ascii="Times New Roman" w:eastAsia="Times New Roman" w:hAnsi="Times New Roman" w:cs="Times New Roman"/>
          <w:sz w:val="22"/>
          <w:szCs w:val="22"/>
        </w:rPr>
        <w:t xml:space="preserve"> entre otros.</w:t>
      </w:r>
    </w:p>
    <w:p w14:paraId="12605814" w14:textId="77777777" w:rsidR="00E5175E" w:rsidRPr="00E5175E" w:rsidRDefault="00E5175E" w:rsidP="008D7BB4">
      <w:pPr>
        <w:spacing w:line="276" w:lineRule="auto"/>
        <w:ind w:left="720"/>
        <w:contextualSpacing/>
        <w:rPr>
          <w:rFonts w:ascii="Times New Roman" w:eastAsia="Times New Roman" w:hAnsi="Times New Roman" w:cs="Times New Roman"/>
          <w:sz w:val="22"/>
          <w:szCs w:val="22"/>
        </w:rPr>
      </w:pPr>
    </w:p>
    <w:tbl>
      <w:tblPr>
        <w:tblStyle w:val="Tablaconcuadrcula9"/>
        <w:tblW w:w="88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E5175E" w:rsidRPr="00E5175E" w14:paraId="6294FCD1" w14:textId="77777777" w:rsidTr="00D43FC3">
        <w:trPr>
          <w:trHeight w:val="20"/>
        </w:trPr>
        <w:tc>
          <w:tcPr>
            <w:tcW w:w="4409" w:type="dxa"/>
            <w:vAlign w:val="center"/>
          </w:tcPr>
          <w:p w14:paraId="151FAA38" w14:textId="3A3950C1" w:rsidR="00E5175E" w:rsidRPr="00E5175E" w:rsidRDefault="009F246B" w:rsidP="008D7BB4">
            <w:pPr>
              <w:spacing w:line="276" w:lineRule="auto"/>
              <w:contextualSpacing/>
              <w:jc w:val="center"/>
              <w:rPr>
                <w:rFonts w:ascii="Times New Roman" w:eastAsia="Times New Roman" w:hAnsi="Times New Roman"/>
                <w:b/>
                <w:bCs/>
              </w:rPr>
            </w:pPr>
            <w:bookmarkStart w:id="127" w:name="_Toc125733229"/>
            <w:r w:rsidRPr="009F246B">
              <w:rPr>
                <w:rFonts w:ascii="Times New Roman" w:eastAsia="Times New Roman" w:hAnsi="Times New Roman"/>
                <w:b/>
              </w:rPr>
              <w:t xml:space="preserve">Gráfico </w:t>
            </w:r>
            <w:r w:rsidRPr="009F246B">
              <w:rPr>
                <w:rFonts w:ascii="Times New Roman" w:eastAsia="Times New Roman" w:hAnsi="Times New Roman"/>
                <w:b/>
              </w:rPr>
              <w:fldChar w:fldCharType="begin"/>
            </w:r>
            <w:r w:rsidRPr="009F246B">
              <w:rPr>
                <w:rFonts w:ascii="Times New Roman" w:eastAsia="Times New Roman" w:hAnsi="Times New Roman"/>
                <w:b/>
              </w:rPr>
              <w:instrText xml:space="preserve"> SEQ Gráfico \* ARABIC </w:instrText>
            </w:r>
            <w:r w:rsidRPr="009F246B">
              <w:rPr>
                <w:rFonts w:ascii="Times New Roman" w:eastAsia="Times New Roman" w:hAnsi="Times New Roman"/>
                <w:b/>
              </w:rPr>
              <w:fldChar w:fldCharType="separate"/>
            </w:r>
            <w:r w:rsidR="006F4BE5">
              <w:rPr>
                <w:rFonts w:ascii="Times New Roman" w:eastAsia="Times New Roman" w:hAnsi="Times New Roman"/>
                <w:b/>
                <w:noProof/>
              </w:rPr>
              <w:t>33</w:t>
            </w:r>
            <w:r w:rsidRPr="009F246B">
              <w:rPr>
                <w:rFonts w:ascii="Times New Roman" w:eastAsia="Times New Roman" w:hAnsi="Times New Roman"/>
                <w:b/>
              </w:rPr>
              <w:fldChar w:fldCharType="end"/>
            </w:r>
            <w:r w:rsidRPr="009F246B">
              <w:rPr>
                <w:rFonts w:ascii="Times New Roman" w:eastAsia="Times New Roman" w:hAnsi="Times New Roman"/>
                <w:b/>
              </w:rPr>
              <w:t>.</w:t>
            </w:r>
            <w:r>
              <w:rPr>
                <w:rFonts w:ascii="Times New Roman" w:eastAsia="Times New Roman" w:hAnsi="Times New Roman"/>
                <w:b/>
              </w:rPr>
              <w:t xml:space="preserve"> </w:t>
            </w:r>
            <w:r w:rsidR="00E5175E" w:rsidRPr="00E5175E">
              <w:rPr>
                <w:rFonts w:ascii="Times New Roman" w:eastAsia="Times New Roman" w:hAnsi="Times New Roman"/>
                <w:b/>
                <w:bCs/>
              </w:rPr>
              <w:t>Precio spot del crudo WTI</w:t>
            </w:r>
            <w:bookmarkEnd w:id="127"/>
          </w:p>
        </w:tc>
        <w:tc>
          <w:tcPr>
            <w:tcW w:w="4411" w:type="dxa"/>
            <w:vAlign w:val="center"/>
          </w:tcPr>
          <w:p w14:paraId="7AD1ED99" w14:textId="2B97B65D" w:rsidR="00E5175E" w:rsidRPr="00E5175E" w:rsidRDefault="009F246B" w:rsidP="008D7BB4">
            <w:pPr>
              <w:keepNext/>
              <w:spacing w:line="276" w:lineRule="auto"/>
              <w:contextualSpacing/>
              <w:jc w:val="center"/>
              <w:rPr>
                <w:rFonts w:ascii="Times New Roman" w:eastAsia="Times New Roman" w:hAnsi="Times New Roman"/>
                <w:b/>
                <w:bCs/>
                <w:color w:val="000000"/>
              </w:rPr>
            </w:pPr>
            <w:bookmarkStart w:id="128" w:name="_Toc125733230"/>
            <w:r w:rsidRPr="009F246B">
              <w:rPr>
                <w:rFonts w:ascii="Times New Roman" w:eastAsia="Times New Roman" w:hAnsi="Times New Roman"/>
                <w:b/>
              </w:rPr>
              <w:t xml:space="preserve">Gráfico </w:t>
            </w:r>
            <w:r w:rsidRPr="009F246B">
              <w:rPr>
                <w:rFonts w:ascii="Times New Roman" w:eastAsia="Times New Roman" w:hAnsi="Times New Roman"/>
                <w:b/>
              </w:rPr>
              <w:fldChar w:fldCharType="begin"/>
            </w:r>
            <w:r w:rsidRPr="009F246B">
              <w:rPr>
                <w:rFonts w:ascii="Times New Roman" w:eastAsia="Times New Roman" w:hAnsi="Times New Roman"/>
                <w:b/>
              </w:rPr>
              <w:instrText xml:space="preserve"> SEQ Gráfico \* ARABIC </w:instrText>
            </w:r>
            <w:r w:rsidRPr="009F246B">
              <w:rPr>
                <w:rFonts w:ascii="Times New Roman" w:eastAsia="Times New Roman" w:hAnsi="Times New Roman"/>
                <w:b/>
              </w:rPr>
              <w:fldChar w:fldCharType="separate"/>
            </w:r>
            <w:r w:rsidR="006F4BE5">
              <w:rPr>
                <w:rFonts w:ascii="Times New Roman" w:eastAsia="Times New Roman" w:hAnsi="Times New Roman"/>
                <w:b/>
                <w:noProof/>
              </w:rPr>
              <w:t>34</w:t>
            </w:r>
            <w:r w:rsidRPr="009F246B">
              <w:rPr>
                <w:rFonts w:ascii="Times New Roman" w:eastAsia="Times New Roman" w:hAnsi="Times New Roman"/>
                <w:b/>
              </w:rPr>
              <w:fldChar w:fldCharType="end"/>
            </w:r>
            <w:r w:rsidRPr="009F246B">
              <w:rPr>
                <w:rFonts w:ascii="Times New Roman" w:eastAsia="Times New Roman" w:hAnsi="Times New Roman"/>
                <w:b/>
              </w:rPr>
              <w:t>.</w:t>
            </w:r>
            <w:r>
              <w:rPr>
                <w:rFonts w:ascii="Times New Roman" w:eastAsia="Times New Roman" w:hAnsi="Times New Roman"/>
                <w:b/>
              </w:rPr>
              <w:t xml:space="preserve"> </w:t>
            </w:r>
            <w:r w:rsidR="00E5175E" w:rsidRPr="00E5175E">
              <w:rPr>
                <w:rFonts w:ascii="Times New Roman" w:eastAsia="Times New Roman" w:hAnsi="Times New Roman"/>
                <w:b/>
                <w:bCs/>
                <w:color w:val="000000"/>
              </w:rPr>
              <w:t>Precio de futuros de maíz y trigo</w:t>
            </w:r>
            <w:bookmarkEnd w:id="128"/>
          </w:p>
        </w:tc>
      </w:tr>
      <w:tr w:rsidR="00E5175E" w:rsidRPr="00E5175E" w14:paraId="59F58E57" w14:textId="77777777" w:rsidTr="00D43FC3">
        <w:trPr>
          <w:trHeight w:val="1918"/>
        </w:trPr>
        <w:tc>
          <w:tcPr>
            <w:tcW w:w="4409" w:type="dxa"/>
          </w:tcPr>
          <w:p w14:paraId="08B3D00C" w14:textId="54E5BAC6" w:rsidR="00E5175E" w:rsidRPr="00E5175E" w:rsidRDefault="00E5175E" w:rsidP="008D7BB4">
            <w:pPr>
              <w:spacing w:line="276" w:lineRule="auto"/>
              <w:ind w:right="49"/>
              <w:contextualSpacing/>
              <w:jc w:val="both"/>
              <w:rPr>
                <w:rFonts w:ascii="Calibri" w:eastAsia="Times New Roman" w:hAnsi="Calibri"/>
                <w:lang w:val="es-MX" w:eastAsia="es-ES"/>
              </w:rPr>
            </w:pPr>
            <w:r w:rsidRPr="00E5175E">
              <w:rPr>
                <w:rFonts w:ascii="Calibri" w:eastAsia="Times New Roman" w:hAnsi="Calibri"/>
                <w:noProof/>
                <w:lang w:val="es-ES_tradnl" w:eastAsia="es-ES"/>
              </w:rPr>
              <w:drawing>
                <wp:inline distT="0" distB="0" distL="0" distR="0" wp14:anchorId="5701E2FA" wp14:editId="03BE7D4C">
                  <wp:extent cx="2701925" cy="2095995"/>
                  <wp:effectExtent l="0" t="0" r="3175" b="0"/>
                  <wp:docPr id="277" name="Gráfico 27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c>
          <w:tcPr>
            <w:tcW w:w="4411" w:type="dxa"/>
          </w:tcPr>
          <w:p w14:paraId="754101F8" w14:textId="5CADD970" w:rsidR="00E5175E" w:rsidRPr="00E5175E" w:rsidRDefault="00E5175E" w:rsidP="008D7BB4">
            <w:pPr>
              <w:spacing w:line="276" w:lineRule="auto"/>
              <w:ind w:right="49"/>
              <w:contextualSpacing/>
              <w:jc w:val="both"/>
              <w:rPr>
                <w:rFonts w:ascii="Calibri" w:eastAsia="Times New Roman" w:hAnsi="Calibri"/>
                <w:lang w:val="es-MX" w:eastAsia="es-ES"/>
              </w:rPr>
            </w:pPr>
            <w:r w:rsidRPr="00E5175E">
              <w:rPr>
                <w:rFonts w:ascii="Calibri" w:eastAsia="Times New Roman" w:hAnsi="Calibri"/>
                <w:noProof/>
                <w:lang w:val="es-ES_tradnl" w:eastAsia="es-ES"/>
              </w:rPr>
              <w:drawing>
                <wp:inline distT="0" distB="0" distL="0" distR="0" wp14:anchorId="7E6D6E67" wp14:editId="473BD02B">
                  <wp:extent cx="2701925" cy="2162810"/>
                  <wp:effectExtent l="0" t="0" r="3175" b="8890"/>
                  <wp:docPr id="276" name="Gráfico 27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r>
      <w:tr w:rsidR="00E5175E" w:rsidRPr="00E5175E" w14:paraId="2810A524" w14:textId="77777777" w:rsidTr="00D43FC3">
        <w:trPr>
          <w:trHeight w:val="116"/>
        </w:trPr>
        <w:tc>
          <w:tcPr>
            <w:tcW w:w="8821" w:type="dxa"/>
            <w:gridSpan w:val="2"/>
          </w:tcPr>
          <w:p w14:paraId="3C627433" w14:textId="77777777" w:rsidR="00E5175E" w:rsidRPr="008C3120" w:rsidRDefault="00E5175E" w:rsidP="008D7BB4">
            <w:pPr>
              <w:spacing w:line="276" w:lineRule="auto"/>
              <w:ind w:right="49"/>
              <w:contextualSpacing/>
              <w:jc w:val="both"/>
              <w:rPr>
                <w:rFonts w:ascii="Times New Roman" w:eastAsia="Times New Roman" w:hAnsi="Times New Roman"/>
                <w:sz w:val="18"/>
                <w:szCs w:val="18"/>
                <w:lang w:val="es-MX" w:eastAsia="es-ES"/>
              </w:rPr>
            </w:pPr>
            <w:r w:rsidRPr="008C3120">
              <w:rPr>
                <w:rFonts w:ascii="Times New Roman" w:eastAsia="Times New Roman" w:hAnsi="Times New Roman"/>
                <w:sz w:val="18"/>
                <w:szCs w:val="18"/>
                <w:lang w:val="es-ES_tradnl" w:eastAsia="es-ES"/>
              </w:rPr>
              <w:t xml:space="preserve">Fuente: Administración de Información de Energía de EE.UU. e </w:t>
            </w:r>
            <w:proofErr w:type="spellStart"/>
            <w:r w:rsidRPr="008C3120">
              <w:rPr>
                <w:rFonts w:ascii="Times New Roman" w:eastAsia="Times New Roman" w:hAnsi="Times New Roman"/>
                <w:sz w:val="18"/>
                <w:szCs w:val="18"/>
                <w:lang w:val="es-ES_tradnl" w:eastAsia="es-ES"/>
              </w:rPr>
              <w:t>Investing</w:t>
            </w:r>
            <w:proofErr w:type="spellEnd"/>
          </w:p>
        </w:tc>
      </w:tr>
    </w:tbl>
    <w:p w14:paraId="4218F4EE" w14:textId="3E54A49E" w:rsidR="00F63769" w:rsidRDefault="00F63769" w:rsidP="008D7BB4">
      <w:pPr>
        <w:tabs>
          <w:tab w:val="left" w:pos="2430"/>
        </w:tabs>
        <w:spacing w:line="276" w:lineRule="auto"/>
        <w:contextualSpacing/>
        <w:rPr>
          <w:rFonts w:ascii="Montserrat" w:hAnsi="Montserrat"/>
          <w:sz w:val="21"/>
          <w:szCs w:val="21"/>
          <w:lang w:val="es-ES_tradnl"/>
        </w:rPr>
      </w:pPr>
    </w:p>
    <w:p w14:paraId="6A231013" w14:textId="5E2C8F67" w:rsidR="00E5175E" w:rsidRDefault="00E5175E" w:rsidP="008D7BB4">
      <w:pPr>
        <w:tabs>
          <w:tab w:val="left" w:pos="2430"/>
        </w:tabs>
        <w:spacing w:line="276" w:lineRule="auto"/>
        <w:contextualSpacing/>
        <w:rPr>
          <w:rFonts w:ascii="Montserrat" w:hAnsi="Montserrat"/>
          <w:sz w:val="21"/>
          <w:szCs w:val="21"/>
          <w:lang w:val="es-ES_tradnl"/>
        </w:rPr>
      </w:pPr>
    </w:p>
    <w:p w14:paraId="64F7197E" w14:textId="77777777" w:rsidR="00E5175E" w:rsidRPr="005F6612" w:rsidRDefault="00E5175E" w:rsidP="008D7BB4">
      <w:pPr>
        <w:spacing w:line="276" w:lineRule="auto"/>
        <w:contextualSpacing/>
        <w:rPr>
          <w:rFonts w:ascii="Times New Roman" w:eastAsia="Times New Roman" w:hAnsi="Times New Roman" w:cs="Times New Roman"/>
          <w:b/>
          <w:bCs/>
          <w:sz w:val="22"/>
          <w:szCs w:val="22"/>
          <w:lang w:val="es-ES_tradnl" w:eastAsia="es-ES"/>
        </w:rPr>
      </w:pPr>
      <w:bookmarkStart w:id="129" w:name="_Toc93398037"/>
      <w:bookmarkStart w:id="130" w:name="_Toc94259661"/>
      <w:r w:rsidRPr="005F6612">
        <w:rPr>
          <w:rFonts w:ascii="Times New Roman" w:eastAsiaTheme="majorEastAsia" w:hAnsi="Times New Roman" w:cs="Times New Roman"/>
          <w:b/>
          <w:bCs/>
          <w:sz w:val="22"/>
          <w:szCs w:val="22"/>
        </w:rPr>
        <w:t>Desempeño económico de los principales socios comerciales</w:t>
      </w:r>
      <w:bookmarkEnd w:id="129"/>
      <w:bookmarkEnd w:id="130"/>
    </w:p>
    <w:p w14:paraId="7699EAD6" w14:textId="77777777" w:rsidR="00E5175E" w:rsidRPr="00E5175E" w:rsidRDefault="00E5175E" w:rsidP="008D7BB4">
      <w:pPr>
        <w:spacing w:line="276" w:lineRule="auto"/>
        <w:contextualSpacing/>
        <w:rPr>
          <w:rFonts w:ascii="Calibri" w:eastAsia="Times New Roman" w:hAnsi="Calibri" w:cs="Times New Roman"/>
          <w:lang w:val="es-ES_tradnl" w:eastAsia="es-ES"/>
        </w:rPr>
      </w:pPr>
    </w:p>
    <w:p w14:paraId="09D2FB72" w14:textId="77777777" w:rsidR="00E5175E" w:rsidRPr="00E5175E" w:rsidRDefault="00E5175E" w:rsidP="008D7BB4">
      <w:pPr>
        <w:numPr>
          <w:ilvl w:val="0"/>
          <w:numId w:val="48"/>
        </w:numPr>
        <w:spacing w:line="276" w:lineRule="auto"/>
        <w:contextualSpacing/>
        <w:jc w:val="both"/>
        <w:rPr>
          <w:rFonts w:ascii="Times New Roman" w:eastAsia="Times New Roman" w:hAnsi="Times New Roman" w:cs="Times New Roman"/>
          <w:sz w:val="22"/>
          <w:szCs w:val="22"/>
        </w:rPr>
      </w:pPr>
      <w:r w:rsidRPr="00E5175E">
        <w:rPr>
          <w:rFonts w:ascii="Times New Roman" w:eastAsia="Times New Roman" w:hAnsi="Times New Roman" w:cs="Times New Roman"/>
          <w:sz w:val="22"/>
          <w:szCs w:val="22"/>
        </w:rPr>
        <w:t>La economía de Estados Unidos proyecta un crecimiento en 2022 de 1.6%, muy por debajo del 5.7% de 2021. De acuerdo al FMI, el crecimiento en 2022 se revisó a la baja en 0.7 puntos porcentuales desde julio, como reflejo de la contracción del PIB real en el segundo trimestre. La reducción de la renta real disponible sigue reduciendo la demanda de consumo, mientras que las tasas de interés más altas están afectando al gasto, en especial el de viviendas.</w:t>
      </w:r>
    </w:p>
    <w:p w14:paraId="7E0506DF" w14:textId="77777777" w:rsidR="00E5175E" w:rsidRPr="00E5175E" w:rsidRDefault="00E5175E" w:rsidP="008D7BB4">
      <w:pPr>
        <w:spacing w:line="276" w:lineRule="auto"/>
        <w:ind w:left="360"/>
        <w:contextualSpacing/>
        <w:jc w:val="both"/>
        <w:rPr>
          <w:rFonts w:ascii="Times New Roman" w:eastAsia="Times New Roman" w:hAnsi="Times New Roman" w:cs="Times New Roman"/>
          <w:sz w:val="22"/>
          <w:szCs w:val="22"/>
        </w:rPr>
      </w:pPr>
    </w:p>
    <w:p w14:paraId="21E59DA3" w14:textId="77777777" w:rsidR="00E5175E" w:rsidRPr="00E5175E" w:rsidRDefault="00E5175E" w:rsidP="008D7BB4">
      <w:pPr>
        <w:numPr>
          <w:ilvl w:val="0"/>
          <w:numId w:val="48"/>
        </w:numPr>
        <w:spacing w:line="276" w:lineRule="auto"/>
        <w:contextualSpacing/>
        <w:jc w:val="both"/>
        <w:rPr>
          <w:rFonts w:ascii="Times New Roman" w:eastAsia="Times New Roman" w:hAnsi="Times New Roman" w:cs="Times New Roman"/>
          <w:sz w:val="22"/>
          <w:szCs w:val="22"/>
        </w:rPr>
      </w:pPr>
      <w:r w:rsidRPr="00E5175E">
        <w:rPr>
          <w:rFonts w:ascii="Times New Roman" w:eastAsia="Times New Roman" w:hAnsi="Times New Roman" w:cs="Times New Roman"/>
          <w:sz w:val="22"/>
          <w:szCs w:val="22"/>
        </w:rPr>
        <w:t xml:space="preserve">La aparición de nuevos brotes de COVID-19 en China han forzado a los confinamientos en muchas localidades del país, así como el deterioro de la crisis del mercado inmobiliario, lo cual se ha visto reflejado en el crecimiento del mercado chino, siendo el más bajo en más de cuatro décadas, excluida la crisis inicial de la COVID-19 en 2020, con 3.2% en 2022. </w:t>
      </w:r>
    </w:p>
    <w:p w14:paraId="00DD3D2D" w14:textId="77777777" w:rsidR="00E5175E" w:rsidRPr="00E5175E" w:rsidRDefault="00E5175E" w:rsidP="008D7BB4">
      <w:pPr>
        <w:spacing w:line="276" w:lineRule="auto"/>
        <w:ind w:left="360"/>
        <w:contextualSpacing/>
        <w:jc w:val="both"/>
        <w:rPr>
          <w:rFonts w:ascii="Times New Roman" w:eastAsia="Times New Roman" w:hAnsi="Times New Roman" w:cs="Times New Roman"/>
          <w:sz w:val="22"/>
          <w:szCs w:val="22"/>
        </w:rPr>
      </w:pPr>
    </w:p>
    <w:p w14:paraId="345C175B" w14:textId="5F7A5A5D" w:rsidR="00E5175E" w:rsidRDefault="00E5175E" w:rsidP="008D7BB4">
      <w:pPr>
        <w:numPr>
          <w:ilvl w:val="0"/>
          <w:numId w:val="48"/>
        </w:numPr>
        <w:spacing w:line="276" w:lineRule="auto"/>
        <w:contextualSpacing/>
        <w:jc w:val="both"/>
        <w:rPr>
          <w:rFonts w:ascii="Times New Roman" w:eastAsia="Times New Roman" w:hAnsi="Times New Roman" w:cs="Times New Roman"/>
          <w:sz w:val="22"/>
          <w:szCs w:val="22"/>
        </w:rPr>
      </w:pPr>
      <w:r w:rsidRPr="00E5175E">
        <w:rPr>
          <w:rFonts w:ascii="Times New Roman" w:eastAsia="Times New Roman" w:hAnsi="Times New Roman" w:cs="Times New Roman"/>
          <w:sz w:val="22"/>
          <w:szCs w:val="22"/>
        </w:rPr>
        <w:t xml:space="preserve">De acuerdo con el FMI, la región de América Latina y el Caribe tuvo un crecimiento de 3.5% en 2022, menor en 0.5 puntos porcentuales superior al proyectado en julio, como reflejo de una actividad más vigorosa de lo esperado en el primer semestre de 2022, gracias a los precios favorables de las materias primas, a unas condiciones de financiamiento externo todavía propicias y a la normalización de las actividades en los sectores de contacto intensivo. </w:t>
      </w:r>
    </w:p>
    <w:p w14:paraId="63BCFCBA" w14:textId="77777777" w:rsidR="00AC6441" w:rsidRDefault="00AC6441" w:rsidP="00AC6441">
      <w:pPr>
        <w:pStyle w:val="Prrafodelista"/>
        <w:rPr>
          <w:rFonts w:ascii="Times New Roman" w:eastAsia="Times New Roman" w:hAnsi="Times New Roman" w:cs="Times New Roman"/>
        </w:rPr>
      </w:pPr>
    </w:p>
    <w:p w14:paraId="73E98A15" w14:textId="77777777" w:rsidR="00AC6441" w:rsidRPr="00AC6441" w:rsidRDefault="00AC6441" w:rsidP="00AC6441">
      <w:pPr>
        <w:spacing w:line="276" w:lineRule="auto"/>
        <w:ind w:left="360"/>
        <w:contextualSpacing/>
        <w:jc w:val="both"/>
        <w:rPr>
          <w:rFonts w:ascii="Times New Roman" w:eastAsia="Times New Roman" w:hAnsi="Times New Roman" w:cs="Times New Roman"/>
          <w:sz w:val="22"/>
          <w:szCs w:val="22"/>
        </w:rPr>
      </w:pPr>
    </w:p>
    <w:p w14:paraId="02C1D769" w14:textId="25234381" w:rsidR="00E5175E" w:rsidRPr="00FE0B42" w:rsidRDefault="00FE0B42" w:rsidP="008D7BB4">
      <w:pPr>
        <w:spacing w:line="276" w:lineRule="auto"/>
        <w:contextualSpacing/>
        <w:jc w:val="center"/>
        <w:rPr>
          <w:rFonts w:ascii="Times New Roman" w:eastAsia="Times New Roman" w:hAnsi="Times New Roman" w:cs="Times New Roman"/>
          <w:b/>
          <w:sz w:val="22"/>
          <w:szCs w:val="22"/>
          <w:lang w:val="es-ES_tradnl" w:eastAsia="es-ES"/>
        </w:rPr>
      </w:pPr>
      <w:bookmarkStart w:id="131" w:name="_Toc125534818"/>
      <w:r w:rsidRPr="00FE0B42">
        <w:rPr>
          <w:rFonts w:ascii="Times New Roman" w:hAnsi="Times New Roman" w:cs="Times New Roman"/>
          <w:b/>
          <w:bCs/>
          <w:sz w:val="22"/>
          <w:szCs w:val="22"/>
        </w:rPr>
        <w:t xml:space="preserve">Tabla </w:t>
      </w:r>
      <w:r w:rsidRPr="00FE0B42">
        <w:rPr>
          <w:rFonts w:ascii="Times New Roman" w:hAnsi="Times New Roman" w:cs="Times New Roman"/>
          <w:b/>
          <w:bCs/>
          <w:sz w:val="22"/>
          <w:szCs w:val="22"/>
        </w:rPr>
        <w:fldChar w:fldCharType="begin"/>
      </w:r>
      <w:r w:rsidRPr="00FE0B42">
        <w:rPr>
          <w:rFonts w:ascii="Times New Roman" w:hAnsi="Times New Roman" w:cs="Times New Roman"/>
          <w:b/>
          <w:bCs/>
          <w:sz w:val="22"/>
          <w:szCs w:val="22"/>
        </w:rPr>
        <w:instrText xml:space="preserve"> SEQ Tabla \* ARABIC </w:instrText>
      </w:r>
      <w:r w:rsidRPr="00FE0B42">
        <w:rPr>
          <w:rFonts w:ascii="Times New Roman" w:hAnsi="Times New Roman" w:cs="Times New Roman"/>
          <w:b/>
          <w:bCs/>
          <w:sz w:val="22"/>
          <w:szCs w:val="22"/>
        </w:rPr>
        <w:fldChar w:fldCharType="separate"/>
      </w:r>
      <w:r w:rsidR="006F4BE5">
        <w:rPr>
          <w:rFonts w:ascii="Times New Roman" w:hAnsi="Times New Roman" w:cs="Times New Roman"/>
          <w:b/>
          <w:bCs/>
          <w:noProof/>
          <w:sz w:val="22"/>
          <w:szCs w:val="22"/>
        </w:rPr>
        <w:t>9</w:t>
      </w:r>
      <w:r w:rsidRPr="00FE0B42">
        <w:rPr>
          <w:rFonts w:ascii="Times New Roman" w:hAnsi="Times New Roman" w:cs="Times New Roman"/>
          <w:b/>
          <w:bCs/>
          <w:sz w:val="22"/>
          <w:szCs w:val="22"/>
        </w:rPr>
        <w:fldChar w:fldCharType="end"/>
      </w:r>
      <w:r w:rsidRPr="00FE0B42">
        <w:rPr>
          <w:rFonts w:ascii="Times New Roman" w:hAnsi="Times New Roman" w:cs="Times New Roman"/>
          <w:b/>
          <w:bCs/>
          <w:sz w:val="22"/>
          <w:szCs w:val="22"/>
        </w:rPr>
        <w:t>.</w:t>
      </w:r>
      <w:r w:rsidRPr="00FE0B42">
        <w:rPr>
          <w:sz w:val="22"/>
          <w:szCs w:val="22"/>
        </w:rPr>
        <w:t xml:space="preserve"> </w:t>
      </w:r>
      <w:r w:rsidR="00E5175E" w:rsidRPr="00FE0B42">
        <w:rPr>
          <w:rFonts w:ascii="Times New Roman" w:eastAsia="Times New Roman" w:hAnsi="Times New Roman" w:cs="Times New Roman"/>
          <w:b/>
          <w:sz w:val="22"/>
          <w:szCs w:val="22"/>
          <w:lang w:val="es-ES_tradnl" w:eastAsia="es-ES"/>
        </w:rPr>
        <w:t>Principales indicadores Macroeconómicos y Fiscales de la región</w:t>
      </w:r>
      <w:bookmarkEnd w:id="131"/>
    </w:p>
    <w:p w14:paraId="61717770" w14:textId="77777777" w:rsidR="00E5175E" w:rsidRPr="00E5175E" w:rsidRDefault="00E5175E" w:rsidP="008D7BB4">
      <w:pPr>
        <w:spacing w:line="276" w:lineRule="auto"/>
        <w:contextualSpacing/>
        <w:jc w:val="center"/>
        <w:rPr>
          <w:rFonts w:ascii="Times New Roman" w:eastAsia="Times New Roman" w:hAnsi="Times New Roman" w:cs="Times New Roman"/>
          <w:sz w:val="18"/>
          <w:lang w:val="es-ES_tradnl" w:eastAsia="es-ES"/>
        </w:rPr>
      </w:pPr>
      <w:r w:rsidRPr="00E5175E">
        <w:rPr>
          <w:rFonts w:ascii="Times New Roman" w:eastAsia="Times New Roman" w:hAnsi="Times New Roman" w:cs="Times New Roman"/>
          <w:sz w:val="18"/>
          <w:lang w:val="es-ES_tradnl" w:eastAsia="es-ES"/>
        </w:rPr>
        <w:t>Millones de USD$ y variación interanual</w:t>
      </w:r>
    </w:p>
    <w:p w14:paraId="58FFE88B" w14:textId="77777777" w:rsidR="00E5175E" w:rsidRPr="00E5175E" w:rsidRDefault="00E5175E" w:rsidP="008D7BB4">
      <w:pPr>
        <w:spacing w:line="276" w:lineRule="auto"/>
        <w:contextualSpacing/>
        <w:jc w:val="center"/>
        <w:rPr>
          <w:rFonts w:ascii="Times New Roman" w:eastAsia="Times New Roman" w:hAnsi="Times New Roman" w:cs="Times New Roman"/>
          <w:sz w:val="12"/>
          <w:lang w:val="es-ES_tradnl" w:eastAsia="es-ES"/>
        </w:rPr>
      </w:pPr>
      <w:r w:rsidRPr="00E5175E">
        <w:rPr>
          <w:rFonts w:ascii="Times New Roman" w:eastAsia="Times New Roman" w:hAnsi="Times New Roman" w:cs="Times New Roman"/>
          <w:sz w:val="18"/>
          <w:lang w:val="es-ES_tradnl" w:eastAsia="es-ES"/>
        </w:rPr>
        <w:t>Cifras a diciembre 2021, actualización en febrero de 2022</w:t>
      </w:r>
    </w:p>
    <w:tbl>
      <w:tblPr>
        <w:tblStyle w:val="Tablaconcuadrcula10"/>
        <w:tblW w:w="8594" w:type="dxa"/>
        <w:jc w:val="center"/>
        <w:tblLook w:val="04A0" w:firstRow="1" w:lastRow="0" w:firstColumn="1" w:lastColumn="0" w:noHBand="0" w:noVBand="1"/>
      </w:tblPr>
      <w:tblGrid>
        <w:gridCol w:w="1830"/>
        <w:gridCol w:w="966"/>
        <w:gridCol w:w="966"/>
        <w:gridCol w:w="966"/>
        <w:gridCol w:w="967"/>
        <w:gridCol w:w="966"/>
        <w:gridCol w:w="966"/>
        <w:gridCol w:w="967"/>
      </w:tblGrid>
      <w:tr w:rsidR="00E5175E" w:rsidRPr="00E5175E" w14:paraId="11584571" w14:textId="77777777" w:rsidTr="006825AB">
        <w:trPr>
          <w:trHeight w:val="18"/>
          <w:jc w:val="center"/>
        </w:trPr>
        <w:tc>
          <w:tcPr>
            <w:tcW w:w="1830" w:type="dxa"/>
            <w:tcBorders>
              <w:bottom w:val="nil"/>
            </w:tcBorders>
            <w:shd w:val="clear" w:color="auto" w:fill="2F5496"/>
            <w:vAlign w:val="center"/>
          </w:tcPr>
          <w:p w14:paraId="6C88F9B4" w14:textId="77777777" w:rsidR="00E5175E" w:rsidRPr="00E5175E" w:rsidRDefault="00E5175E" w:rsidP="008D7BB4">
            <w:pPr>
              <w:spacing w:line="276" w:lineRule="auto"/>
              <w:contextualSpacing/>
              <w:jc w:val="center"/>
              <w:rPr>
                <w:rFonts w:ascii="Times New Roman" w:eastAsia="Times New Roman" w:hAnsi="Times New Roman"/>
                <w:color w:val="E7E6E6"/>
                <w:sz w:val="14"/>
                <w:szCs w:val="16"/>
                <w:lang w:eastAsia="es-ES"/>
              </w:rPr>
            </w:pPr>
            <w:r w:rsidRPr="00E5175E">
              <w:rPr>
                <w:rFonts w:ascii="Times New Roman" w:eastAsia="Times New Roman" w:hAnsi="Times New Roman"/>
                <w:color w:val="E7E6E6"/>
                <w:sz w:val="14"/>
                <w:szCs w:val="16"/>
                <w:lang w:eastAsia="es-ES"/>
              </w:rPr>
              <w:t>Variables Macroeconómicas</w:t>
            </w:r>
          </w:p>
        </w:tc>
        <w:tc>
          <w:tcPr>
            <w:tcW w:w="966" w:type="dxa"/>
            <w:tcBorders>
              <w:bottom w:val="nil"/>
            </w:tcBorders>
            <w:shd w:val="clear" w:color="auto" w:fill="2F5496"/>
            <w:vAlign w:val="center"/>
          </w:tcPr>
          <w:p w14:paraId="5DE06D18" w14:textId="77777777" w:rsidR="00E5175E" w:rsidRPr="00E5175E" w:rsidRDefault="00E5175E" w:rsidP="008D7BB4">
            <w:pPr>
              <w:spacing w:line="276" w:lineRule="auto"/>
              <w:contextualSpacing/>
              <w:jc w:val="center"/>
              <w:rPr>
                <w:rFonts w:ascii="Times New Roman" w:eastAsia="Times New Roman" w:hAnsi="Times New Roman"/>
                <w:color w:val="E7E6E6"/>
                <w:sz w:val="14"/>
                <w:szCs w:val="16"/>
                <w:lang w:eastAsia="es-ES"/>
              </w:rPr>
            </w:pPr>
            <w:r w:rsidRPr="00E5175E">
              <w:rPr>
                <w:rFonts w:ascii="Times New Roman" w:eastAsia="Times New Roman" w:hAnsi="Times New Roman"/>
                <w:color w:val="E7E6E6"/>
                <w:sz w:val="14"/>
                <w:szCs w:val="16"/>
                <w:lang w:eastAsia="es-ES"/>
              </w:rPr>
              <w:t>Costa Rica</w:t>
            </w:r>
          </w:p>
        </w:tc>
        <w:tc>
          <w:tcPr>
            <w:tcW w:w="966" w:type="dxa"/>
            <w:tcBorders>
              <w:bottom w:val="nil"/>
            </w:tcBorders>
            <w:shd w:val="clear" w:color="auto" w:fill="2F5496"/>
            <w:vAlign w:val="center"/>
          </w:tcPr>
          <w:p w14:paraId="05C6118E" w14:textId="77777777" w:rsidR="00E5175E" w:rsidRPr="00E5175E" w:rsidRDefault="00E5175E" w:rsidP="008D7BB4">
            <w:pPr>
              <w:spacing w:line="276" w:lineRule="auto"/>
              <w:contextualSpacing/>
              <w:jc w:val="center"/>
              <w:rPr>
                <w:rFonts w:ascii="Times New Roman" w:eastAsia="Times New Roman" w:hAnsi="Times New Roman"/>
                <w:color w:val="E7E6E6"/>
                <w:sz w:val="14"/>
                <w:szCs w:val="16"/>
                <w:lang w:eastAsia="es-ES"/>
              </w:rPr>
            </w:pPr>
            <w:r w:rsidRPr="00E5175E">
              <w:rPr>
                <w:rFonts w:ascii="Times New Roman" w:eastAsia="Times New Roman" w:hAnsi="Times New Roman"/>
                <w:color w:val="E7E6E6"/>
                <w:sz w:val="14"/>
                <w:szCs w:val="16"/>
                <w:lang w:eastAsia="es-ES"/>
              </w:rPr>
              <w:t>El Salvador</w:t>
            </w:r>
          </w:p>
        </w:tc>
        <w:tc>
          <w:tcPr>
            <w:tcW w:w="966" w:type="dxa"/>
            <w:tcBorders>
              <w:bottom w:val="nil"/>
            </w:tcBorders>
            <w:shd w:val="clear" w:color="auto" w:fill="2F5496"/>
            <w:vAlign w:val="center"/>
          </w:tcPr>
          <w:p w14:paraId="1A9C3447" w14:textId="77777777" w:rsidR="00E5175E" w:rsidRPr="00E5175E" w:rsidRDefault="00E5175E" w:rsidP="008D7BB4">
            <w:pPr>
              <w:spacing w:line="276" w:lineRule="auto"/>
              <w:contextualSpacing/>
              <w:jc w:val="center"/>
              <w:rPr>
                <w:rFonts w:ascii="Times New Roman" w:eastAsia="Times New Roman" w:hAnsi="Times New Roman"/>
                <w:color w:val="E7E6E6"/>
                <w:sz w:val="14"/>
                <w:szCs w:val="16"/>
                <w:lang w:eastAsia="es-ES"/>
              </w:rPr>
            </w:pPr>
            <w:r w:rsidRPr="00E5175E">
              <w:rPr>
                <w:rFonts w:ascii="Times New Roman" w:eastAsia="Times New Roman" w:hAnsi="Times New Roman"/>
                <w:color w:val="E7E6E6"/>
                <w:sz w:val="14"/>
                <w:szCs w:val="16"/>
                <w:lang w:eastAsia="es-ES"/>
              </w:rPr>
              <w:t>Guatemala</w:t>
            </w:r>
          </w:p>
        </w:tc>
        <w:tc>
          <w:tcPr>
            <w:tcW w:w="967" w:type="dxa"/>
            <w:tcBorders>
              <w:bottom w:val="nil"/>
            </w:tcBorders>
            <w:shd w:val="clear" w:color="auto" w:fill="2F5496"/>
            <w:vAlign w:val="center"/>
          </w:tcPr>
          <w:p w14:paraId="758E4A67" w14:textId="77777777" w:rsidR="00E5175E" w:rsidRPr="00E5175E" w:rsidRDefault="00E5175E" w:rsidP="008D7BB4">
            <w:pPr>
              <w:spacing w:line="276" w:lineRule="auto"/>
              <w:contextualSpacing/>
              <w:jc w:val="center"/>
              <w:rPr>
                <w:rFonts w:ascii="Times New Roman" w:eastAsia="Times New Roman" w:hAnsi="Times New Roman"/>
                <w:color w:val="E7E6E6"/>
                <w:sz w:val="14"/>
                <w:szCs w:val="16"/>
                <w:lang w:eastAsia="es-ES"/>
              </w:rPr>
            </w:pPr>
            <w:r w:rsidRPr="00E5175E">
              <w:rPr>
                <w:rFonts w:ascii="Times New Roman" w:eastAsia="Times New Roman" w:hAnsi="Times New Roman"/>
                <w:color w:val="E7E6E6"/>
                <w:sz w:val="14"/>
                <w:szCs w:val="16"/>
                <w:lang w:eastAsia="es-ES"/>
              </w:rPr>
              <w:t>Honduras</w:t>
            </w:r>
          </w:p>
        </w:tc>
        <w:tc>
          <w:tcPr>
            <w:tcW w:w="966" w:type="dxa"/>
            <w:tcBorders>
              <w:bottom w:val="nil"/>
            </w:tcBorders>
            <w:shd w:val="clear" w:color="auto" w:fill="2F5496"/>
            <w:vAlign w:val="center"/>
          </w:tcPr>
          <w:p w14:paraId="6EC93D9D" w14:textId="77777777" w:rsidR="00E5175E" w:rsidRPr="00E5175E" w:rsidRDefault="00E5175E" w:rsidP="008D7BB4">
            <w:pPr>
              <w:spacing w:line="276" w:lineRule="auto"/>
              <w:contextualSpacing/>
              <w:jc w:val="center"/>
              <w:rPr>
                <w:rFonts w:ascii="Times New Roman" w:eastAsia="Times New Roman" w:hAnsi="Times New Roman"/>
                <w:color w:val="E7E6E6"/>
                <w:sz w:val="14"/>
                <w:szCs w:val="16"/>
                <w:lang w:eastAsia="es-ES"/>
              </w:rPr>
            </w:pPr>
            <w:r w:rsidRPr="00E5175E">
              <w:rPr>
                <w:rFonts w:ascii="Times New Roman" w:eastAsia="Times New Roman" w:hAnsi="Times New Roman"/>
                <w:color w:val="E7E6E6"/>
                <w:sz w:val="14"/>
                <w:szCs w:val="16"/>
                <w:lang w:eastAsia="es-ES"/>
              </w:rPr>
              <w:t>Nicaragua</w:t>
            </w:r>
          </w:p>
        </w:tc>
        <w:tc>
          <w:tcPr>
            <w:tcW w:w="966" w:type="dxa"/>
            <w:tcBorders>
              <w:bottom w:val="nil"/>
            </w:tcBorders>
            <w:shd w:val="clear" w:color="auto" w:fill="2F5496"/>
            <w:vAlign w:val="center"/>
          </w:tcPr>
          <w:p w14:paraId="394D94F7" w14:textId="77777777" w:rsidR="00E5175E" w:rsidRPr="00E5175E" w:rsidRDefault="00E5175E" w:rsidP="008D7BB4">
            <w:pPr>
              <w:spacing w:line="276" w:lineRule="auto"/>
              <w:contextualSpacing/>
              <w:jc w:val="center"/>
              <w:rPr>
                <w:rFonts w:ascii="Times New Roman" w:eastAsia="Times New Roman" w:hAnsi="Times New Roman"/>
                <w:color w:val="E7E6E6"/>
                <w:sz w:val="14"/>
                <w:szCs w:val="16"/>
                <w:lang w:eastAsia="es-ES"/>
              </w:rPr>
            </w:pPr>
            <w:r w:rsidRPr="00E5175E">
              <w:rPr>
                <w:rFonts w:ascii="Times New Roman" w:eastAsia="Times New Roman" w:hAnsi="Times New Roman"/>
                <w:color w:val="E7E6E6"/>
                <w:sz w:val="14"/>
                <w:szCs w:val="16"/>
                <w:lang w:eastAsia="es-ES"/>
              </w:rPr>
              <w:t>República Dominicana</w:t>
            </w:r>
          </w:p>
        </w:tc>
        <w:tc>
          <w:tcPr>
            <w:tcW w:w="967" w:type="dxa"/>
            <w:tcBorders>
              <w:bottom w:val="nil"/>
            </w:tcBorders>
            <w:shd w:val="clear" w:color="auto" w:fill="2F5496"/>
            <w:vAlign w:val="center"/>
          </w:tcPr>
          <w:p w14:paraId="705894FB" w14:textId="77777777" w:rsidR="00E5175E" w:rsidRPr="00E5175E" w:rsidRDefault="00E5175E" w:rsidP="008D7BB4">
            <w:pPr>
              <w:spacing w:line="276" w:lineRule="auto"/>
              <w:contextualSpacing/>
              <w:jc w:val="center"/>
              <w:rPr>
                <w:rFonts w:ascii="Times New Roman" w:eastAsia="Times New Roman" w:hAnsi="Times New Roman"/>
                <w:color w:val="E7E6E6"/>
                <w:sz w:val="14"/>
                <w:szCs w:val="16"/>
                <w:lang w:eastAsia="es-ES"/>
              </w:rPr>
            </w:pPr>
            <w:r w:rsidRPr="00E5175E">
              <w:rPr>
                <w:rFonts w:ascii="Times New Roman" w:eastAsia="Times New Roman" w:hAnsi="Times New Roman"/>
                <w:color w:val="E7E6E6"/>
                <w:sz w:val="14"/>
                <w:szCs w:val="16"/>
                <w:lang w:eastAsia="es-ES"/>
              </w:rPr>
              <w:t>Panamá</w:t>
            </w:r>
          </w:p>
        </w:tc>
      </w:tr>
      <w:tr w:rsidR="00E5175E" w:rsidRPr="00E5175E" w14:paraId="39D71DEB" w14:textId="77777777" w:rsidTr="006825AB">
        <w:trPr>
          <w:trHeight w:val="18"/>
          <w:jc w:val="center"/>
        </w:trPr>
        <w:tc>
          <w:tcPr>
            <w:tcW w:w="1830" w:type="dxa"/>
            <w:tcBorders>
              <w:top w:val="nil"/>
              <w:bottom w:val="nil"/>
            </w:tcBorders>
            <w:vAlign w:val="center"/>
          </w:tcPr>
          <w:p w14:paraId="026CB507" w14:textId="77777777" w:rsidR="00E5175E" w:rsidRPr="00E5175E" w:rsidRDefault="00E5175E" w:rsidP="008D7BB4">
            <w:pPr>
              <w:spacing w:line="276" w:lineRule="auto"/>
              <w:contextualSpacing/>
              <w:rPr>
                <w:rFonts w:ascii="Times New Roman" w:eastAsia="Times New Roman" w:hAnsi="Times New Roman"/>
                <w:sz w:val="16"/>
                <w:szCs w:val="10"/>
                <w:lang w:eastAsia="es-ES"/>
              </w:rPr>
            </w:pPr>
            <w:r w:rsidRPr="00E5175E">
              <w:rPr>
                <w:rFonts w:ascii="Times New Roman" w:eastAsia="Times New Roman" w:hAnsi="Times New Roman"/>
                <w:sz w:val="16"/>
                <w:szCs w:val="10"/>
                <w:lang w:eastAsia="es-ES"/>
              </w:rPr>
              <w:t>IMAE</w:t>
            </w:r>
          </w:p>
        </w:tc>
        <w:tc>
          <w:tcPr>
            <w:tcW w:w="966" w:type="dxa"/>
            <w:tcBorders>
              <w:top w:val="nil"/>
              <w:bottom w:val="nil"/>
            </w:tcBorders>
            <w:vAlign w:val="center"/>
          </w:tcPr>
          <w:p w14:paraId="1F699121" w14:textId="77777777"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a octubre 2022</w:t>
            </w:r>
          </w:p>
          <w:p w14:paraId="2FF172B0" w14:textId="18427B72"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Calibri" w:eastAsia="Times New Roman" w:hAnsi="Calibri"/>
                <w:noProof/>
                <w:sz w:val="10"/>
                <w:szCs w:val="10"/>
                <w:lang w:eastAsia="es-GT"/>
              </w:rPr>
              <w:drawing>
                <wp:inline distT="0" distB="0" distL="0" distR="0" wp14:anchorId="7D4ACFB3" wp14:editId="1C9B98D2">
                  <wp:extent cx="79375" cy="63500"/>
                  <wp:effectExtent l="0" t="0" r="0" b="0"/>
                  <wp:docPr id="372" name="Imagen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9375" cy="63500"/>
                          </a:xfrm>
                          <a:prstGeom prst="rect">
                            <a:avLst/>
                          </a:prstGeom>
                          <a:noFill/>
                          <a:ln>
                            <a:noFill/>
                          </a:ln>
                        </pic:spPr>
                      </pic:pic>
                    </a:graphicData>
                  </a:graphic>
                </wp:inline>
              </w:drawing>
            </w:r>
            <w:r w:rsidRPr="00E5175E">
              <w:rPr>
                <w:rFonts w:ascii="Times New Roman" w:eastAsia="Times New Roman" w:hAnsi="Times New Roman"/>
                <w:sz w:val="10"/>
                <w:szCs w:val="10"/>
                <w:lang w:eastAsia="es-ES"/>
              </w:rPr>
              <w:t xml:space="preserve">  2.2%</w:t>
            </w:r>
          </w:p>
          <w:p w14:paraId="5CC9904B" w14:textId="77777777" w:rsidR="00E5175E" w:rsidRPr="00E5175E" w:rsidRDefault="00E5175E" w:rsidP="008D7BB4">
            <w:pPr>
              <w:spacing w:line="276" w:lineRule="auto"/>
              <w:contextualSpacing/>
              <w:jc w:val="center"/>
              <w:rPr>
                <w:rFonts w:ascii="Times New Roman" w:eastAsia="Times New Roman" w:hAnsi="Times New Roman"/>
                <w:sz w:val="10"/>
                <w:szCs w:val="10"/>
                <w:lang w:eastAsia="es-ES"/>
              </w:rPr>
            </w:pPr>
          </w:p>
        </w:tc>
        <w:tc>
          <w:tcPr>
            <w:tcW w:w="966" w:type="dxa"/>
            <w:tcBorders>
              <w:top w:val="nil"/>
              <w:bottom w:val="nil"/>
            </w:tcBorders>
            <w:vAlign w:val="center"/>
          </w:tcPr>
          <w:p w14:paraId="3BB17C97" w14:textId="77777777"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a octubre 2022</w:t>
            </w:r>
          </w:p>
          <w:p w14:paraId="2305838D" w14:textId="275EFD30"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Calibri" w:eastAsia="Times New Roman" w:hAnsi="Calibri"/>
                <w:noProof/>
                <w:sz w:val="10"/>
                <w:szCs w:val="10"/>
                <w:lang w:eastAsia="es-GT"/>
              </w:rPr>
              <w:drawing>
                <wp:inline distT="0" distB="0" distL="0" distR="0" wp14:anchorId="3A0F093A" wp14:editId="61B2E744">
                  <wp:extent cx="79375" cy="63500"/>
                  <wp:effectExtent l="0" t="0" r="0" b="0"/>
                  <wp:docPr id="371" name="Imagen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9375" cy="63500"/>
                          </a:xfrm>
                          <a:prstGeom prst="rect">
                            <a:avLst/>
                          </a:prstGeom>
                          <a:noFill/>
                          <a:ln>
                            <a:noFill/>
                          </a:ln>
                        </pic:spPr>
                      </pic:pic>
                    </a:graphicData>
                  </a:graphic>
                </wp:inline>
              </w:drawing>
            </w:r>
            <w:r w:rsidRPr="00E5175E">
              <w:rPr>
                <w:rFonts w:ascii="Times New Roman" w:eastAsia="Times New Roman" w:hAnsi="Times New Roman"/>
                <w:sz w:val="10"/>
                <w:szCs w:val="10"/>
                <w:lang w:eastAsia="es-ES"/>
              </w:rPr>
              <w:t xml:space="preserve">  5.36%</w:t>
            </w:r>
          </w:p>
          <w:p w14:paraId="259471C5" w14:textId="77777777" w:rsidR="00E5175E" w:rsidRPr="00E5175E" w:rsidRDefault="00E5175E" w:rsidP="008D7BB4">
            <w:pPr>
              <w:spacing w:line="276" w:lineRule="auto"/>
              <w:contextualSpacing/>
              <w:jc w:val="center"/>
              <w:rPr>
                <w:rFonts w:ascii="Times New Roman" w:eastAsia="Times New Roman" w:hAnsi="Times New Roman"/>
                <w:sz w:val="10"/>
                <w:szCs w:val="10"/>
                <w:lang w:eastAsia="es-ES"/>
              </w:rPr>
            </w:pPr>
          </w:p>
        </w:tc>
        <w:tc>
          <w:tcPr>
            <w:tcW w:w="966" w:type="dxa"/>
            <w:tcBorders>
              <w:top w:val="nil"/>
              <w:bottom w:val="nil"/>
            </w:tcBorders>
            <w:vAlign w:val="center"/>
          </w:tcPr>
          <w:p w14:paraId="4ADD5939" w14:textId="77777777"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a octubre 2022</w:t>
            </w:r>
          </w:p>
          <w:p w14:paraId="28B4C490" w14:textId="03A4EF1C"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Calibri" w:eastAsia="Times New Roman" w:hAnsi="Calibri"/>
                <w:noProof/>
                <w:sz w:val="10"/>
                <w:szCs w:val="10"/>
                <w:lang w:eastAsia="es-GT"/>
              </w:rPr>
              <w:drawing>
                <wp:inline distT="0" distB="0" distL="0" distR="0" wp14:anchorId="6DE1D201" wp14:editId="39CCDF72">
                  <wp:extent cx="79375" cy="63500"/>
                  <wp:effectExtent l="0" t="0" r="0" b="0"/>
                  <wp:docPr id="370" name="Imagen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9375" cy="63500"/>
                          </a:xfrm>
                          <a:prstGeom prst="rect">
                            <a:avLst/>
                          </a:prstGeom>
                          <a:noFill/>
                          <a:ln>
                            <a:noFill/>
                          </a:ln>
                        </pic:spPr>
                      </pic:pic>
                    </a:graphicData>
                  </a:graphic>
                </wp:inline>
              </w:drawing>
            </w:r>
            <w:r w:rsidRPr="00E5175E">
              <w:rPr>
                <w:rFonts w:ascii="Times New Roman" w:eastAsia="Times New Roman" w:hAnsi="Times New Roman"/>
                <w:sz w:val="10"/>
                <w:szCs w:val="10"/>
                <w:lang w:eastAsia="es-ES"/>
              </w:rPr>
              <w:t xml:space="preserve">  4.03%</w:t>
            </w:r>
          </w:p>
          <w:p w14:paraId="39E58E85" w14:textId="77777777" w:rsidR="00E5175E" w:rsidRPr="00E5175E" w:rsidRDefault="00E5175E" w:rsidP="008D7BB4">
            <w:pPr>
              <w:spacing w:line="276" w:lineRule="auto"/>
              <w:contextualSpacing/>
              <w:jc w:val="center"/>
              <w:rPr>
                <w:rFonts w:ascii="Times New Roman" w:eastAsia="Times New Roman" w:hAnsi="Times New Roman"/>
                <w:sz w:val="10"/>
                <w:szCs w:val="10"/>
                <w:lang w:eastAsia="es-ES"/>
              </w:rPr>
            </w:pPr>
          </w:p>
        </w:tc>
        <w:tc>
          <w:tcPr>
            <w:tcW w:w="967" w:type="dxa"/>
            <w:tcBorders>
              <w:top w:val="nil"/>
              <w:bottom w:val="nil"/>
            </w:tcBorders>
            <w:vAlign w:val="center"/>
          </w:tcPr>
          <w:p w14:paraId="369965B9" w14:textId="77777777"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a octubre 2022</w:t>
            </w:r>
          </w:p>
          <w:p w14:paraId="35E04924" w14:textId="12E590BD"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Calibri" w:eastAsia="Times New Roman" w:hAnsi="Calibri"/>
                <w:noProof/>
                <w:sz w:val="10"/>
                <w:szCs w:val="10"/>
                <w:lang w:eastAsia="es-GT"/>
              </w:rPr>
              <w:drawing>
                <wp:inline distT="0" distB="0" distL="0" distR="0" wp14:anchorId="0B426BB3" wp14:editId="532022D8">
                  <wp:extent cx="79375" cy="63500"/>
                  <wp:effectExtent l="0" t="0" r="0" b="0"/>
                  <wp:docPr id="369" name="Imagen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9375" cy="63500"/>
                          </a:xfrm>
                          <a:prstGeom prst="rect">
                            <a:avLst/>
                          </a:prstGeom>
                          <a:noFill/>
                          <a:ln>
                            <a:noFill/>
                          </a:ln>
                        </pic:spPr>
                      </pic:pic>
                    </a:graphicData>
                  </a:graphic>
                </wp:inline>
              </w:drawing>
            </w:r>
            <w:r w:rsidRPr="00E5175E">
              <w:rPr>
                <w:rFonts w:ascii="Times New Roman" w:eastAsia="Times New Roman" w:hAnsi="Times New Roman"/>
                <w:sz w:val="10"/>
                <w:szCs w:val="10"/>
                <w:lang w:eastAsia="es-ES"/>
              </w:rPr>
              <w:t xml:space="preserve">  3.63%</w:t>
            </w:r>
          </w:p>
          <w:p w14:paraId="7862C93C" w14:textId="77777777" w:rsidR="00E5175E" w:rsidRPr="00E5175E" w:rsidRDefault="00E5175E" w:rsidP="008D7BB4">
            <w:pPr>
              <w:spacing w:line="276" w:lineRule="auto"/>
              <w:contextualSpacing/>
              <w:jc w:val="center"/>
              <w:rPr>
                <w:rFonts w:ascii="Times New Roman" w:eastAsia="Times New Roman" w:hAnsi="Times New Roman"/>
                <w:sz w:val="10"/>
                <w:szCs w:val="10"/>
                <w:lang w:eastAsia="es-ES"/>
              </w:rPr>
            </w:pPr>
          </w:p>
        </w:tc>
        <w:tc>
          <w:tcPr>
            <w:tcW w:w="966" w:type="dxa"/>
            <w:tcBorders>
              <w:top w:val="nil"/>
              <w:bottom w:val="nil"/>
            </w:tcBorders>
            <w:vAlign w:val="center"/>
          </w:tcPr>
          <w:p w14:paraId="00CEF6DD" w14:textId="77777777"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a octubre 2022</w:t>
            </w:r>
          </w:p>
          <w:p w14:paraId="1EE13DB3" w14:textId="5AE56016"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Calibri" w:eastAsia="Times New Roman" w:hAnsi="Calibri"/>
                <w:noProof/>
                <w:sz w:val="10"/>
                <w:szCs w:val="10"/>
                <w:lang w:eastAsia="es-GT"/>
              </w:rPr>
              <w:drawing>
                <wp:inline distT="0" distB="0" distL="0" distR="0" wp14:anchorId="0E2A64E8" wp14:editId="56CEE99F">
                  <wp:extent cx="79375" cy="63500"/>
                  <wp:effectExtent l="0" t="0" r="0" b="0"/>
                  <wp:docPr id="368" name="Imagen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9375" cy="63500"/>
                          </a:xfrm>
                          <a:prstGeom prst="rect">
                            <a:avLst/>
                          </a:prstGeom>
                          <a:noFill/>
                          <a:ln>
                            <a:noFill/>
                          </a:ln>
                        </pic:spPr>
                      </pic:pic>
                    </a:graphicData>
                  </a:graphic>
                </wp:inline>
              </w:drawing>
            </w:r>
            <w:r w:rsidRPr="00E5175E">
              <w:rPr>
                <w:rFonts w:ascii="Times New Roman" w:eastAsia="Times New Roman" w:hAnsi="Times New Roman"/>
                <w:sz w:val="10"/>
                <w:szCs w:val="10"/>
                <w:lang w:eastAsia="es-ES"/>
              </w:rPr>
              <w:t xml:space="preserve">  3.1%</w:t>
            </w:r>
          </w:p>
          <w:p w14:paraId="4208C575" w14:textId="77777777" w:rsidR="00E5175E" w:rsidRPr="00E5175E" w:rsidRDefault="00E5175E" w:rsidP="008D7BB4">
            <w:pPr>
              <w:spacing w:line="276" w:lineRule="auto"/>
              <w:contextualSpacing/>
              <w:jc w:val="center"/>
              <w:rPr>
                <w:rFonts w:ascii="Times New Roman" w:eastAsia="Times New Roman" w:hAnsi="Times New Roman"/>
                <w:sz w:val="10"/>
                <w:szCs w:val="10"/>
                <w:lang w:eastAsia="es-ES"/>
              </w:rPr>
            </w:pPr>
          </w:p>
        </w:tc>
        <w:tc>
          <w:tcPr>
            <w:tcW w:w="966" w:type="dxa"/>
            <w:tcBorders>
              <w:top w:val="nil"/>
              <w:bottom w:val="nil"/>
            </w:tcBorders>
            <w:vAlign w:val="center"/>
          </w:tcPr>
          <w:p w14:paraId="658BFF24" w14:textId="77777777"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a noviembre 2022</w:t>
            </w:r>
          </w:p>
          <w:p w14:paraId="46C8044F" w14:textId="3BF8AEE5"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Calibri" w:eastAsia="Times New Roman" w:hAnsi="Calibri"/>
                <w:noProof/>
                <w:sz w:val="10"/>
                <w:szCs w:val="10"/>
                <w:lang w:eastAsia="es-GT"/>
              </w:rPr>
              <w:drawing>
                <wp:inline distT="0" distB="0" distL="0" distR="0" wp14:anchorId="0B6DD893" wp14:editId="5A2AEDFB">
                  <wp:extent cx="79375" cy="63500"/>
                  <wp:effectExtent l="0" t="0" r="0" b="0"/>
                  <wp:docPr id="367" name="Imagen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9375" cy="63500"/>
                          </a:xfrm>
                          <a:prstGeom prst="rect">
                            <a:avLst/>
                          </a:prstGeom>
                          <a:noFill/>
                          <a:ln>
                            <a:noFill/>
                          </a:ln>
                        </pic:spPr>
                      </pic:pic>
                    </a:graphicData>
                  </a:graphic>
                </wp:inline>
              </w:drawing>
            </w:r>
            <w:r w:rsidRPr="00E5175E">
              <w:rPr>
                <w:rFonts w:ascii="Times New Roman" w:eastAsia="Times New Roman" w:hAnsi="Times New Roman"/>
                <w:sz w:val="10"/>
                <w:szCs w:val="10"/>
                <w:lang w:eastAsia="es-ES"/>
              </w:rPr>
              <w:t xml:space="preserve">  3.88%</w:t>
            </w:r>
          </w:p>
          <w:p w14:paraId="025A2AB0" w14:textId="77777777" w:rsidR="00E5175E" w:rsidRPr="00E5175E" w:rsidRDefault="00E5175E" w:rsidP="008D7BB4">
            <w:pPr>
              <w:spacing w:line="276" w:lineRule="auto"/>
              <w:contextualSpacing/>
              <w:jc w:val="center"/>
              <w:rPr>
                <w:rFonts w:ascii="Times New Roman" w:eastAsia="Times New Roman" w:hAnsi="Times New Roman"/>
                <w:sz w:val="10"/>
                <w:szCs w:val="10"/>
                <w:lang w:eastAsia="es-ES"/>
              </w:rPr>
            </w:pPr>
          </w:p>
        </w:tc>
        <w:tc>
          <w:tcPr>
            <w:tcW w:w="967" w:type="dxa"/>
            <w:tcBorders>
              <w:top w:val="nil"/>
              <w:bottom w:val="nil"/>
            </w:tcBorders>
            <w:vAlign w:val="center"/>
          </w:tcPr>
          <w:p w14:paraId="58244933" w14:textId="77777777"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a septiembre 2022</w:t>
            </w:r>
          </w:p>
          <w:p w14:paraId="03190A44" w14:textId="2800A2F4"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Calibri" w:eastAsia="Times New Roman" w:hAnsi="Calibri"/>
                <w:noProof/>
                <w:sz w:val="10"/>
                <w:szCs w:val="10"/>
                <w:lang w:eastAsia="es-GT"/>
              </w:rPr>
              <w:drawing>
                <wp:inline distT="0" distB="0" distL="0" distR="0" wp14:anchorId="101A2D09" wp14:editId="53C78330">
                  <wp:extent cx="79375" cy="63500"/>
                  <wp:effectExtent l="0" t="0" r="0" b="0"/>
                  <wp:docPr id="366" name="Imagen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9375" cy="63500"/>
                          </a:xfrm>
                          <a:prstGeom prst="rect">
                            <a:avLst/>
                          </a:prstGeom>
                          <a:noFill/>
                          <a:ln>
                            <a:noFill/>
                          </a:ln>
                        </pic:spPr>
                      </pic:pic>
                    </a:graphicData>
                  </a:graphic>
                </wp:inline>
              </w:drawing>
            </w:r>
            <w:r w:rsidRPr="00E5175E">
              <w:rPr>
                <w:rFonts w:ascii="Times New Roman" w:eastAsia="Times New Roman" w:hAnsi="Times New Roman"/>
                <w:sz w:val="10"/>
                <w:szCs w:val="10"/>
                <w:lang w:eastAsia="es-ES"/>
              </w:rPr>
              <w:t xml:space="preserve">  11.02%</w:t>
            </w:r>
          </w:p>
          <w:p w14:paraId="72AB89EC" w14:textId="77777777" w:rsidR="00E5175E" w:rsidRPr="00E5175E" w:rsidRDefault="00E5175E" w:rsidP="008D7BB4">
            <w:pPr>
              <w:spacing w:line="276" w:lineRule="auto"/>
              <w:contextualSpacing/>
              <w:jc w:val="center"/>
              <w:rPr>
                <w:rFonts w:ascii="Times New Roman" w:eastAsia="Times New Roman" w:hAnsi="Times New Roman"/>
                <w:sz w:val="10"/>
                <w:szCs w:val="10"/>
                <w:lang w:eastAsia="es-ES"/>
              </w:rPr>
            </w:pPr>
          </w:p>
        </w:tc>
      </w:tr>
      <w:tr w:rsidR="00E5175E" w:rsidRPr="00E5175E" w14:paraId="716B78DA" w14:textId="77777777" w:rsidTr="006825AB">
        <w:trPr>
          <w:trHeight w:val="18"/>
          <w:jc w:val="center"/>
        </w:trPr>
        <w:tc>
          <w:tcPr>
            <w:tcW w:w="1830" w:type="dxa"/>
            <w:tcBorders>
              <w:top w:val="nil"/>
              <w:bottom w:val="nil"/>
            </w:tcBorders>
            <w:vAlign w:val="center"/>
          </w:tcPr>
          <w:p w14:paraId="0CA3A29B" w14:textId="77777777" w:rsidR="00E5175E" w:rsidRPr="00E5175E" w:rsidRDefault="00E5175E" w:rsidP="008D7BB4">
            <w:pPr>
              <w:spacing w:line="276" w:lineRule="auto"/>
              <w:contextualSpacing/>
              <w:rPr>
                <w:rFonts w:ascii="Times New Roman" w:eastAsia="Times New Roman" w:hAnsi="Times New Roman"/>
                <w:sz w:val="16"/>
                <w:szCs w:val="10"/>
                <w:lang w:eastAsia="es-ES"/>
              </w:rPr>
            </w:pPr>
            <w:r w:rsidRPr="00E5175E">
              <w:rPr>
                <w:rFonts w:ascii="Times New Roman" w:eastAsia="Times New Roman" w:hAnsi="Times New Roman"/>
                <w:sz w:val="16"/>
                <w:szCs w:val="10"/>
                <w:lang w:eastAsia="es-ES"/>
              </w:rPr>
              <w:t>PIB trimestral en constantes</w:t>
            </w:r>
          </w:p>
        </w:tc>
        <w:tc>
          <w:tcPr>
            <w:tcW w:w="966" w:type="dxa"/>
            <w:tcBorders>
              <w:top w:val="nil"/>
              <w:bottom w:val="nil"/>
            </w:tcBorders>
            <w:vAlign w:val="center"/>
          </w:tcPr>
          <w:p w14:paraId="7CA1CCCD" w14:textId="77777777"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a septiembre 2022</w:t>
            </w:r>
          </w:p>
          <w:p w14:paraId="663AD306" w14:textId="7D57E9C1"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Calibri" w:eastAsia="Times New Roman" w:hAnsi="Calibri"/>
                <w:noProof/>
                <w:sz w:val="10"/>
                <w:szCs w:val="10"/>
                <w:lang w:eastAsia="es-GT"/>
              </w:rPr>
              <w:drawing>
                <wp:inline distT="0" distB="0" distL="0" distR="0" wp14:anchorId="573E7D7F" wp14:editId="6E6394FF">
                  <wp:extent cx="79375" cy="63500"/>
                  <wp:effectExtent l="0" t="0" r="0" b="0"/>
                  <wp:docPr id="365" name="Imagen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9375" cy="63500"/>
                          </a:xfrm>
                          <a:prstGeom prst="rect">
                            <a:avLst/>
                          </a:prstGeom>
                          <a:noFill/>
                          <a:ln>
                            <a:noFill/>
                          </a:ln>
                        </pic:spPr>
                      </pic:pic>
                    </a:graphicData>
                  </a:graphic>
                </wp:inline>
              </w:drawing>
            </w:r>
            <w:r w:rsidRPr="00E5175E">
              <w:rPr>
                <w:rFonts w:ascii="Times New Roman" w:eastAsia="Times New Roman" w:hAnsi="Times New Roman"/>
                <w:sz w:val="10"/>
                <w:szCs w:val="10"/>
                <w:lang w:eastAsia="es-ES"/>
              </w:rPr>
              <w:t xml:space="preserve">  3.03%</w:t>
            </w:r>
          </w:p>
          <w:p w14:paraId="79BE8570" w14:textId="77777777" w:rsidR="00E5175E" w:rsidRPr="00E5175E" w:rsidRDefault="00E5175E" w:rsidP="008D7BB4">
            <w:pPr>
              <w:spacing w:line="276" w:lineRule="auto"/>
              <w:contextualSpacing/>
              <w:jc w:val="center"/>
              <w:rPr>
                <w:rFonts w:ascii="Times New Roman" w:eastAsia="Times New Roman" w:hAnsi="Times New Roman"/>
                <w:sz w:val="10"/>
                <w:szCs w:val="10"/>
                <w:lang w:eastAsia="es-ES"/>
              </w:rPr>
            </w:pPr>
          </w:p>
        </w:tc>
        <w:tc>
          <w:tcPr>
            <w:tcW w:w="966" w:type="dxa"/>
            <w:tcBorders>
              <w:top w:val="nil"/>
              <w:bottom w:val="nil"/>
            </w:tcBorders>
            <w:vAlign w:val="center"/>
          </w:tcPr>
          <w:p w14:paraId="1D1207FC" w14:textId="77777777"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a septiembre 2022</w:t>
            </w:r>
          </w:p>
          <w:p w14:paraId="57C91068" w14:textId="3FFB88C3"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Calibri" w:eastAsia="Times New Roman" w:hAnsi="Calibri"/>
                <w:noProof/>
                <w:sz w:val="10"/>
                <w:szCs w:val="10"/>
                <w:lang w:eastAsia="es-GT"/>
              </w:rPr>
              <w:drawing>
                <wp:inline distT="0" distB="0" distL="0" distR="0" wp14:anchorId="13615911" wp14:editId="51297F0A">
                  <wp:extent cx="79375" cy="63500"/>
                  <wp:effectExtent l="0" t="0" r="0" b="0"/>
                  <wp:docPr id="364" name="Imagen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9375" cy="63500"/>
                          </a:xfrm>
                          <a:prstGeom prst="rect">
                            <a:avLst/>
                          </a:prstGeom>
                          <a:noFill/>
                          <a:ln>
                            <a:noFill/>
                          </a:ln>
                        </pic:spPr>
                      </pic:pic>
                    </a:graphicData>
                  </a:graphic>
                </wp:inline>
              </w:drawing>
            </w:r>
            <w:r w:rsidRPr="00E5175E">
              <w:rPr>
                <w:rFonts w:ascii="Times New Roman" w:eastAsia="Times New Roman" w:hAnsi="Times New Roman"/>
                <w:sz w:val="10"/>
                <w:szCs w:val="10"/>
                <w:lang w:eastAsia="es-ES"/>
              </w:rPr>
              <w:t xml:space="preserve">  2.1%</w:t>
            </w:r>
          </w:p>
          <w:p w14:paraId="57875905" w14:textId="77777777" w:rsidR="00E5175E" w:rsidRPr="00E5175E" w:rsidRDefault="00E5175E" w:rsidP="008D7BB4">
            <w:pPr>
              <w:spacing w:line="276" w:lineRule="auto"/>
              <w:contextualSpacing/>
              <w:jc w:val="center"/>
              <w:rPr>
                <w:rFonts w:ascii="Times New Roman" w:eastAsia="Times New Roman" w:hAnsi="Times New Roman"/>
                <w:sz w:val="10"/>
                <w:szCs w:val="10"/>
                <w:lang w:eastAsia="es-ES"/>
              </w:rPr>
            </w:pPr>
          </w:p>
        </w:tc>
        <w:tc>
          <w:tcPr>
            <w:tcW w:w="966" w:type="dxa"/>
            <w:tcBorders>
              <w:top w:val="nil"/>
              <w:bottom w:val="nil"/>
            </w:tcBorders>
            <w:vAlign w:val="center"/>
          </w:tcPr>
          <w:p w14:paraId="7E6EFC97" w14:textId="77777777"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a junio 2022</w:t>
            </w:r>
          </w:p>
          <w:p w14:paraId="02DD1CA7" w14:textId="474E872D"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Calibri" w:eastAsia="Times New Roman" w:hAnsi="Calibri"/>
                <w:noProof/>
                <w:sz w:val="10"/>
                <w:szCs w:val="10"/>
                <w:lang w:eastAsia="es-GT"/>
              </w:rPr>
              <w:drawing>
                <wp:inline distT="0" distB="0" distL="0" distR="0" wp14:anchorId="18A2922E" wp14:editId="248CC42C">
                  <wp:extent cx="79375" cy="63500"/>
                  <wp:effectExtent l="0" t="0" r="0" b="0"/>
                  <wp:docPr id="363" name="Imagen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9375" cy="63500"/>
                          </a:xfrm>
                          <a:prstGeom prst="rect">
                            <a:avLst/>
                          </a:prstGeom>
                          <a:noFill/>
                          <a:ln>
                            <a:noFill/>
                          </a:ln>
                        </pic:spPr>
                      </pic:pic>
                    </a:graphicData>
                  </a:graphic>
                </wp:inline>
              </w:drawing>
            </w:r>
            <w:r w:rsidRPr="00E5175E">
              <w:rPr>
                <w:rFonts w:ascii="Times New Roman" w:eastAsia="Times New Roman" w:hAnsi="Times New Roman"/>
                <w:sz w:val="10"/>
                <w:szCs w:val="10"/>
                <w:lang w:eastAsia="es-ES"/>
              </w:rPr>
              <w:t xml:space="preserve">  4.07%</w:t>
            </w:r>
          </w:p>
          <w:p w14:paraId="77A0E671" w14:textId="77777777" w:rsidR="00E5175E" w:rsidRPr="00E5175E" w:rsidRDefault="00E5175E" w:rsidP="008D7BB4">
            <w:pPr>
              <w:spacing w:line="276" w:lineRule="auto"/>
              <w:contextualSpacing/>
              <w:jc w:val="center"/>
              <w:rPr>
                <w:rFonts w:ascii="Times New Roman" w:eastAsia="Times New Roman" w:hAnsi="Times New Roman"/>
                <w:sz w:val="10"/>
                <w:szCs w:val="10"/>
                <w:lang w:eastAsia="es-ES"/>
              </w:rPr>
            </w:pPr>
          </w:p>
        </w:tc>
        <w:tc>
          <w:tcPr>
            <w:tcW w:w="967" w:type="dxa"/>
            <w:tcBorders>
              <w:top w:val="nil"/>
              <w:bottom w:val="nil"/>
            </w:tcBorders>
            <w:vAlign w:val="center"/>
          </w:tcPr>
          <w:p w14:paraId="72B56A98" w14:textId="77777777"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a septiembre 2022</w:t>
            </w:r>
          </w:p>
          <w:p w14:paraId="34C74F91" w14:textId="71C960B4"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Calibri" w:eastAsia="Times New Roman" w:hAnsi="Calibri"/>
                <w:noProof/>
                <w:sz w:val="10"/>
                <w:szCs w:val="10"/>
                <w:lang w:eastAsia="es-GT"/>
              </w:rPr>
              <w:drawing>
                <wp:inline distT="0" distB="0" distL="0" distR="0" wp14:anchorId="2FCEC09C" wp14:editId="041341A1">
                  <wp:extent cx="79375" cy="63500"/>
                  <wp:effectExtent l="0" t="0" r="0" b="0"/>
                  <wp:docPr id="362" name="Imagen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9375" cy="63500"/>
                          </a:xfrm>
                          <a:prstGeom prst="rect">
                            <a:avLst/>
                          </a:prstGeom>
                          <a:noFill/>
                          <a:ln>
                            <a:noFill/>
                          </a:ln>
                        </pic:spPr>
                      </pic:pic>
                    </a:graphicData>
                  </a:graphic>
                </wp:inline>
              </w:drawing>
            </w:r>
            <w:r w:rsidRPr="00E5175E">
              <w:rPr>
                <w:rFonts w:ascii="Times New Roman" w:eastAsia="Times New Roman" w:hAnsi="Times New Roman"/>
                <w:sz w:val="10"/>
                <w:szCs w:val="10"/>
                <w:lang w:eastAsia="es-ES"/>
              </w:rPr>
              <w:t xml:space="preserve">  2.98%</w:t>
            </w:r>
          </w:p>
          <w:p w14:paraId="5D443B60" w14:textId="77777777" w:rsidR="00E5175E" w:rsidRPr="00E5175E" w:rsidRDefault="00E5175E" w:rsidP="008D7BB4">
            <w:pPr>
              <w:spacing w:line="276" w:lineRule="auto"/>
              <w:contextualSpacing/>
              <w:jc w:val="center"/>
              <w:rPr>
                <w:rFonts w:ascii="Times New Roman" w:eastAsia="Times New Roman" w:hAnsi="Times New Roman"/>
                <w:sz w:val="10"/>
                <w:szCs w:val="10"/>
                <w:lang w:eastAsia="es-ES"/>
              </w:rPr>
            </w:pPr>
          </w:p>
        </w:tc>
        <w:tc>
          <w:tcPr>
            <w:tcW w:w="966" w:type="dxa"/>
            <w:tcBorders>
              <w:top w:val="nil"/>
              <w:bottom w:val="nil"/>
            </w:tcBorders>
            <w:vAlign w:val="center"/>
          </w:tcPr>
          <w:p w14:paraId="1DA6B994" w14:textId="77777777"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a septiembre 2022</w:t>
            </w:r>
          </w:p>
          <w:p w14:paraId="202A253B" w14:textId="3820474A"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Calibri" w:eastAsia="Times New Roman" w:hAnsi="Calibri"/>
                <w:noProof/>
                <w:sz w:val="10"/>
                <w:szCs w:val="10"/>
                <w:lang w:eastAsia="es-GT"/>
              </w:rPr>
              <w:drawing>
                <wp:inline distT="0" distB="0" distL="0" distR="0" wp14:anchorId="29BFE89B" wp14:editId="2EE8E830">
                  <wp:extent cx="79375" cy="63500"/>
                  <wp:effectExtent l="0" t="0" r="0" b="0"/>
                  <wp:docPr id="361" name="Imagen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9375" cy="63500"/>
                          </a:xfrm>
                          <a:prstGeom prst="rect">
                            <a:avLst/>
                          </a:prstGeom>
                          <a:noFill/>
                          <a:ln>
                            <a:noFill/>
                          </a:ln>
                        </pic:spPr>
                      </pic:pic>
                    </a:graphicData>
                  </a:graphic>
                </wp:inline>
              </w:drawing>
            </w:r>
            <w:r w:rsidRPr="00E5175E">
              <w:rPr>
                <w:rFonts w:ascii="Times New Roman" w:eastAsia="Times New Roman" w:hAnsi="Times New Roman"/>
                <w:sz w:val="10"/>
                <w:szCs w:val="10"/>
                <w:lang w:eastAsia="es-ES"/>
              </w:rPr>
              <w:t xml:space="preserve">  2.65%</w:t>
            </w:r>
          </w:p>
          <w:p w14:paraId="0BE30055" w14:textId="77777777" w:rsidR="00E5175E" w:rsidRPr="00E5175E" w:rsidRDefault="00E5175E" w:rsidP="008D7BB4">
            <w:pPr>
              <w:spacing w:line="276" w:lineRule="auto"/>
              <w:contextualSpacing/>
              <w:jc w:val="center"/>
              <w:rPr>
                <w:rFonts w:ascii="Times New Roman" w:eastAsia="Times New Roman" w:hAnsi="Times New Roman"/>
                <w:sz w:val="10"/>
                <w:szCs w:val="10"/>
                <w:lang w:eastAsia="es-ES"/>
              </w:rPr>
            </w:pPr>
          </w:p>
        </w:tc>
        <w:tc>
          <w:tcPr>
            <w:tcW w:w="966" w:type="dxa"/>
            <w:tcBorders>
              <w:top w:val="nil"/>
              <w:bottom w:val="nil"/>
            </w:tcBorders>
            <w:vAlign w:val="center"/>
          </w:tcPr>
          <w:p w14:paraId="1E9083B0" w14:textId="77777777"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a septiembre 2022</w:t>
            </w:r>
          </w:p>
          <w:p w14:paraId="2918C35E" w14:textId="31059764"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Calibri" w:eastAsia="Times New Roman" w:hAnsi="Calibri"/>
                <w:noProof/>
                <w:sz w:val="10"/>
                <w:szCs w:val="10"/>
                <w:lang w:eastAsia="es-GT"/>
              </w:rPr>
              <w:drawing>
                <wp:inline distT="0" distB="0" distL="0" distR="0" wp14:anchorId="424B442C" wp14:editId="049A5D9A">
                  <wp:extent cx="79375" cy="63500"/>
                  <wp:effectExtent l="0" t="0" r="0" b="0"/>
                  <wp:docPr id="360" name="Imagen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9375" cy="63500"/>
                          </a:xfrm>
                          <a:prstGeom prst="rect">
                            <a:avLst/>
                          </a:prstGeom>
                          <a:noFill/>
                          <a:ln>
                            <a:noFill/>
                          </a:ln>
                        </pic:spPr>
                      </pic:pic>
                    </a:graphicData>
                  </a:graphic>
                </wp:inline>
              </w:drawing>
            </w:r>
            <w:r w:rsidRPr="00E5175E">
              <w:rPr>
                <w:rFonts w:ascii="Times New Roman" w:eastAsia="Times New Roman" w:hAnsi="Times New Roman"/>
                <w:sz w:val="10"/>
                <w:szCs w:val="10"/>
                <w:lang w:eastAsia="es-ES"/>
              </w:rPr>
              <w:t xml:space="preserve">  5.02%</w:t>
            </w:r>
          </w:p>
          <w:p w14:paraId="360BAB1D" w14:textId="77777777" w:rsidR="00E5175E" w:rsidRPr="00E5175E" w:rsidRDefault="00E5175E" w:rsidP="008D7BB4">
            <w:pPr>
              <w:spacing w:line="276" w:lineRule="auto"/>
              <w:contextualSpacing/>
              <w:jc w:val="center"/>
              <w:rPr>
                <w:rFonts w:ascii="Times New Roman" w:eastAsia="Times New Roman" w:hAnsi="Times New Roman"/>
                <w:sz w:val="10"/>
                <w:szCs w:val="10"/>
                <w:lang w:eastAsia="es-ES"/>
              </w:rPr>
            </w:pPr>
          </w:p>
        </w:tc>
        <w:tc>
          <w:tcPr>
            <w:tcW w:w="967" w:type="dxa"/>
            <w:tcBorders>
              <w:top w:val="nil"/>
              <w:bottom w:val="nil"/>
            </w:tcBorders>
            <w:vAlign w:val="center"/>
          </w:tcPr>
          <w:p w14:paraId="78B059B0" w14:textId="77777777"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a junio 2022</w:t>
            </w:r>
          </w:p>
          <w:p w14:paraId="206DB332" w14:textId="02FBC852"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Calibri" w:eastAsia="Times New Roman" w:hAnsi="Calibri"/>
                <w:noProof/>
                <w:sz w:val="10"/>
                <w:szCs w:val="10"/>
                <w:lang w:eastAsia="es-GT"/>
              </w:rPr>
              <w:drawing>
                <wp:inline distT="0" distB="0" distL="0" distR="0" wp14:anchorId="5C8318DC" wp14:editId="75060507">
                  <wp:extent cx="79375" cy="63500"/>
                  <wp:effectExtent l="0" t="0" r="0" b="0"/>
                  <wp:docPr id="359" name="Imagen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9375" cy="63500"/>
                          </a:xfrm>
                          <a:prstGeom prst="rect">
                            <a:avLst/>
                          </a:prstGeom>
                          <a:noFill/>
                          <a:ln>
                            <a:noFill/>
                          </a:ln>
                        </pic:spPr>
                      </pic:pic>
                    </a:graphicData>
                  </a:graphic>
                </wp:inline>
              </w:drawing>
            </w:r>
            <w:r w:rsidRPr="00E5175E">
              <w:rPr>
                <w:rFonts w:ascii="Times New Roman" w:eastAsia="Times New Roman" w:hAnsi="Times New Roman"/>
                <w:sz w:val="10"/>
                <w:szCs w:val="10"/>
                <w:lang w:eastAsia="es-ES"/>
              </w:rPr>
              <w:t xml:space="preserve">  9.81%</w:t>
            </w:r>
          </w:p>
          <w:p w14:paraId="2B803B30" w14:textId="77777777" w:rsidR="00E5175E" w:rsidRPr="00E5175E" w:rsidRDefault="00E5175E" w:rsidP="008D7BB4">
            <w:pPr>
              <w:spacing w:line="276" w:lineRule="auto"/>
              <w:contextualSpacing/>
              <w:jc w:val="center"/>
              <w:rPr>
                <w:rFonts w:ascii="Times New Roman" w:eastAsia="Times New Roman" w:hAnsi="Times New Roman"/>
                <w:sz w:val="10"/>
                <w:szCs w:val="10"/>
                <w:lang w:eastAsia="es-ES"/>
              </w:rPr>
            </w:pPr>
          </w:p>
        </w:tc>
      </w:tr>
      <w:tr w:rsidR="00E5175E" w:rsidRPr="00E5175E" w14:paraId="473FB13C" w14:textId="77777777" w:rsidTr="006825AB">
        <w:trPr>
          <w:trHeight w:val="18"/>
          <w:jc w:val="center"/>
        </w:trPr>
        <w:tc>
          <w:tcPr>
            <w:tcW w:w="1830" w:type="dxa"/>
            <w:tcBorders>
              <w:top w:val="nil"/>
              <w:bottom w:val="nil"/>
            </w:tcBorders>
            <w:vAlign w:val="center"/>
          </w:tcPr>
          <w:p w14:paraId="430829EC" w14:textId="77777777" w:rsidR="00E5175E" w:rsidRPr="00E5175E" w:rsidRDefault="00E5175E" w:rsidP="008D7BB4">
            <w:pPr>
              <w:spacing w:line="276" w:lineRule="auto"/>
              <w:contextualSpacing/>
              <w:rPr>
                <w:rFonts w:ascii="Times New Roman" w:eastAsia="Times New Roman" w:hAnsi="Times New Roman"/>
                <w:sz w:val="16"/>
                <w:szCs w:val="10"/>
                <w:lang w:val="es-ES_tradnl" w:eastAsia="es-ES"/>
              </w:rPr>
            </w:pPr>
            <w:r w:rsidRPr="00E5175E">
              <w:rPr>
                <w:rFonts w:ascii="Times New Roman" w:eastAsia="Times New Roman" w:hAnsi="Times New Roman"/>
                <w:sz w:val="14"/>
                <w:szCs w:val="10"/>
                <w:lang w:val="es-ES_tradnl" w:eastAsia="es-ES"/>
              </w:rPr>
              <w:t>Proyecciones de Cierre 2023</w:t>
            </w:r>
          </w:p>
        </w:tc>
        <w:tc>
          <w:tcPr>
            <w:tcW w:w="966" w:type="dxa"/>
            <w:tcBorders>
              <w:top w:val="nil"/>
              <w:bottom w:val="nil"/>
            </w:tcBorders>
            <w:vAlign w:val="center"/>
          </w:tcPr>
          <w:p w14:paraId="2B3D1DC6" w14:textId="77777777" w:rsidR="00E5175E" w:rsidRPr="00E5175E" w:rsidRDefault="00E5175E" w:rsidP="008D7BB4">
            <w:pPr>
              <w:spacing w:line="276" w:lineRule="auto"/>
              <w:contextualSpacing/>
              <w:rPr>
                <w:rFonts w:ascii="Times New Roman" w:eastAsia="Times New Roman" w:hAnsi="Times New Roman"/>
                <w:sz w:val="10"/>
                <w:szCs w:val="10"/>
                <w:lang w:val="es-ES_tradnl" w:eastAsia="es-ES"/>
              </w:rPr>
            </w:pPr>
          </w:p>
        </w:tc>
        <w:tc>
          <w:tcPr>
            <w:tcW w:w="966" w:type="dxa"/>
            <w:tcBorders>
              <w:top w:val="nil"/>
              <w:bottom w:val="nil"/>
            </w:tcBorders>
            <w:vAlign w:val="center"/>
          </w:tcPr>
          <w:p w14:paraId="62AC0301" w14:textId="77777777" w:rsidR="00E5175E" w:rsidRPr="00E5175E" w:rsidRDefault="00E5175E" w:rsidP="008D7BB4">
            <w:pPr>
              <w:spacing w:line="276" w:lineRule="auto"/>
              <w:contextualSpacing/>
              <w:rPr>
                <w:rFonts w:ascii="Times New Roman" w:eastAsia="Times New Roman" w:hAnsi="Times New Roman"/>
                <w:sz w:val="10"/>
                <w:szCs w:val="10"/>
                <w:lang w:val="es-ES_tradnl" w:eastAsia="es-ES"/>
              </w:rPr>
            </w:pPr>
          </w:p>
        </w:tc>
        <w:tc>
          <w:tcPr>
            <w:tcW w:w="966" w:type="dxa"/>
            <w:tcBorders>
              <w:top w:val="nil"/>
              <w:bottom w:val="nil"/>
            </w:tcBorders>
            <w:vAlign w:val="center"/>
          </w:tcPr>
          <w:p w14:paraId="7BFC218A" w14:textId="77777777" w:rsidR="00E5175E" w:rsidRPr="00E5175E" w:rsidRDefault="00E5175E" w:rsidP="008D7BB4">
            <w:pPr>
              <w:spacing w:line="276" w:lineRule="auto"/>
              <w:contextualSpacing/>
              <w:rPr>
                <w:rFonts w:ascii="Times New Roman" w:eastAsia="Times New Roman" w:hAnsi="Times New Roman"/>
                <w:sz w:val="10"/>
                <w:szCs w:val="10"/>
                <w:lang w:val="es-ES_tradnl" w:eastAsia="es-ES"/>
              </w:rPr>
            </w:pPr>
          </w:p>
        </w:tc>
        <w:tc>
          <w:tcPr>
            <w:tcW w:w="967" w:type="dxa"/>
            <w:tcBorders>
              <w:top w:val="nil"/>
              <w:bottom w:val="nil"/>
            </w:tcBorders>
            <w:vAlign w:val="center"/>
          </w:tcPr>
          <w:p w14:paraId="129FA5B8" w14:textId="77777777" w:rsidR="00E5175E" w:rsidRPr="00E5175E" w:rsidRDefault="00E5175E" w:rsidP="008D7BB4">
            <w:pPr>
              <w:spacing w:line="276" w:lineRule="auto"/>
              <w:contextualSpacing/>
              <w:rPr>
                <w:rFonts w:ascii="Times New Roman" w:eastAsia="Times New Roman" w:hAnsi="Times New Roman"/>
                <w:sz w:val="10"/>
                <w:szCs w:val="10"/>
                <w:lang w:val="es-ES_tradnl" w:eastAsia="es-ES"/>
              </w:rPr>
            </w:pPr>
          </w:p>
        </w:tc>
        <w:tc>
          <w:tcPr>
            <w:tcW w:w="966" w:type="dxa"/>
            <w:tcBorders>
              <w:top w:val="nil"/>
              <w:bottom w:val="nil"/>
            </w:tcBorders>
            <w:vAlign w:val="center"/>
          </w:tcPr>
          <w:p w14:paraId="11A53D9E" w14:textId="77777777" w:rsidR="00E5175E" w:rsidRPr="00E5175E" w:rsidRDefault="00E5175E" w:rsidP="008D7BB4">
            <w:pPr>
              <w:spacing w:line="276" w:lineRule="auto"/>
              <w:contextualSpacing/>
              <w:rPr>
                <w:rFonts w:ascii="Times New Roman" w:eastAsia="Times New Roman" w:hAnsi="Times New Roman"/>
                <w:sz w:val="10"/>
                <w:szCs w:val="10"/>
                <w:lang w:val="es-ES_tradnl" w:eastAsia="es-ES"/>
              </w:rPr>
            </w:pPr>
          </w:p>
        </w:tc>
        <w:tc>
          <w:tcPr>
            <w:tcW w:w="966" w:type="dxa"/>
            <w:tcBorders>
              <w:top w:val="nil"/>
              <w:bottom w:val="nil"/>
            </w:tcBorders>
            <w:vAlign w:val="center"/>
          </w:tcPr>
          <w:p w14:paraId="0B398B9A" w14:textId="77777777" w:rsidR="00E5175E" w:rsidRPr="00E5175E" w:rsidRDefault="00E5175E" w:rsidP="008D7BB4">
            <w:pPr>
              <w:spacing w:line="276" w:lineRule="auto"/>
              <w:contextualSpacing/>
              <w:rPr>
                <w:rFonts w:ascii="Times New Roman" w:eastAsia="Times New Roman" w:hAnsi="Times New Roman"/>
                <w:sz w:val="10"/>
                <w:szCs w:val="10"/>
                <w:lang w:val="es-ES_tradnl" w:eastAsia="es-ES"/>
              </w:rPr>
            </w:pPr>
          </w:p>
        </w:tc>
        <w:tc>
          <w:tcPr>
            <w:tcW w:w="967" w:type="dxa"/>
            <w:tcBorders>
              <w:top w:val="nil"/>
              <w:bottom w:val="nil"/>
            </w:tcBorders>
            <w:vAlign w:val="center"/>
          </w:tcPr>
          <w:p w14:paraId="39AD4513" w14:textId="77777777" w:rsidR="00E5175E" w:rsidRPr="00E5175E" w:rsidRDefault="00E5175E" w:rsidP="008D7BB4">
            <w:pPr>
              <w:spacing w:line="276" w:lineRule="auto"/>
              <w:contextualSpacing/>
              <w:rPr>
                <w:rFonts w:ascii="Times New Roman" w:eastAsia="Times New Roman" w:hAnsi="Times New Roman"/>
                <w:sz w:val="10"/>
                <w:szCs w:val="10"/>
                <w:lang w:val="es-ES_tradnl" w:eastAsia="es-ES"/>
              </w:rPr>
            </w:pPr>
          </w:p>
        </w:tc>
      </w:tr>
      <w:tr w:rsidR="00E5175E" w:rsidRPr="00E5175E" w14:paraId="0A499C2F" w14:textId="77777777" w:rsidTr="006825AB">
        <w:trPr>
          <w:trHeight w:val="18"/>
          <w:jc w:val="center"/>
        </w:trPr>
        <w:tc>
          <w:tcPr>
            <w:tcW w:w="1830" w:type="dxa"/>
            <w:tcBorders>
              <w:top w:val="nil"/>
              <w:bottom w:val="nil"/>
            </w:tcBorders>
            <w:vAlign w:val="center"/>
          </w:tcPr>
          <w:p w14:paraId="717F21A3" w14:textId="77777777" w:rsidR="00E5175E" w:rsidRPr="00E5175E" w:rsidRDefault="00E5175E" w:rsidP="008D7BB4">
            <w:pPr>
              <w:spacing w:line="276" w:lineRule="auto"/>
              <w:contextualSpacing/>
              <w:rPr>
                <w:rFonts w:ascii="Times New Roman" w:eastAsia="Times New Roman" w:hAnsi="Times New Roman"/>
                <w:sz w:val="16"/>
                <w:szCs w:val="10"/>
                <w:lang w:eastAsia="es-ES"/>
              </w:rPr>
            </w:pPr>
            <w:r w:rsidRPr="00E5175E">
              <w:rPr>
                <w:rFonts w:ascii="Times New Roman" w:eastAsia="Times New Roman" w:hAnsi="Times New Roman"/>
                <w:sz w:val="16"/>
                <w:szCs w:val="10"/>
                <w:lang w:val="es-ES_tradnl" w:eastAsia="es-ES"/>
              </w:rPr>
              <w:t>Inflación</w:t>
            </w:r>
          </w:p>
        </w:tc>
        <w:tc>
          <w:tcPr>
            <w:tcW w:w="966" w:type="dxa"/>
            <w:tcBorders>
              <w:top w:val="nil"/>
              <w:bottom w:val="nil"/>
            </w:tcBorders>
            <w:vAlign w:val="center"/>
          </w:tcPr>
          <w:p w14:paraId="353A5810" w14:textId="77777777"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a diciembre 2022</w:t>
            </w:r>
          </w:p>
          <w:p w14:paraId="1A511C61" w14:textId="1A00A3C1"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Calibri" w:eastAsia="Times New Roman" w:hAnsi="Calibri"/>
                <w:noProof/>
                <w:sz w:val="10"/>
                <w:szCs w:val="10"/>
                <w:lang w:eastAsia="es-GT"/>
              </w:rPr>
              <w:drawing>
                <wp:inline distT="0" distB="0" distL="0" distR="0" wp14:anchorId="2C5D97B3" wp14:editId="79324EA9">
                  <wp:extent cx="55880" cy="55880"/>
                  <wp:effectExtent l="0" t="0" r="1270" b="1270"/>
                  <wp:docPr id="358" name="Imagen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880" cy="55880"/>
                          </a:xfrm>
                          <a:prstGeom prst="rect">
                            <a:avLst/>
                          </a:prstGeom>
                          <a:noFill/>
                          <a:ln>
                            <a:noFill/>
                          </a:ln>
                        </pic:spPr>
                      </pic:pic>
                    </a:graphicData>
                  </a:graphic>
                </wp:inline>
              </w:drawing>
            </w:r>
            <w:r w:rsidRPr="00E5175E">
              <w:rPr>
                <w:rFonts w:ascii="Times New Roman" w:eastAsia="Times New Roman" w:hAnsi="Times New Roman"/>
                <w:sz w:val="10"/>
                <w:szCs w:val="10"/>
                <w:lang w:eastAsia="es-ES"/>
              </w:rPr>
              <w:t xml:space="preserve">  7.88%</w:t>
            </w:r>
          </w:p>
          <w:p w14:paraId="34BA826A" w14:textId="77777777" w:rsidR="00E5175E" w:rsidRPr="00E5175E" w:rsidRDefault="00E5175E" w:rsidP="008D7BB4">
            <w:pPr>
              <w:spacing w:line="276" w:lineRule="auto"/>
              <w:contextualSpacing/>
              <w:jc w:val="center"/>
              <w:rPr>
                <w:rFonts w:ascii="Times New Roman" w:eastAsia="Times New Roman" w:hAnsi="Times New Roman"/>
                <w:sz w:val="10"/>
                <w:szCs w:val="10"/>
                <w:lang w:eastAsia="es-ES"/>
              </w:rPr>
            </w:pPr>
          </w:p>
        </w:tc>
        <w:tc>
          <w:tcPr>
            <w:tcW w:w="966" w:type="dxa"/>
            <w:tcBorders>
              <w:top w:val="nil"/>
              <w:bottom w:val="nil"/>
            </w:tcBorders>
            <w:vAlign w:val="center"/>
          </w:tcPr>
          <w:p w14:paraId="7229F9CA" w14:textId="77777777"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a noviembre 2022</w:t>
            </w:r>
          </w:p>
          <w:p w14:paraId="4F60C00E" w14:textId="111656BF"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Calibri" w:eastAsia="Times New Roman" w:hAnsi="Calibri"/>
                <w:noProof/>
                <w:sz w:val="10"/>
                <w:szCs w:val="10"/>
                <w:lang w:eastAsia="es-GT"/>
              </w:rPr>
              <w:drawing>
                <wp:inline distT="0" distB="0" distL="0" distR="0" wp14:anchorId="1D917776" wp14:editId="6306A5DF">
                  <wp:extent cx="79375" cy="63500"/>
                  <wp:effectExtent l="0" t="0" r="0" b="0"/>
                  <wp:docPr id="357" name="Imagen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9375" cy="63500"/>
                          </a:xfrm>
                          <a:prstGeom prst="rect">
                            <a:avLst/>
                          </a:prstGeom>
                          <a:noFill/>
                          <a:ln>
                            <a:noFill/>
                          </a:ln>
                        </pic:spPr>
                      </pic:pic>
                    </a:graphicData>
                  </a:graphic>
                </wp:inline>
              </w:drawing>
            </w:r>
            <w:r w:rsidRPr="00E5175E">
              <w:rPr>
                <w:rFonts w:ascii="Times New Roman" w:eastAsia="Times New Roman" w:hAnsi="Times New Roman"/>
                <w:sz w:val="10"/>
                <w:szCs w:val="10"/>
                <w:lang w:eastAsia="es-ES"/>
              </w:rPr>
              <w:t xml:space="preserve">  7.32%</w:t>
            </w:r>
          </w:p>
          <w:p w14:paraId="4DB4B4B9" w14:textId="77777777" w:rsidR="00E5175E" w:rsidRPr="00E5175E" w:rsidRDefault="00E5175E" w:rsidP="008D7BB4">
            <w:pPr>
              <w:spacing w:line="276" w:lineRule="auto"/>
              <w:contextualSpacing/>
              <w:jc w:val="center"/>
              <w:rPr>
                <w:rFonts w:ascii="Times New Roman" w:eastAsia="Times New Roman" w:hAnsi="Times New Roman"/>
                <w:sz w:val="10"/>
                <w:szCs w:val="10"/>
                <w:lang w:eastAsia="es-ES"/>
              </w:rPr>
            </w:pPr>
          </w:p>
        </w:tc>
        <w:tc>
          <w:tcPr>
            <w:tcW w:w="966" w:type="dxa"/>
            <w:tcBorders>
              <w:top w:val="nil"/>
              <w:bottom w:val="nil"/>
            </w:tcBorders>
            <w:vAlign w:val="center"/>
          </w:tcPr>
          <w:p w14:paraId="2885FCAB" w14:textId="77777777"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a diciembre 2022</w:t>
            </w:r>
          </w:p>
          <w:p w14:paraId="373AEF55" w14:textId="609B649A"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Calibri" w:eastAsia="Times New Roman" w:hAnsi="Calibri"/>
                <w:noProof/>
                <w:sz w:val="10"/>
                <w:szCs w:val="10"/>
                <w:lang w:eastAsia="es-GT"/>
              </w:rPr>
              <w:drawing>
                <wp:inline distT="0" distB="0" distL="0" distR="0" wp14:anchorId="70A09DA4" wp14:editId="5C987A5F">
                  <wp:extent cx="79375" cy="63500"/>
                  <wp:effectExtent l="0" t="0" r="0" b="0"/>
                  <wp:docPr id="356" name="Imagen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9375" cy="63500"/>
                          </a:xfrm>
                          <a:prstGeom prst="rect">
                            <a:avLst/>
                          </a:prstGeom>
                          <a:noFill/>
                          <a:ln>
                            <a:noFill/>
                          </a:ln>
                        </pic:spPr>
                      </pic:pic>
                    </a:graphicData>
                  </a:graphic>
                </wp:inline>
              </w:drawing>
            </w:r>
            <w:r w:rsidRPr="00E5175E">
              <w:rPr>
                <w:rFonts w:ascii="Times New Roman" w:eastAsia="Times New Roman" w:hAnsi="Times New Roman"/>
                <w:sz w:val="10"/>
                <w:szCs w:val="10"/>
                <w:lang w:eastAsia="es-ES"/>
              </w:rPr>
              <w:t xml:space="preserve">  9.24%</w:t>
            </w:r>
          </w:p>
          <w:p w14:paraId="6AFC6718" w14:textId="77777777" w:rsidR="00E5175E" w:rsidRPr="00E5175E" w:rsidRDefault="00E5175E" w:rsidP="008D7BB4">
            <w:pPr>
              <w:spacing w:line="276" w:lineRule="auto"/>
              <w:contextualSpacing/>
              <w:jc w:val="center"/>
              <w:rPr>
                <w:rFonts w:ascii="Times New Roman" w:eastAsia="Times New Roman" w:hAnsi="Times New Roman"/>
                <w:sz w:val="10"/>
                <w:szCs w:val="10"/>
                <w:lang w:eastAsia="es-ES"/>
              </w:rPr>
            </w:pPr>
          </w:p>
        </w:tc>
        <w:tc>
          <w:tcPr>
            <w:tcW w:w="967" w:type="dxa"/>
            <w:tcBorders>
              <w:top w:val="nil"/>
              <w:bottom w:val="nil"/>
            </w:tcBorders>
            <w:vAlign w:val="center"/>
          </w:tcPr>
          <w:p w14:paraId="700BEE0A" w14:textId="77777777"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a diciembre 2022</w:t>
            </w:r>
          </w:p>
          <w:p w14:paraId="14B7EC3F" w14:textId="1737854A"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Calibri" w:eastAsia="Times New Roman" w:hAnsi="Calibri"/>
                <w:noProof/>
                <w:sz w:val="10"/>
                <w:szCs w:val="10"/>
                <w:lang w:eastAsia="es-GT"/>
              </w:rPr>
              <w:drawing>
                <wp:inline distT="0" distB="0" distL="0" distR="0" wp14:anchorId="5CCC8A1F" wp14:editId="1E96B8AD">
                  <wp:extent cx="79375" cy="63500"/>
                  <wp:effectExtent l="0" t="0" r="0" b="0"/>
                  <wp:docPr id="355" name="Imagen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9375" cy="63500"/>
                          </a:xfrm>
                          <a:prstGeom prst="rect">
                            <a:avLst/>
                          </a:prstGeom>
                          <a:noFill/>
                          <a:ln>
                            <a:noFill/>
                          </a:ln>
                        </pic:spPr>
                      </pic:pic>
                    </a:graphicData>
                  </a:graphic>
                </wp:inline>
              </w:drawing>
            </w:r>
            <w:r w:rsidRPr="00E5175E">
              <w:rPr>
                <w:rFonts w:ascii="Times New Roman" w:eastAsia="Times New Roman" w:hAnsi="Times New Roman"/>
                <w:sz w:val="10"/>
                <w:szCs w:val="10"/>
                <w:lang w:eastAsia="es-ES"/>
              </w:rPr>
              <w:t xml:space="preserve">  9.8%</w:t>
            </w:r>
          </w:p>
          <w:p w14:paraId="6EEEF50A" w14:textId="77777777" w:rsidR="00E5175E" w:rsidRPr="00E5175E" w:rsidRDefault="00E5175E" w:rsidP="008D7BB4">
            <w:pPr>
              <w:spacing w:line="276" w:lineRule="auto"/>
              <w:contextualSpacing/>
              <w:jc w:val="center"/>
              <w:rPr>
                <w:rFonts w:ascii="Times New Roman" w:eastAsia="Times New Roman" w:hAnsi="Times New Roman"/>
                <w:sz w:val="10"/>
                <w:szCs w:val="10"/>
                <w:lang w:eastAsia="es-ES"/>
              </w:rPr>
            </w:pPr>
          </w:p>
        </w:tc>
        <w:tc>
          <w:tcPr>
            <w:tcW w:w="966" w:type="dxa"/>
            <w:tcBorders>
              <w:top w:val="nil"/>
              <w:bottom w:val="nil"/>
            </w:tcBorders>
            <w:vAlign w:val="center"/>
          </w:tcPr>
          <w:p w14:paraId="603B7DC3" w14:textId="77777777"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a noviembre 2022</w:t>
            </w:r>
          </w:p>
          <w:p w14:paraId="655488DD" w14:textId="7DB4727E"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Calibri" w:eastAsia="Times New Roman" w:hAnsi="Calibri"/>
                <w:noProof/>
                <w:sz w:val="10"/>
                <w:szCs w:val="10"/>
                <w:lang w:eastAsia="es-GT"/>
              </w:rPr>
              <w:drawing>
                <wp:inline distT="0" distB="0" distL="0" distR="0" wp14:anchorId="2DDBB6AE" wp14:editId="27979824">
                  <wp:extent cx="79375" cy="63500"/>
                  <wp:effectExtent l="0" t="0" r="0" b="0"/>
                  <wp:docPr id="354" name="Imagen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9375" cy="63500"/>
                          </a:xfrm>
                          <a:prstGeom prst="rect">
                            <a:avLst/>
                          </a:prstGeom>
                          <a:noFill/>
                          <a:ln>
                            <a:noFill/>
                          </a:ln>
                        </pic:spPr>
                      </pic:pic>
                    </a:graphicData>
                  </a:graphic>
                </wp:inline>
              </w:drawing>
            </w:r>
            <w:r w:rsidRPr="00E5175E">
              <w:rPr>
                <w:rFonts w:ascii="Times New Roman" w:eastAsia="Times New Roman" w:hAnsi="Times New Roman"/>
                <w:sz w:val="10"/>
                <w:szCs w:val="10"/>
                <w:lang w:eastAsia="es-ES"/>
              </w:rPr>
              <w:t xml:space="preserve">  11.37%</w:t>
            </w:r>
          </w:p>
          <w:p w14:paraId="77137D1E" w14:textId="77777777" w:rsidR="00E5175E" w:rsidRPr="00E5175E" w:rsidRDefault="00E5175E" w:rsidP="008D7BB4">
            <w:pPr>
              <w:spacing w:line="276" w:lineRule="auto"/>
              <w:contextualSpacing/>
              <w:jc w:val="center"/>
              <w:rPr>
                <w:rFonts w:ascii="Times New Roman" w:eastAsia="Times New Roman" w:hAnsi="Times New Roman"/>
                <w:sz w:val="10"/>
                <w:szCs w:val="10"/>
                <w:lang w:eastAsia="es-ES"/>
              </w:rPr>
            </w:pPr>
          </w:p>
        </w:tc>
        <w:tc>
          <w:tcPr>
            <w:tcW w:w="966" w:type="dxa"/>
            <w:tcBorders>
              <w:top w:val="nil"/>
              <w:bottom w:val="nil"/>
            </w:tcBorders>
            <w:vAlign w:val="center"/>
          </w:tcPr>
          <w:p w14:paraId="41B3EB3F" w14:textId="77777777"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a noviembre 2022</w:t>
            </w:r>
          </w:p>
          <w:p w14:paraId="2E54B9C3" w14:textId="7E46E77A"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Calibri" w:eastAsia="Times New Roman" w:hAnsi="Calibri"/>
                <w:noProof/>
                <w:sz w:val="10"/>
                <w:szCs w:val="10"/>
                <w:lang w:eastAsia="es-GT"/>
              </w:rPr>
              <w:drawing>
                <wp:inline distT="0" distB="0" distL="0" distR="0" wp14:anchorId="60FC0EDF" wp14:editId="45B2FAA8">
                  <wp:extent cx="55880" cy="55880"/>
                  <wp:effectExtent l="0" t="0" r="1270" b="1270"/>
                  <wp:docPr id="353" name="Imagen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880" cy="55880"/>
                          </a:xfrm>
                          <a:prstGeom prst="rect">
                            <a:avLst/>
                          </a:prstGeom>
                          <a:noFill/>
                          <a:ln>
                            <a:noFill/>
                          </a:ln>
                        </pic:spPr>
                      </pic:pic>
                    </a:graphicData>
                  </a:graphic>
                </wp:inline>
              </w:drawing>
            </w:r>
            <w:r w:rsidRPr="00E5175E">
              <w:rPr>
                <w:rFonts w:ascii="Times New Roman" w:eastAsia="Times New Roman" w:hAnsi="Times New Roman"/>
                <w:sz w:val="10"/>
                <w:szCs w:val="10"/>
                <w:lang w:eastAsia="es-ES"/>
              </w:rPr>
              <w:t xml:space="preserve">  7.58%</w:t>
            </w:r>
          </w:p>
          <w:p w14:paraId="03673A92" w14:textId="77777777" w:rsidR="00E5175E" w:rsidRPr="00E5175E" w:rsidRDefault="00E5175E" w:rsidP="008D7BB4">
            <w:pPr>
              <w:spacing w:line="276" w:lineRule="auto"/>
              <w:contextualSpacing/>
              <w:jc w:val="center"/>
              <w:rPr>
                <w:rFonts w:ascii="Times New Roman" w:eastAsia="Times New Roman" w:hAnsi="Times New Roman"/>
                <w:sz w:val="10"/>
                <w:szCs w:val="10"/>
                <w:lang w:eastAsia="es-ES"/>
              </w:rPr>
            </w:pPr>
          </w:p>
        </w:tc>
        <w:tc>
          <w:tcPr>
            <w:tcW w:w="967" w:type="dxa"/>
            <w:tcBorders>
              <w:top w:val="nil"/>
              <w:bottom w:val="nil"/>
            </w:tcBorders>
            <w:vAlign w:val="center"/>
          </w:tcPr>
          <w:p w14:paraId="2A3EA684" w14:textId="77777777"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a noviembre 2022</w:t>
            </w:r>
          </w:p>
          <w:p w14:paraId="4086E7A0" w14:textId="7FFCF437"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Calibri" w:eastAsia="Times New Roman" w:hAnsi="Calibri"/>
                <w:noProof/>
                <w:sz w:val="10"/>
                <w:szCs w:val="10"/>
                <w:lang w:eastAsia="es-GT"/>
              </w:rPr>
              <w:drawing>
                <wp:inline distT="0" distB="0" distL="0" distR="0" wp14:anchorId="40D35CCD" wp14:editId="586A4599">
                  <wp:extent cx="79375" cy="63500"/>
                  <wp:effectExtent l="0" t="0" r="0" b="0"/>
                  <wp:docPr id="352" name="Imagen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9375" cy="63500"/>
                          </a:xfrm>
                          <a:prstGeom prst="rect">
                            <a:avLst/>
                          </a:prstGeom>
                          <a:noFill/>
                          <a:ln>
                            <a:noFill/>
                          </a:ln>
                        </pic:spPr>
                      </pic:pic>
                    </a:graphicData>
                  </a:graphic>
                </wp:inline>
              </w:drawing>
            </w:r>
            <w:r w:rsidRPr="00E5175E">
              <w:rPr>
                <w:rFonts w:ascii="Times New Roman" w:eastAsia="Times New Roman" w:hAnsi="Times New Roman"/>
                <w:sz w:val="10"/>
                <w:szCs w:val="10"/>
                <w:lang w:eastAsia="es-ES"/>
              </w:rPr>
              <w:t xml:space="preserve">  1.5%</w:t>
            </w:r>
          </w:p>
          <w:p w14:paraId="1270BE84" w14:textId="77777777" w:rsidR="00E5175E" w:rsidRPr="00E5175E" w:rsidRDefault="00E5175E" w:rsidP="008D7BB4">
            <w:pPr>
              <w:spacing w:line="276" w:lineRule="auto"/>
              <w:contextualSpacing/>
              <w:jc w:val="center"/>
              <w:rPr>
                <w:rFonts w:ascii="Times New Roman" w:eastAsia="Times New Roman" w:hAnsi="Times New Roman"/>
                <w:sz w:val="10"/>
                <w:szCs w:val="10"/>
                <w:lang w:eastAsia="es-ES"/>
              </w:rPr>
            </w:pPr>
          </w:p>
        </w:tc>
      </w:tr>
      <w:tr w:rsidR="00E5175E" w:rsidRPr="00E5175E" w14:paraId="7A9CDCFA" w14:textId="77777777" w:rsidTr="006825AB">
        <w:trPr>
          <w:trHeight w:val="18"/>
          <w:jc w:val="center"/>
        </w:trPr>
        <w:tc>
          <w:tcPr>
            <w:tcW w:w="1830" w:type="dxa"/>
            <w:tcBorders>
              <w:top w:val="nil"/>
              <w:bottom w:val="nil"/>
            </w:tcBorders>
            <w:vAlign w:val="center"/>
          </w:tcPr>
          <w:p w14:paraId="44F95C77" w14:textId="77777777" w:rsidR="00E5175E" w:rsidRPr="00E5175E" w:rsidRDefault="00E5175E" w:rsidP="008D7BB4">
            <w:pPr>
              <w:spacing w:line="276" w:lineRule="auto"/>
              <w:contextualSpacing/>
              <w:rPr>
                <w:rFonts w:ascii="Times New Roman" w:eastAsia="Times New Roman" w:hAnsi="Times New Roman"/>
                <w:sz w:val="16"/>
                <w:szCs w:val="10"/>
                <w:lang w:val="es-ES_tradnl" w:eastAsia="es-ES"/>
              </w:rPr>
            </w:pPr>
            <w:r w:rsidRPr="00E5175E">
              <w:rPr>
                <w:rFonts w:ascii="Times New Roman" w:eastAsia="Times New Roman" w:hAnsi="Times New Roman"/>
                <w:sz w:val="14"/>
                <w:szCs w:val="10"/>
                <w:lang w:val="es-ES_tradnl" w:eastAsia="es-ES"/>
              </w:rPr>
              <w:t>Metas de los Bancos centrales</w:t>
            </w:r>
          </w:p>
        </w:tc>
        <w:tc>
          <w:tcPr>
            <w:tcW w:w="966" w:type="dxa"/>
            <w:tcBorders>
              <w:top w:val="nil"/>
              <w:bottom w:val="nil"/>
            </w:tcBorders>
            <w:vAlign w:val="center"/>
          </w:tcPr>
          <w:p w14:paraId="2D5D0D36" w14:textId="77777777" w:rsidR="00E5175E" w:rsidRPr="00E5175E" w:rsidRDefault="00E5175E" w:rsidP="008D7BB4">
            <w:pPr>
              <w:spacing w:line="276" w:lineRule="auto"/>
              <w:contextualSpacing/>
              <w:rPr>
                <w:rFonts w:ascii="Times New Roman" w:eastAsia="Times New Roman" w:hAnsi="Times New Roman"/>
                <w:sz w:val="10"/>
                <w:szCs w:val="10"/>
                <w:lang w:val="es-ES_tradnl" w:eastAsia="es-ES"/>
              </w:rPr>
            </w:pPr>
          </w:p>
        </w:tc>
        <w:tc>
          <w:tcPr>
            <w:tcW w:w="966" w:type="dxa"/>
            <w:tcBorders>
              <w:top w:val="nil"/>
              <w:bottom w:val="nil"/>
            </w:tcBorders>
            <w:vAlign w:val="center"/>
          </w:tcPr>
          <w:p w14:paraId="65D08B22" w14:textId="77777777" w:rsidR="00E5175E" w:rsidRPr="00E5175E" w:rsidRDefault="00E5175E" w:rsidP="008D7BB4">
            <w:pPr>
              <w:spacing w:line="276" w:lineRule="auto"/>
              <w:contextualSpacing/>
              <w:rPr>
                <w:rFonts w:ascii="Times New Roman" w:eastAsia="Times New Roman" w:hAnsi="Times New Roman"/>
                <w:sz w:val="10"/>
                <w:szCs w:val="10"/>
                <w:lang w:val="es-ES_tradnl" w:eastAsia="es-ES"/>
              </w:rPr>
            </w:pPr>
          </w:p>
        </w:tc>
        <w:tc>
          <w:tcPr>
            <w:tcW w:w="966" w:type="dxa"/>
            <w:tcBorders>
              <w:top w:val="nil"/>
              <w:bottom w:val="nil"/>
            </w:tcBorders>
            <w:vAlign w:val="center"/>
          </w:tcPr>
          <w:p w14:paraId="0C76923D" w14:textId="77777777" w:rsidR="00E5175E" w:rsidRPr="00E5175E" w:rsidRDefault="00E5175E" w:rsidP="008D7BB4">
            <w:pPr>
              <w:spacing w:line="276" w:lineRule="auto"/>
              <w:contextualSpacing/>
              <w:rPr>
                <w:rFonts w:ascii="Times New Roman" w:eastAsia="Times New Roman" w:hAnsi="Times New Roman"/>
                <w:sz w:val="10"/>
                <w:szCs w:val="10"/>
                <w:lang w:val="es-ES_tradnl" w:eastAsia="es-ES"/>
              </w:rPr>
            </w:pPr>
          </w:p>
        </w:tc>
        <w:tc>
          <w:tcPr>
            <w:tcW w:w="967" w:type="dxa"/>
            <w:tcBorders>
              <w:top w:val="nil"/>
              <w:bottom w:val="nil"/>
            </w:tcBorders>
            <w:vAlign w:val="center"/>
          </w:tcPr>
          <w:p w14:paraId="3BD4DD71" w14:textId="77777777" w:rsidR="00E5175E" w:rsidRPr="00E5175E" w:rsidRDefault="00E5175E" w:rsidP="008D7BB4">
            <w:pPr>
              <w:spacing w:line="276" w:lineRule="auto"/>
              <w:contextualSpacing/>
              <w:rPr>
                <w:rFonts w:ascii="Times New Roman" w:eastAsia="Times New Roman" w:hAnsi="Times New Roman"/>
                <w:sz w:val="10"/>
                <w:szCs w:val="10"/>
                <w:lang w:val="es-ES_tradnl" w:eastAsia="es-ES"/>
              </w:rPr>
            </w:pPr>
          </w:p>
        </w:tc>
        <w:tc>
          <w:tcPr>
            <w:tcW w:w="966" w:type="dxa"/>
            <w:tcBorders>
              <w:top w:val="nil"/>
              <w:bottom w:val="nil"/>
            </w:tcBorders>
            <w:vAlign w:val="center"/>
          </w:tcPr>
          <w:p w14:paraId="70400320" w14:textId="77777777" w:rsidR="00E5175E" w:rsidRPr="00E5175E" w:rsidRDefault="00E5175E" w:rsidP="008D7BB4">
            <w:pPr>
              <w:spacing w:line="276" w:lineRule="auto"/>
              <w:contextualSpacing/>
              <w:rPr>
                <w:rFonts w:ascii="Times New Roman" w:eastAsia="Times New Roman" w:hAnsi="Times New Roman"/>
                <w:sz w:val="10"/>
                <w:szCs w:val="10"/>
                <w:lang w:val="es-ES_tradnl" w:eastAsia="es-ES"/>
              </w:rPr>
            </w:pPr>
          </w:p>
        </w:tc>
        <w:tc>
          <w:tcPr>
            <w:tcW w:w="966" w:type="dxa"/>
            <w:tcBorders>
              <w:top w:val="nil"/>
              <w:bottom w:val="nil"/>
            </w:tcBorders>
            <w:vAlign w:val="center"/>
          </w:tcPr>
          <w:p w14:paraId="62C4E2FA" w14:textId="77777777" w:rsidR="00E5175E" w:rsidRPr="00E5175E" w:rsidRDefault="00E5175E" w:rsidP="008D7BB4">
            <w:pPr>
              <w:spacing w:line="276" w:lineRule="auto"/>
              <w:contextualSpacing/>
              <w:rPr>
                <w:rFonts w:ascii="Times New Roman" w:eastAsia="Times New Roman" w:hAnsi="Times New Roman"/>
                <w:sz w:val="10"/>
                <w:szCs w:val="10"/>
                <w:lang w:val="es-ES_tradnl" w:eastAsia="es-ES"/>
              </w:rPr>
            </w:pPr>
          </w:p>
        </w:tc>
        <w:tc>
          <w:tcPr>
            <w:tcW w:w="967" w:type="dxa"/>
            <w:tcBorders>
              <w:top w:val="nil"/>
              <w:bottom w:val="nil"/>
            </w:tcBorders>
            <w:vAlign w:val="center"/>
          </w:tcPr>
          <w:p w14:paraId="36447081" w14:textId="77777777" w:rsidR="00E5175E" w:rsidRPr="00E5175E" w:rsidRDefault="00E5175E" w:rsidP="008D7BB4">
            <w:pPr>
              <w:spacing w:line="276" w:lineRule="auto"/>
              <w:contextualSpacing/>
              <w:rPr>
                <w:rFonts w:ascii="Times New Roman" w:eastAsia="Times New Roman" w:hAnsi="Times New Roman"/>
                <w:sz w:val="10"/>
                <w:szCs w:val="10"/>
                <w:lang w:val="es-ES_tradnl" w:eastAsia="es-ES"/>
              </w:rPr>
            </w:pPr>
          </w:p>
        </w:tc>
      </w:tr>
      <w:tr w:rsidR="00E5175E" w:rsidRPr="00E5175E" w14:paraId="71EB40A9" w14:textId="77777777" w:rsidTr="006825AB">
        <w:trPr>
          <w:trHeight w:val="18"/>
          <w:jc w:val="center"/>
        </w:trPr>
        <w:tc>
          <w:tcPr>
            <w:tcW w:w="1830" w:type="dxa"/>
            <w:tcBorders>
              <w:top w:val="nil"/>
            </w:tcBorders>
            <w:vAlign w:val="center"/>
          </w:tcPr>
          <w:p w14:paraId="6ED65409" w14:textId="77777777" w:rsidR="00E5175E" w:rsidRPr="00E5175E" w:rsidRDefault="00E5175E" w:rsidP="008D7BB4">
            <w:pPr>
              <w:spacing w:line="276" w:lineRule="auto"/>
              <w:contextualSpacing/>
              <w:rPr>
                <w:rFonts w:ascii="Times New Roman" w:eastAsia="Times New Roman" w:hAnsi="Times New Roman"/>
                <w:sz w:val="16"/>
                <w:szCs w:val="10"/>
                <w:lang w:eastAsia="es-ES"/>
              </w:rPr>
            </w:pPr>
            <w:r w:rsidRPr="00E5175E">
              <w:rPr>
                <w:rFonts w:ascii="Times New Roman" w:eastAsia="Times New Roman" w:hAnsi="Times New Roman"/>
                <w:sz w:val="16"/>
                <w:szCs w:val="10"/>
                <w:lang w:eastAsia="es-ES"/>
              </w:rPr>
              <w:t>Tasa de política monetaria</w:t>
            </w:r>
          </w:p>
        </w:tc>
        <w:tc>
          <w:tcPr>
            <w:tcW w:w="966" w:type="dxa"/>
            <w:tcBorders>
              <w:top w:val="nil"/>
            </w:tcBorders>
            <w:vAlign w:val="center"/>
          </w:tcPr>
          <w:p w14:paraId="2F62C8CB" w14:textId="77777777"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a enero 2023</w:t>
            </w:r>
          </w:p>
          <w:p w14:paraId="7BBDE065" w14:textId="7DF4B141"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Calibri" w:eastAsia="Times New Roman" w:hAnsi="Calibri"/>
                <w:noProof/>
                <w:sz w:val="10"/>
                <w:szCs w:val="10"/>
                <w:lang w:eastAsia="es-GT"/>
              </w:rPr>
              <w:drawing>
                <wp:inline distT="0" distB="0" distL="0" distR="0" wp14:anchorId="079BEB82" wp14:editId="2B62877E">
                  <wp:extent cx="79375" cy="63500"/>
                  <wp:effectExtent l="0" t="0" r="0" b="0"/>
                  <wp:docPr id="351" name="Imagen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9375" cy="63500"/>
                          </a:xfrm>
                          <a:prstGeom prst="rect">
                            <a:avLst/>
                          </a:prstGeom>
                          <a:noFill/>
                          <a:ln>
                            <a:noFill/>
                          </a:ln>
                        </pic:spPr>
                      </pic:pic>
                    </a:graphicData>
                  </a:graphic>
                </wp:inline>
              </w:drawing>
            </w:r>
            <w:r w:rsidRPr="00E5175E">
              <w:rPr>
                <w:rFonts w:ascii="Times New Roman" w:eastAsia="Times New Roman" w:hAnsi="Times New Roman"/>
                <w:sz w:val="10"/>
                <w:szCs w:val="10"/>
                <w:lang w:eastAsia="es-ES"/>
              </w:rPr>
              <w:t xml:space="preserve">  9.0%</w:t>
            </w:r>
          </w:p>
          <w:p w14:paraId="3E567BED" w14:textId="77777777" w:rsidR="00E5175E" w:rsidRPr="00E5175E" w:rsidRDefault="00E5175E" w:rsidP="008D7BB4">
            <w:pPr>
              <w:spacing w:line="276" w:lineRule="auto"/>
              <w:contextualSpacing/>
              <w:jc w:val="center"/>
              <w:rPr>
                <w:rFonts w:ascii="Times New Roman" w:eastAsia="Times New Roman" w:hAnsi="Times New Roman"/>
                <w:sz w:val="10"/>
                <w:szCs w:val="10"/>
                <w:lang w:eastAsia="es-ES"/>
              </w:rPr>
            </w:pPr>
          </w:p>
        </w:tc>
        <w:tc>
          <w:tcPr>
            <w:tcW w:w="966" w:type="dxa"/>
            <w:tcBorders>
              <w:top w:val="nil"/>
            </w:tcBorders>
            <w:vAlign w:val="center"/>
          </w:tcPr>
          <w:p w14:paraId="16DD090B" w14:textId="77777777" w:rsidR="00E5175E" w:rsidRPr="00E5175E" w:rsidRDefault="00E5175E" w:rsidP="008D7BB4">
            <w:pPr>
              <w:spacing w:line="276" w:lineRule="auto"/>
              <w:contextualSpacing/>
              <w:jc w:val="center"/>
              <w:rPr>
                <w:rFonts w:ascii="Times New Roman" w:eastAsia="Times New Roman" w:hAnsi="Times New Roman"/>
                <w:b/>
                <w:sz w:val="10"/>
                <w:szCs w:val="10"/>
                <w:lang w:eastAsia="es-ES"/>
              </w:rPr>
            </w:pPr>
            <w:r w:rsidRPr="00E5175E">
              <w:rPr>
                <w:rFonts w:ascii="Times New Roman" w:eastAsia="Times New Roman" w:hAnsi="Times New Roman"/>
                <w:b/>
                <w:sz w:val="10"/>
                <w:szCs w:val="10"/>
                <w:lang w:val="es-ES_tradnl" w:eastAsia="es-ES"/>
              </w:rPr>
              <w:t>ND</w:t>
            </w:r>
          </w:p>
        </w:tc>
        <w:tc>
          <w:tcPr>
            <w:tcW w:w="966" w:type="dxa"/>
            <w:tcBorders>
              <w:top w:val="nil"/>
            </w:tcBorders>
            <w:vAlign w:val="center"/>
          </w:tcPr>
          <w:p w14:paraId="38B0AB96" w14:textId="77777777"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a enero 2023</w:t>
            </w:r>
          </w:p>
          <w:p w14:paraId="6CB362FF" w14:textId="30DF7400"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Calibri" w:eastAsia="Times New Roman" w:hAnsi="Calibri"/>
                <w:noProof/>
                <w:sz w:val="10"/>
                <w:szCs w:val="10"/>
                <w:lang w:eastAsia="es-GT"/>
              </w:rPr>
              <w:drawing>
                <wp:inline distT="0" distB="0" distL="0" distR="0" wp14:anchorId="03A69533" wp14:editId="5ED51DA7">
                  <wp:extent cx="79375" cy="63500"/>
                  <wp:effectExtent l="0" t="0" r="0" b="0"/>
                  <wp:docPr id="350" name="Imagen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9375" cy="63500"/>
                          </a:xfrm>
                          <a:prstGeom prst="rect">
                            <a:avLst/>
                          </a:prstGeom>
                          <a:noFill/>
                          <a:ln>
                            <a:noFill/>
                          </a:ln>
                        </pic:spPr>
                      </pic:pic>
                    </a:graphicData>
                  </a:graphic>
                </wp:inline>
              </w:drawing>
            </w:r>
            <w:r w:rsidRPr="00E5175E">
              <w:rPr>
                <w:rFonts w:ascii="Times New Roman" w:eastAsia="Times New Roman" w:hAnsi="Times New Roman"/>
                <w:sz w:val="10"/>
                <w:szCs w:val="10"/>
                <w:lang w:eastAsia="es-ES"/>
              </w:rPr>
              <w:t xml:space="preserve">  3.75%</w:t>
            </w:r>
          </w:p>
          <w:p w14:paraId="38E9B1BF" w14:textId="77777777" w:rsidR="00E5175E" w:rsidRPr="00E5175E" w:rsidRDefault="00E5175E" w:rsidP="008D7BB4">
            <w:pPr>
              <w:spacing w:line="276" w:lineRule="auto"/>
              <w:contextualSpacing/>
              <w:jc w:val="center"/>
              <w:rPr>
                <w:rFonts w:ascii="Times New Roman" w:eastAsia="Times New Roman" w:hAnsi="Times New Roman"/>
                <w:sz w:val="10"/>
                <w:szCs w:val="10"/>
                <w:lang w:eastAsia="es-ES"/>
              </w:rPr>
            </w:pPr>
          </w:p>
        </w:tc>
        <w:tc>
          <w:tcPr>
            <w:tcW w:w="967" w:type="dxa"/>
            <w:tcBorders>
              <w:top w:val="nil"/>
            </w:tcBorders>
            <w:vAlign w:val="center"/>
          </w:tcPr>
          <w:p w14:paraId="7854AF72" w14:textId="77777777"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a enero 2023</w:t>
            </w:r>
          </w:p>
          <w:p w14:paraId="63DB980E" w14:textId="58236BBD"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Calibri" w:eastAsia="Times New Roman" w:hAnsi="Calibri"/>
                <w:noProof/>
                <w:sz w:val="10"/>
                <w:szCs w:val="10"/>
                <w:lang w:eastAsia="es-GT"/>
              </w:rPr>
              <w:drawing>
                <wp:inline distT="0" distB="0" distL="0" distR="0" wp14:anchorId="28B67722" wp14:editId="3152FF93">
                  <wp:extent cx="79375" cy="63500"/>
                  <wp:effectExtent l="0" t="0" r="0" b="0"/>
                  <wp:docPr id="349" name="Imagen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9375" cy="63500"/>
                          </a:xfrm>
                          <a:prstGeom prst="rect">
                            <a:avLst/>
                          </a:prstGeom>
                          <a:noFill/>
                          <a:ln>
                            <a:noFill/>
                          </a:ln>
                        </pic:spPr>
                      </pic:pic>
                    </a:graphicData>
                  </a:graphic>
                </wp:inline>
              </w:drawing>
            </w:r>
            <w:r w:rsidRPr="00E5175E">
              <w:rPr>
                <w:rFonts w:ascii="Times New Roman" w:eastAsia="Times New Roman" w:hAnsi="Times New Roman"/>
                <w:sz w:val="10"/>
                <w:szCs w:val="10"/>
                <w:lang w:eastAsia="es-ES"/>
              </w:rPr>
              <w:t xml:space="preserve">  3.0%</w:t>
            </w:r>
          </w:p>
          <w:p w14:paraId="7A6543CC" w14:textId="77777777" w:rsidR="00E5175E" w:rsidRPr="00E5175E" w:rsidRDefault="00E5175E" w:rsidP="008D7BB4">
            <w:pPr>
              <w:spacing w:line="276" w:lineRule="auto"/>
              <w:contextualSpacing/>
              <w:jc w:val="center"/>
              <w:rPr>
                <w:rFonts w:ascii="Times New Roman" w:eastAsia="Times New Roman" w:hAnsi="Times New Roman"/>
                <w:sz w:val="10"/>
                <w:szCs w:val="10"/>
                <w:lang w:eastAsia="es-ES"/>
              </w:rPr>
            </w:pPr>
          </w:p>
        </w:tc>
        <w:tc>
          <w:tcPr>
            <w:tcW w:w="966" w:type="dxa"/>
            <w:tcBorders>
              <w:top w:val="nil"/>
            </w:tcBorders>
            <w:vAlign w:val="center"/>
          </w:tcPr>
          <w:p w14:paraId="19E6ECD6" w14:textId="77777777"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a enero 2023</w:t>
            </w:r>
          </w:p>
          <w:p w14:paraId="4B188DCE" w14:textId="76E4DE6B"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Calibri" w:eastAsia="Times New Roman" w:hAnsi="Calibri"/>
                <w:noProof/>
                <w:sz w:val="10"/>
                <w:szCs w:val="10"/>
                <w:lang w:eastAsia="es-GT"/>
              </w:rPr>
              <w:drawing>
                <wp:inline distT="0" distB="0" distL="0" distR="0" wp14:anchorId="7B051044" wp14:editId="6FB110F8">
                  <wp:extent cx="79375" cy="63500"/>
                  <wp:effectExtent l="0" t="0" r="0" b="0"/>
                  <wp:docPr id="348" name="Imagen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9375" cy="63500"/>
                          </a:xfrm>
                          <a:prstGeom prst="rect">
                            <a:avLst/>
                          </a:prstGeom>
                          <a:noFill/>
                          <a:ln>
                            <a:noFill/>
                          </a:ln>
                        </pic:spPr>
                      </pic:pic>
                    </a:graphicData>
                  </a:graphic>
                </wp:inline>
              </w:drawing>
            </w:r>
            <w:r w:rsidRPr="00E5175E">
              <w:rPr>
                <w:rFonts w:ascii="Times New Roman" w:eastAsia="Times New Roman" w:hAnsi="Times New Roman"/>
                <w:sz w:val="10"/>
                <w:szCs w:val="10"/>
                <w:lang w:eastAsia="es-ES"/>
              </w:rPr>
              <w:t xml:space="preserve">  7.0%</w:t>
            </w:r>
          </w:p>
          <w:p w14:paraId="0804FD4B" w14:textId="77777777" w:rsidR="00E5175E" w:rsidRPr="00E5175E" w:rsidRDefault="00E5175E" w:rsidP="008D7BB4">
            <w:pPr>
              <w:spacing w:line="276" w:lineRule="auto"/>
              <w:contextualSpacing/>
              <w:jc w:val="center"/>
              <w:rPr>
                <w:rFonts w:ascii="Times New Roman" w:eastAsia="Times New Roman" w:hAnsi="Times New Roman"/>
                <w:sz w:val="10"/>
                <w:szCs w:val="10"/>
                <w:lang w:eastAsia="es-ES"/>
              </w:rPr>
            </w:pPr>
          </w:p>
        </w:tc>
        <w:tc>
          <w:tcPr>
            <w:tcW w:w="966" w:type="dxa"/>
            <w:tcBorders>
              <w:top w:val="nil"/>
            </w:tcBorders>
            <w:vAlign w:val="center"/>
          </w:tcPr>
          <w:p w14:paraId="4275D779" w14:textId="77777777"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a enero 2023</w:t>
            </w:r>
          </w:p>
          <w:p w14:paraId="3DD823C2" w14:textId="552C9F3E"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Calibri" w:eastAsia="Times New Roman" w:hAnsi="Calibri"/>
                <w:noProof/>
                <w:sz w:val="10"/>
                <w:szCs w:val="10"/>
                <w:lang w:eastAsia="es-GT"/>
              </w:rPr>
              <w:drawing>
                <wp:inline distT="0" distB="0" distL="0" distR="0" wp14:anchorId="0C4DF465" wp14:editId="63F8A707">
                  <wp:extent cx="79375" cy="63500"/>
                  <wp:effectExtent l="0" t="0" r="0" b="0"/>
                  <wp:docPr id="347" name="Imagen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9375" cy="63500"/>
                          </a:xfrm>
                          <a:prstGeom prst="rect">
                            <a:avLst/>
                          </a:prstGeom>
                          <a:noFill/>
                          <a:ln>
                            <a:noFill/>
                          </a:ln>
                        </pic:spPr>
                      </pic:pic>
                    </a:graphicData>
                  </a:graphic>
                </wp:inline>
              </w:drawing>
            </w:r>
            <w:r w:rsidRPr="00E5175E">
              <w:rPr>
                <w:rFonts w:ascii="Times New Roman" w:eastAsia="Times New Roman" w:hAnsi="Times New Roman"/>
                <w:sz w:val="10"/>
                <w:szCs w:val="10"/>
                <w:lang w:eastAsia="es-ES"/>
              </w:rPr>
              <w:t xml:space="preserve">  8.5%</w:t>
            </w:r>
          </w:p>
          <w:p w14:paraId="27E0AB69" w14:textId="77777777" w:rsidR="00E5175E" w:rsidRPr="00E5175E" w:rsidRDefault="00E5175E" w:rsidP="008D7BB4">
            <w:pPr>
              <w:spacing w:line="276" w:lineRule="auto"/>
              <w:contextualSpacing/>
              <w:jc w:val="center"/>
              <w:rPr>
                <w:rFonts w:ascii="Times New Roman" w:eastAsia="Times New Roman" w:hAnsi="Times New Roman"/>
                <w:sz w:val="10"/>
                <w:szCs w:val="10"/>
                <w:lang w:eastAsia="es-ES"/>
              </w:rPr>
            </w:pPr>
          </w:p>
        </w:tc>
        <w:tc>
          <w:tcPr>
            <w:tcW w:w="967" w:type="dxa"/>
            <w:tcBorders>
              <w:top w:val="nil"/>
            </w:tcBorders>
            <w:vAlign w:val="center"/>
          </w:tcPr>
          <w:p w14:paraId="711C9E21" w14:textId="77777777" w:rsidR="00E5175E" w:rsidRPr="00E5175E" w:rsidRDefault="00E5175E" w:rsidP="008D7BB4">
            <w:pPr>
              <w:spacing w:line="276" w:lineRule="auto"/>
              <w:contextualSpacing/>
              <w:jc w:val="center"/>
              <w:rPr>
                <w:rFonts w:ascii="Calibri" w:eastAsia="Times New Roman" w:hAnsi="Calibri"/>
                <w:b/>
                <w:sz w:val="10"/>
                <w:szCs w:val="10"/>
                <w:lang w:eastAsia="es-ES"/>
              </w:rPr>
            </w:pPr>
            <w:r w:rsidRPr="00E5175E">
              <w:rPr>
                <w:rFonts w:ascii="Calibri" w:eastAsia="Times New Roman" w:hAnsi="Calibri"/>
                <w:b/>
                <w:sz w:val="10"/>
                <w:szCs w:val="10"/>
                <w:lang w:eastAsia="es-ES"/>
              </w:rPr>
              <w:t>ND</w:t>
            </w:r>
          </w:p>
        </w:tc>
      </w:tr>
      <w:tr w:rsidR="00E5175E" w:rsidRPr="00E5175E" w14:paraId="6A6B004A" w14:textId="77777777" w:rsidTr="006825AB">
        <w:trPr>
          <w:trHeight w:val="18"/>
          <w:jc w:val="center"/>
        </w:trPr>
        <w:tc>
          <w:tcPr>
            <w:tcW w:w="1830" w:type="dxa"/>
            <w:shd w:val="clear" w:color="auto" w:fill="D9E2F3"/>
            <w:vAlign w:val="center"/>
          </w:tcPr>
          <w:p w14:paraId="691C8A27" w14:textId="77777777" w:rsidR="00E5175E" w:rsidRPr="00E5175E" w:rsidRDefault="00E5175E" w:rsidP="008D7BB4">
            <w:pPr>
              <w:spacing w:line="276" w:lineRule="auto"/>
              <w:contextualSpacing/>
              <w:rPr>
                <w:rFonts w:ascii="Times New Roman" w:eastAsia="Times New Roman" w:hAnsi="Times New Roman"/>
                <w:sz w:val="16"/>
                <w:szCs w:val="10"/>
                <w:lang w:eastAsia="es-ES"/>
              </w:rPr>
            </w:pPr>
            <w:r w:rsidRPr="00E5175E">
              <w:rPr>
                <w:rFonts w:ascii="Times New Roman" w:eastAsia="Times New Roman" w:hAnsi="Times New Roman"/>
                <w:sz w:val="16"/>
                <w:szCs w:val="10"/>
                <w:lang w:eastAsia="es-ES"/>
              </w:rPr>
              <w:t>Exportaciones totales</w:t>
            </w:r>
          </w:p>
        </w:tc>
        <w:tc>
          <w:tcPr>
            <w:tcW w:w="966" w:type="dxa"/>
            <w:shd w:val="clear" w:color="auto" w:fill="D9E2F3"/>
            <w:vAlign w:val="center"/>
          </w:tcPr>
          <w:p w14:paraId="06ECF6A1" w14:textId="77777777" w:rsidR="00E5175E" w:rsidRPr="00E5175E" w:rsidRDefault="00E5175E" w:rsidP="008D7BB4">
            <w:pPr>
              <w:spacing w:line="276" w:lineRule="auto"/>
              <w:contextualSpacing/>
              <w:rPr>
                <w:rFonts w:ascii="Times New Roman" w:eastAsia="Times New Roman" w:hAnsi="Times New Roman"/>
                <w:sz w:val="10"/>
                <w:szCs w:val="10"/>
                <w:lang w:val="es-ES_tradnl" w:eastAsia="es-ES"/>
              </w:rPr>
            </w:pPr>
            <w:r w:rsidRPr="00E5175E">
              <w:rPr>
                <w:rFonts w:ascii="Times New Roman" w:eastAsia="Times New Roman" w:hAnsi="Times New Roman"/>
                <w:sz w:val="10"/>
                <w:szCs w:val="10"/>
                <w:lang w:eastAsia="es-ES"/>
              </w:rPr>
              <w:t>a marzo 2022</w:t>
            </w:r>
          </w:p>
          <w:p w14:paraId="4BBE26A6" w14:textId="77777777" w:rsidR="00E5175E" w:rsidRPr="00E5175E" w:rsidRDefault="00E5175E" w:rsidP="008D7BB4">
            <w:pPr>
              <w:spacing w:line="276" w:lineRule="auto"/>
              <w:contextualSpacing/>
              <w:rPr>
                <w:rFonts w:ascii="Times New Roman" w:eastAsia="Times New Roman" w:hAnsi="Times New Roman"/>
                <w:sz w:val="10"/>
                <w:szCs w:val="10"/>
                <w:lang w:eastAsia="es-ES"/>
              </w:rPr>
            </w:pPr>
          </w:p>
          <w:p w14:paraId="58DD95EE" w14:textId="211EE1C1" w:rsidR="00E5175E" w:rsidRPr="00E5175E" w:rsidRDefault="00E5175E" w:rsidP="008D7BB4">
            <w:pPr>
              <w:spacing w:line="276" w:lineRule="auto"/>
              <w:contextualSpacing/>
              <w:rPr>
                <w:rFonts w:ascii="Times New Roman" w:eastAsia="Times New Roman" w:hAnsi="Times New Roman"/>
                <w:sz w:val="10"/>
                <w:szCs w:val="10"/>
                <w:lang w:val="es-ES_tradnl" w:eastAsia="es-ES"/>
              </w:rPr>
            </w:pPr>
            <w:r w:rsidRPr="00E5175E">
              <w:rPr>
                <w:rFonts w:ascii="Calibri" w:eastAsia="Times New Roman" w:hAnsi="Calibri"/>
                <w:noProof/>
                <w:sz w:val="10"/>
                <w:szCs w:val="10"/>
                <w:lang w:eastAsia="es-GT"/>
              </w:rPr>
              <w:drawing>
                <wp:inline distT="0" distB="0" distL="0" distR="0" wp14:anchorId="25A58B8D" wp14:editId="37465B07">
                  <wp:extent cx="79375" cy="63500"/>
                  <wp:effectExtent l="0" t="0" r="0" b="0"/>
                  <wp:docPr id="346" name="Imagen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9375" cy="63500"/>
                          </a:xfrm>
                          <a:prstGeom prst="rect">
                            <a:avLst/>
                          </a:prstGeom>
                          <a:noFill/>
                          <a:ln>
                            <a:noFill/>
                          </a:ln>
                        </pic:spPr>
                      </pic:pic>
                    </a:graphicData>
                  </a:graphic>
                </wp:inline>
              </w:drawing>
            </w:r>
            <w:r w:rsidRPr="00E5175E">
              <w:rPr>
                <w:rFonts w:ascii="Times New Roman" w:eastAsia="Times New Roman" w:hAnsi="Times New Roman"/>
                <w:sz w:val="10"/>
                <w:szCs w:val="10"/>
                <w:lang w:eastAsia="es-ES"/>
              </w:rPr>
              <w:t xml:space="preserve">  13.94%</w:t>
            </w:r>
          </w:p>
          <w:p w14:paraId="47CDAD51" w14:textId="77777777" w:rsidR="00E5175E" w:rsidRPr="00E5175E" w:rsidRDefault="00E5175E" w:rsidP="008D7BB4">
            <w:pPr>
              <w:spacing w:line="276" w:lineRule="auto"/>
              <w:contextualSpacing/>
              <w:rPr>
                <w:rFonts w:ascii="Times New Roman" w:eastAsia="Times New Roman" w:hAnsi="Times New Roman"/>
                <w:sz w:val="10"/>
                <w:szCs w:val="10"/>
                <w:lang w:eastAsia="es-ES"/>
              </w:rPr>
            </w:pPr>
          </w:p>
          <w:p w14:paraId="387EDECF" w14:textId="77777777" w:rsidR="00E5175E" w:rsidRPr="00E5175E" w:rsidRDefault="00E5175E" w:rsidP="008D7BB4">
            <w:pPr>
              <w:spacing w:line="276" w:lineRule="auto"/>
              <w:contextualSpacing/>
              <w:jc w:val="right"/>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$ 4,310.67</w:t>
            </w:r>
          </w:p>
        </w:tc>
        <w:tc>
          <w:tcPr>
            <w:tcW w:w="966" w:type="dxa"/>
            <w:shd w:val="clear" w:color="auto" w:fill="D9E2F3"/>
            <w:vAlign w:val="center"/>
          </w:tcPr>
          <w:p w14:paraId="763671A1" w14:textId="77777777" w:rsidR="00E5175E" w:rsidRPr="00E5175E" w:rsidRDefault="00E5175E" w:rsidP="008D7BB4">
            <w:pPr>
              <w:spacing w:line="276" w:lineRule="auto"/>
              <w:contextualSpacing/>
              <w:rPr>
                <w:rFonts w:ascii="Times New Roman" w:eastAsia="Times New Roman" w:hAnsi="Times New Roman"/>
                <w:sz w:val="10"/>
                <w:szCs w:val="10"/>
                <w:lang w:val="es-ES_tradnl" w:eastAsia="es-ES"/>
              </w:rPr>
            </w:pPr>
            <w:r w:rsidRPr="00E5175E">
              <w:rPr>
                <w:rFonts w:ascii="Times New Roman" w:eastAsia="Times New Roman" w:hAnsi="Times New Roman"/>
                <w:sz w:val="10"/>
                <w:szCs w:val="10"/>
                <w:lang w:eastAsia="es-ES"/>
              </w:rPr>
              <w:t>a octubre 2022</w:t>
            </w:r>
          </w:p>
          <w:p w14:paraId="21B223CD" w14:textId="77777777" w:rsidR="00E5175E" w:rsidRPr="00E5175E" w:rsidRDefault="00E5175E" w:rsidP="008D7BB4">
            <w:pPr>
              <w:spacing w:line="276" w:lineRule="auto"/>
              <w:contextualSpacing/>
              <w:jc w:val="both"/>
              <w:rPr>
                <w:rFonts w:ascii="Times New Roman" w:eastAsia="Times New Roman" w:hAnsi="Times New Roman"/>
                <w:sz w:val="10"/>
                <w:szCs w:val="10"/>
                <w:lang w:eastAsia="es-ES"/>
              </w:rPr>
            </w:pPr>
          </w:p>
          <w:p w14:paraId="4A14421E" w14:textId="508FF05E"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Calibri" w:eastAsia="Times New Roman" w:hAnsi="Calibri"/>
                <w:noProof/>
                <w:sz w:val="10"/>
                <w:szCs w:val="10"/>
                <w:lang w:eastAsia="es-GT"/>
              </w:rPr>
              <w:drawing>
                <wp:inline distT="0" distB="0" distL="0" distR="0" wp14:anchorId="5AE7774A" wp14:editId="268828BF">
                  <wp:extent cx="55880" cy="55880"/>
                  <wp:effectExtent l="0" t="0" r="1270" b="1270"/>
                  <wp:docPr id="345" name="Imagen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880" cy="55880"/>
                          </a:xfrm>
                          <a:prstGeom prst="rect">
                            <a:avLst/>
                          </a:prstGeom>
                          <a:noFill/>
                          <a:ln>
                            <a:noFill/>
                          </a:ln>
                        </pic:spPr>
                      </pic:pic>
                    </a:graphicData>
                  </a:graphic>
                </wp:inline>
              </w:drawing>
            </w:r>
            <w:r w:rsidRPr="00E5175E">
              <w:rPr>
                <w:rFonts w:ascii="Times New Roman" w:eastAsia="Times New Roman" w:hAnsi="Times New Roman"/>
                <w:sz w:val="10"/>
                <w:szCs w:val="10"/>
                <w:lang w:eastAsia="es-ES"/>
              </w:rPr>
              <w:t xml:space="preserve">  13.88%</w:t>
            </w:r>
          </w:p>
          <w:p w14:paraId="06396027" w14:textId="77777777" w:rsidR="00E5175E" w:rsidRPr="00E5175E" w:rsidRDefault="00E5175E" w:rsidP="008D7BB4">
            <w:pPr>
              <w:spacing w:line="276" w:lineRule="auto"/>
              <w:contextualSpacing/>
              <w:jc w:val="center"/>
              <w:rPr>
                <w:rFonts w:ascii="Times New Roman" w:eastAsia="Times New Roman" w:hAnsi="Times New Roman"/>
                <w:sz w:val="10"/>
                <w:szCs w:val="10"/>
                <w:lang w:eastAsia="es-ES"/>
              </w:rPr>
            </w:pPr>
          </w:p>
          <w:p w14:paraId="622A772E" w14:textId="77777777" w:rsidR="00E5175E" w:rsidRPr="00E5175E" w:rsidRDefault="00E5175E" w:rsidP="008D7BB4">
            <w:pPr>
              <w:spacing w:line="276" w:lineRule="auto"/>
              <w:contextualSpacing/>
              <w:jc w:val="right"/>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$ 6,260.77</w:t>
            </w:r>
          </w:p>
        </w:tc>
        <w:tc>
          <w:tcPr>
            <w:tcW w:w="966" w:type="dxa"/>
            <w:shd w:val="clear" w:color="auto" w:fill="D9E2F3"/>
            <w:vAlign w:val="center"/>
          </w:tcPr>
          <w:p w14:paraId="122B16B3" w14:textId="77777777" w:rsidR="00E5175E" w:rsidRPr="00E5175E" w:rsidRDefault="00E5175E" w:rsidP="008D7BB4">
            <w:pPr>
              <w:spacing w:line="276" w:lineRule="auto"/>
              <w:contextualSpacing/>
              <w:rPr>
                <w:rFonts w:ascii="Times New Roman" w:eastAsia="Times New Roman" w:hAnsi="Times New Roman"/>
                <w:sz w:val="10"/>
                <w:szCs w:val="10"/>
                <w:lang w:val="es-ES_tradnl" w:eastAsia="es-ES"/>
              </w:rPr>
            </w:pPr>
            <w:r w:rsidRPr="00E5175E">
              <w:rPr>
                <w:rFonts w:ascii="Times New Roman" w:eastAsia="Times New Roman" w:hAnsi="Times New Roman"/>
                <w:sz w:val="10"/>
                <w:szCs w:val="10"/>
                <w:lang w:eastAsia="es-ES"/>
              </w:rPr>
              <w:t>a septiembre 2022</w:t>
            </w:r>
          </w:p>
          <w:p w14:paraId="1A129597" w14:textId="77777777" w:rsidR="00E5175E" w:rsidRPr="00E5175E" w:rsidRDefault="00E5175E" w:rsidP="008D7BB4">
            <w:pPr>
              <w:spacing w:line="276" w:lineRule="auto"/>
              <w:contextualSpacing/>
              <w:rPr>
                <w:rFonts w:ascii="Times New Roman" w:eastAsia="Times New Roman" w:hAnsi="Times New Roman"/>
                <w:sz w:val="10"/>
                <w:szCs w:val="10"/>
                <w:lang w:eastAsia="es-ES"/>
              </w:rPr>
            </w:pPr>
          </w:p>
          <w:p w14:paraId="56017D0C" w14:textId="3DFA45F4"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Calibri" w:eastAsia="Times New Roman" w:hAnsi="Calibri"/>
                <w:noProof/>
                <w:sz w:val="10"/>
                <w:szCs w:val="10"/>
                <w:lang w:eastAsia="es-GT"/>
              </w:rPr>
              <w:drawing>
                <wp:inline distT="0" distB="0" distL="0" distR="0" wp14:anchorId="7CD82E44" wp14:editId="667552E7">
                  <wp:extent cx="55880" cy="55880"/>
                  <wp:effectExtent l="0" t="0" r="1270" b="1270"/>
                  <wp:docPr id="344" name="Imagen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880" cy="55880"/>
                          </a:xfrm>
                          <a:prstGeom prst="rect">
                            <a:avLst/>
                          </a:prstGeom>
                          <a:noFill/>
                          <a:ln>
                            <a:noFill/>
                          </a:ln>
                        </pic:spPr>
                      </pic:pic>
                    </a:graphicData>
                  </a:graphic>
                </wp:inline>
              </w:drawing>
            </w:r>
            <w:r w:rsidRPr="00E5175E">
              <w:rPr>
                <w:rFonts w:ascii="Times New Roman" w:eastAsia="Times New Roman" w:hAnsi="Times New Roman"/>
                <w:sz w:val="10"/>
                <w:szCs w:val="10"/>
                <w:lang w:eastAsia="es-ES"/>
              </w:rPr>
              <w:t xml:space="preserve">  19.82%</w:t>
            </w:r>
          </w:p>
          <w:p w14:paraId="1227223C" w14:textId="77777777" w:rsidR="00E5175E" w:rsidRPr="00E5175E" w:rsidRDefault="00E5175E" w:rsidP="008D7BB4">
            <w:pPr>
              <w:spacing w:line="276" w:lineRule="auto"/>
              <w:contextualSpacing/>
              <w:jc w:val="center"/>
              <w:rPr>
                <w:rFonts w:ascii="Times New Roman" w:eastAsia="Times New Roman" w:hAnsi="Times New Roman"/>
                <w:sz w:val="10"/>
                <w:szCs w:val="10"/>
                <w:lang w:eastAsia="es-ES"/>
              </w:rPr>
            </w:pPr>
          </w:p>
          <w:p w14:paraId="0259085B" w14:textId="77777777" w:rsidR="00E5175E" w:rsidRPr="00E5175E" w:rsidRDefault="00E5175E" w:rsidP="008D7BB4">
            <w:pPr>
              <w:spacing w:line="276" w:lineRule="auto"/>
              <w:contextualSpacing/>
              <w:jc w:val="right"/>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$ 12,075.8</w:t>
            </w:r>
          </w:p>
        </w:tc>
        <w:tc>
          <w:tcPr>
            <w:tcW w:w="967" w:type="dxa"/>
            <w:shd w:val="clear" w:color="auto" w:fill="D9E2F3"/>
            <w:vAlign w:val="center"/>
          </w:tcPr>
          <w:p w14:paraId="2CA23326" w14:textId="77777777" w:rsidR="00E5175E" w:rsidRPr="00E5175E" w:rsidRDefault="00E5175E" w:rsidP="008D7BB4">
            <w:pPr>
              <w:spacing w:line="276" w:lineRule="auto"/>
              <w:contextualSpacing/>
              <w:rPr>
                <w:rFonts w:ascii="Times New Roman" w:eastAsia="Times New Roman" w:hAnsi="Times New Roman"/>
                <w:sz w:val="10"/>
                <w:szCs w:val="10"/>
                <w:lang w:val="es-ES_tradnl" w:eastAsia="es-ES"/>
              </w:rPr>
            </w:pPr>
            <w:r w:rsidRPr="00E5175E">
              <w:rPr>
                <w:rFonts w:ascii="Times New Roman" w:eastAsia="Times New Roman" w:hAnsi="Times New Roman"/>
                <w:sz w:val="10"/>
                <w:szCs w:val="10"/>
                <w:lang w:eastAsia="es-ES"/>
              </w:rPr>
              <w:t>a septiembre 2022</w:t>
            </w:r>
          </w:p>
          <w:p w14:paraId="6590F319" w14:textId="77777777" w:rsidR="00E5175E" w:rsidRPr="00E5175E" w:rsidRDefault="00E5175E" w:rsidP="008D7BB4">
            <w:pPr>
              <w:spacing w:line="276" w:lineRule="auto"/>
              <w:contextualSpacing/>
              <w:rPr>
                <w:rFonts w:ascii="Times New Roman" w:eastAsia="Times New Roman" w:hAnsi="Times New Roman"/>
                <w:sz w:val="10"/>
                <w:szCs w:val="10"/>
                <w:lang w:eastAsia="es-ES"/>
              </w:rPr>
            </w:pPr>
          </w:p>
          <w:p w14:paraId="04CB0311" w14:textId="59CDAF20"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Calibri" w:eastAsia="Times New Roman" w:hAnsi="Calibri"/>
                <w:noProof/>
                <w:sz w:val="10"/>
                <w:szCs w:val="10"/>
                <w:lang w:eastAsia="es-GT"/>
              </w:rPr>
              <w:drawing>
                <wp:inline distT="0" distB="0" distL="0" distR="0" wp14:anchorId="0C73E57C" wp14:editId="7C581294">
                  <wp:extent cx="55880" cy="55880"/>
                  <wp:effectExtent l="0" t="0" r="1270" b="1270"/>
                  <wp:docPr id="343" name="Imagen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880" cy="55880"/>
                          </a:xfrm>
                          <a:prstGeom prst="rect">
                            <a:avLst/>
                          </a:prstGeom>
                          <a:noFill/>
                          <a:ln>
                            <a:noFill/>
                          </a:ln>
                        </pic:spPr>
                      </pic:pic>
                    </a:graphicData>
                  </a:graphic>
                </wp:inline>
              </w:drawing>
            </w:r>
            <w:r w:rsidRPr="00E5175E">
              <w:rPr>
                <w:rFonts w:ascii="Times New Roman" w:eastAsia="Times New Roman" w:hAnsi="Times New Roman"/>
                <w:sz w:val="10"/>
                <w:szCs w:val="10"/>
                <w:lang w:eastAsia="es-ES"/>
              </w:rPr>
              <w:t xml:space="preserve">  23.61%</w:t>
            </w:r>
          </w:p>
          <w:p w14:paraId="7B4155C0" w14:textId="77777777" w:rsidR="00E5175E" w:rsidRPr="00E5175E" w:rsidRDefault="00E5175E" w:rsidP="008D7BB4">
            <w:pPr>
              <w:spacing w:line="276" w:lineRule="auto"/>
              <w:contextualSpacing/>
              <w:jc w:val="center"/>
              <w:rPr>
                <w:rFonts w:ascii="Times New Roman" w:eastAsia="Times New Roman" w:hAnsi="Times New Roman"/>
                <w:sz w:val="10"/>
                <w:szCs w:val="10"/>
                <w:lang w:eastAsia="es-ES"/>
              </w:rPr>
            </w:pPr>
          </w:p>
          <w:p w14:paraId="148397E5" w14:textId="77777777" w:rsidR="00E5175E" w:rsidRPr="00E5175E" w:rsidRDefault="00E5175E" w:rsidP="008D7BB4">
            <w:pPr>
              <w:spacing w:line="276" w:lineRule="auto"/>
              <w:contextualSpacing/>
              <w:jc w:val="right"/>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$ 4,913.05</w:t>
            </w:r>
          </w:p>
        </w:tc>
        <w:tc>
          <w:tcPr>
            <w:tcW w:w="966" w:type="dxa"/>
            <w:shd w:val="clear" w:color="auto" w:fill="D9E2F3"/>
            <w:vAlign w:val="center"/>
          </w:tcPr>
          <w:p w14:paraId="1766EA76" w14:textId="77777777" w:rsidR="00E5175E" w:rsidRPr="00E5175E" w:rsidRDefault="00E5175E" w:rsidP="008D7BB4">
            <w:pPr>
              <w:spacing w:line="276" w:lineRule="auto"/>
              <w:contextualSpacing/>
              <w:rPr>
                <w:rFonts w:ascii="Times New Roman" w:eastAsia="Times New Roman" w:hAnsi="Times New Roman"/>
                <w:sz w:val="10"/>
                <w:szCs w:val="10"/>
                <w:lang w:val="es-ES_tradnl" w:eastAsia="es-ES"/>
              </w:rPr>
            </w:pPr>
            <w:r w:rsidRPr="00E5175E">
              <w:rPr>
                <w:rFonts w:ascii="Times New Roman" w:eastAsia="Times New Roman" w:hAnsi="Times New Roman"/>
                <w:sz w:val="10"/>
                <w:szCs w:val="10"/>
                <w:lang w:val="es-ES_tradnl" w:eastAsia="es-ES"/>
              </w:rPr>
              <w:t xml:space="preserve">a septiembre </w:t>
            </w:r>
            <w:r w:rsidRPr="00E5175E">
              <w:rPr>
                <w:rFonts w:ascii="Times New Roman" w:eastAsia="Times New Roman" w:hAnsi="Times New Roman"/>
                <w:sz w:val="10"/>
                <w:szCs w:val="10"/>
                <w:lang w:eastAsia="es-ES"/>
              </w:rPr>
              <w:t>2022</w:t>
            </w:r>
          </w:p>
          <w:p w14:paraId="623D622B" w14:textId="77777777" w:rsidR="00E5175E" w:rsidRPr="00E5175E" w:rsidRDefault="00E5175E" w:rsidP="008D7BB4">
            <w:pPr>
              <w:spacing w:line="276" w:lineRule="auto"/>
              <w:contextualSpacing/>
              <w:rPr>
                <w:rFonts w:ascii="Times New Roman" w:eastAsia="Times New Roman" w:hAnsi="Times New Roman"/>
                <w:sz w:val="10"/>
                <w:szCs w:val="10"/>
                <w:lang w:eastAsia="es-ES"/>
              </w:rPr>
            </w:pPr>
          </w:p>
          <w:p w14:paraId="67EBF964" w14:textId="42DF7233"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Calibri" w:eastAsia="Times New Roman" w:hAnsi="Calibri"/>
                <w:noProof/>
                <w:sz w:val="10"/>
                <w:szCs w:val="10"/>
                <w:lang w:eastAsia="es-GT"/>
              </w:rPr>
              <w:drawing>
                <wp:inline distT="0" distB="0" distL="0" distR="0" wp14:anchorId="55378669" wp14:editId="598E4AFB">
                  <wp:extent cx="55880" cy="55880"/>
                  <wp:effectExtent l="0" t="0" r="1270" b="1270"/>
                  <wp:docPr id="342" name="Imagen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880" cy="55880"/>
                          </a:xfrm>
                          <a:prstGeom prst="rect">
                            <a:avLst/>
                          </a:prstGeom>
                          <a:noFill/>
                          <a:ln>
                            <a:noFill/>
                          </a:ln>
                        </pic:spPr>
                      </pic:pic>
                    </a:graphicData>
                  </a:graphic>
                </wp:inline>
              </w:drawing>
            </w:r>
            <w:r w:rsidRPr="00E5175E">
              <w:rPr>
                <w:rFonts w:ascii="Times New Roman" w:eastAsia="Times New Roman" w:hAnsi="Times New Roman"/>
                <w:sz w:val="10"/>
                <w:szCs w:val="10"/>
                <w:lang w:eastAsia="es-ES"/>
              </w:rPr>
              <w:t xml:space="preserve">  18.79%</w:t>
            </w:r>
          </w:p>
          <w:p w14:paraId="62CB4F23" w14:textId="77777777" w:rsidR="00E5175E" w:rsidRPr="00E5175E" w:rsidRDefault="00E5175E" w:rsidP="008D7BB4">
            <w:pPr>
              <w:spacing w:line="276" w:lineRule="auto"/>
              <w:contextualSpacing/>
              <w:jc w:val="center"/>
              <w:rPr>
                <w:rFonts w:ascii="Times New Roman" w:eastAsia="Times New Roman" w:hAnsi="Times New Roman"/>
                <w:sz w:val="10"/>
                <w:szCs w:val="10"/>
                <w:lang w:eastAsia="es-ES"/>
              </w:rPr>
            </w:pPr>
          </w:p>
          <w:p w14:paraId="2CA7DB71" w14:textId="77777777" w:rsidR="00E5175E" w:rsidRPr="00E5175E" w:rsidRDefault="00E5175E" w:rsidP="008D7BB4">
            <w:pPr>
              <w:spacing w:line="276" w:lineRule="auto"/>
              <w:contextualSpacing/>
              <w:jc w:val="right"/>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$ 6,118.15</w:t>
            </w:r>
          </w:p>
        </w:tc>
        <w:tc>
          <w:tcPr>
            <w:tcW w:w="966" w:type="dxa"/>
            <w:shd w:val="clear" w:color="auto" w:fill="D9E2F3"/>
            <w:vAlign w:val="center"/>
          </w:tcPr>
          <w:p w14:paraId="3E9A3CD7" w14:textId="77777777" w:rsidR="00E5175E" w:rsidRPr="00E5175E" w:rsidRDefault="00E5175E" w:rsidP="008D7BB4">
            <w:pPr>
              <w:spacing w:line="276" w:lineRule="auto"/>
              <w:contextualSpacing/>
              <w:rPr>
                <w:rFonts w:ascii="Times New Roman" w:eastAsia="Times New Roman" w:hAnsi="Times New Roman"/>
                <w:sz w:val="10"/>
                <w:szCs w:val="10"/>
                <w:lang w:val="es-ES_tradnl" w:eastAsia="es-ES"/>
              </w:rPr>
            </w:pPr>
            <w:r w:rsidRPr="00E5175E">
              <w:rPr>
                <w:rFonts w:ascii="Times New Roman" w:eastAsia="Times New Roman" w:hAnsi="Times New Roman"/>
                <w:sz w:val="10"/>
                <w:szCs w:val="10"/>
                <w:lang w:eastAsia="es-ES"/>
              </w:rPr>
              <w:t>a junio 2022</w:t>
            </w:r>
          </w:p>
          <w:p w14:paraId="3E1CE630" w14:textId="77777777" w:rsidR="00E5175E" w:rsidRPr="00E5175E" w:rsidRDefault="00E5175E" w:rsidP="008D7BB4">
            <w:pPr>
              <w:spacing w:line="276" w:lineRule="auto"/>
              <w:contextualSpacing/>
              <w:rPr>
                <w:rFonts w:ascii="Times New Roman" w:eastAsia="Times New Roman" w:hAnsi="Times New Roman"/>
                <w:sz w:val="10"/>
                <w:szCs w:val="10"/>
                <w:lang w:eastAsia="es-ES"/>
              </w:rPr>
            </w:pPr>
          </w:p>
          <w:p w14:paraId="75B7905B" w14:textId="5B4BF1E6"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Calibri" w:eastAsia="Times New Roman" w:hAnsi="Calibri"/>
                <w:noProof/>
                <w:sz w:val="10"/>
                <w:szCs w:val="10"/>
                <w:lang w:eastAsia="es-GT"/>
              </w:rPr>
              <w:drawing>
                <wp:inline distT="0" distB="0" distL="0" distR="0" wp14:anchorId="4E2C451B" wp14:editId="5FA5160E">
                  <wp:extent cx="79375" cy="63500"/>
                  <wp:effectExtent l="0" t="0" r="0" b="0"/>
                  <wp:docPr id="341" name="Imagen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9375" cy="63500"/>
                          </a:xfrm>
                          <a:prstGeom prst="rect">
                            <a:avLst/>
                          </a:prstGeom>
                          <a:noFill/>
                          <a:ln>
                            <a:noFill/>
                          </a:ln>
                        </pic:spPr>
                      </pic:pic>
                    </a:graphicData>
                  </a:graphic>
                </wp:inline>
              </w:drawing>
            </w:r>
            <w:r w:rsidRPr="00E5175E">
              <w:rPr>
                <w:rFonts w:ascii="Times New Roman" w:eastAsia="Times New Roman" w:hAnsi="Times New Roman"/>
                <w:sz w:val="10"/>
                <w:szCs w:val="10"/>
                <w:lang w:eastAsia="es-ES"/>
              </w:rPr>
              <w:t xml:space="preserve">  16.47%</w:t>
            </w:r>
          </w:p>
          <w:p w14:paraId="1E29F9DB" w14:textId="77777777" w:rsidR="00E5175E" w:rsidRPr="00E5175E" w:rsidRDefault="00E5175E" w:rsidP="008D7BB4">
            <w:pPr>
              <w:spacing w:line="276" w:lineRule="auto"/>
              <w:contextualSpacing/>
              <w:jc w:val="center"/>
              <w:rPr>
                <w:rFonts w:ascii="Times New Roman" w:eastAsia="Times New Roman" w:hAnsi="Times New Roman"/>
                <w:sz w:val="10"/>
                <w:szCs w:val="10"/>
                <w:lang w:eastAsia="es-ES"/>
              </w:rPr>
            </w:pPr>
          </w:p>
          <w:p w14:paraId="4B6317B5" w14:textId="77777777" w:rsidR="00E5175E" w:rsidRPr="00E5175E" w:rsidRDefault="00E5175E" w:rsidP="008D7BB4">
            <w:pPr>
              <w:spacing w:line="276" w:lineRule="auto"/>
              <w:contextualSpacing/>
              <w:jc w:val="right"/>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$ 7,012.5</w:t>
            </w:r>
          </w:p>
        </w:tc>
        <w:tc>
          <w:tcPr>
            <w:tcW w:w="967" w:type="dxa"/>
            <w:shd w:val="clear" w:color="auto" w:fill="D9E2F3"/>
            <w:vAlign w:val="center"/>
          </w:tcPr>
          <w:p w14:paraId="339149BB" w14:textId="77777777" w:rsidR="00E5175E" w:rsidRPr="00E5175E" w:rsidRDefault="00E5175E" w:rsidP="008D7BB4">
            <w:pPr>
              <w:spacing w:line="276" w:lineRule="auto"/>
              <w:contextualSpacing/>
              <w:rPr>
                <w:rFonts w:ascii="Times New Roman" w:eastAsia="Times New Roman" w:hAnsi="Times New Roman"/>
                <w:sz w:val="10"/>
                <w:szCs w:val="10"/>
                <w:lang w:val="es-ES_tradnl" w:eastAsia="es-ES"/>
              </w:rPr>
            </w:pPr>
            <w:r w:rsidRPr="00E5175E">
              <w:rPr>
                <w:rFonts w:ascii="Times New Roman" w:eastAsia="Times New Roman" w:hAnsi="Times New Roman"/>
                <w:sz w:val="10"/>
                <w:szCs w:val="10"/>
                <w:lang w:eastAsia="es-ES"/>
              </w:rPr>
              <w:t>a septiembre 2022</w:t>
            </w:r>
          </w:p>
          <w:p w14:paraId="67C64FA4" w14:textId="77777777" w:rsidR="00E5175E" w:rsidRPr="00E5175E" w:rsidRDefault="00E5175E" w:rsidP="008D7BB4">
            <w:pPr>
              <w:spacing w:line="276" w:lineRule="auto"/>
              <w:contextualSpacing/>
              <w:rPr>
                <w:rFonts w:ascii="Times New Roman" w:eastAsia="Times New Roman" w:hAnsi="Times New Roman"/>
                <w:sz w:val="10"/>
                <w:szCs w:val="10"/>
                <w:lang w:eastAsia="es-ES"/>
              </w:rPr>
            </w:pPr>
          </w:p>
          <w:p w14:paraId="3DEA3612" w14:textId="7F9A5B1E"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Calibri" w:eastAsia="Times New Roman" w:hAnsi="Calibri"/>
                <w:noProof/>
                <w:sz w:val="10"/>
                <w:szCs w:val="10"/>
                <w:lang w:eastAsia="es-GT"/>
              </w:rPr>
              <w:drawing>
                <wp:inline distT="0" distB="0" distL="0" distR="0" wp14:anchorId="13640A48" wp14:editId="00BD7767">
                  <wp:extent cx="79375" cy="63500"/>
                  <wp:effectExtent l="0" t="0" r="0" b="0"/>
                  <wp:docPr id="340" name="Imagen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9375" cy="63500"/>
                          </a:xfrm>
                          <a:prstGeom prst="rect">
                            <a:avLst/>
                          </a:prstGeom>
                          <a:noFill/>
                          <a:ln>
                            <a:noFill/>
                          </a:ln>
                        </pic:spPr>
                      </pic:pic>
                    </a:graphicData>
                  </a:graphic>
                </wp:inline>
              </w:drawing>
            </w:r>
            <w:r w:rsidRPr="00E5175E">
              <w:rPr>
                <w:rFonts w:ascii="Times New Roman" w:eastAsia="Times New Roman" w:hAnsi="Times New Roman"/>
                <w:sz w:val="10"/>
                <w:szCs w:val="10"/>
                <w:lang w:eastAsia="es-ES"/>
              </w:rPr>
              <w:t xml:space="preserve">  20.87%</w:t>
            </w:r>
          </w:p>
          <w:p w14:paraId="5D29352B" w14:textId="77777777" w:rsidR="00E5175E" w:rsidRPr="00E5175E" w:rsidRDefault="00E5175E" w:rsidP="008D7BB4">
            <w:pPr>
              <w:spacing w:line="276" w:lineRule="auto"/>
              <w:contextualSpacing/>
              <w:jc w:val="center"/>
              <w:rPr>
                <w:rFonts w:ascii="Times New Roman" w:eastAsia="Times New Roman" w:hAnsi="Times New Roman"/>
                <w:sz w:val="10"/>
                <w:szCs w:val="10"/>
                <w:lang w:eastAsia="es-ES"/>
              </w:rPr>
            </w:pPr>
          </w:p>
          <w:p w14:paraId="10E98A4A" w14:textId="77777777" w:rsidR="00E5175E" w:rsidRPr="00E5175E" w:rsidRDefault="00E5175E" w:rsidP="008D7BB4">
            <w:pPr>
              <w:spacing w:line="276" w:lineRule="auto"/>
              <w:contextualSpacing/>
              <w:jc w:val="right"/>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$ 11,291.24</w:t>
            </w:r>
          </w:p>
        </w:tc>
      </w:tr>
      <w:tr w:rsidR="00E5175E" w:rsidRPr="00E5175E" w14:paraId="32B5A0BD" w14:textId="77777777" w:rsidTr="006825AB">
        <w:trPr>
          <w:trHeight w:val="18"/>
          <w:jc w:val="center"/>
        </w:trPr>
        <w:tc>
          <w:tcPr>
            <w:tcW w:w="1830" w:type="dxa"/>
            <w:shd w:val="clear" w:color="auto" w:fill="D9E2F3"/>
            <w:vAlign w:val="center"/>
          </w:tcPr>
          <w:p w14:paraId="25F6F4B2" w14:textId="77777777" w:rsidR="00E5175E" w:rsidRPr="00E5175E" w:rsidRDefault="00E5175E" w:rsidP="008D7BB4">
            <w:pPr>
              <w:spacing w:line="276" w:lineRule="auto"/>
              <w:contextualSpacing/>
              <w:rPr>
                <w:rFonts w:ascii="Times New Roman" w:eastAsia="Times New Roman" w:hAnsi="Times New Roman"/>
                <w:sz w:val="16"/>
                <w:szCs w:val="10"/>
                <w:lang w:eastAsia="es-ES"/>
              </w:rPr>
            </w:pPr>
            <w:r w:rsidRPr="00E5175E">
              <w:rPr>
                <w:rFonts w:ascii="Times New Roman" w:eastAsia="Times New Roman" w:hAnsi="Times New Roman"/>
                <w:sz w:val="16"/>
                <w:szCs w:val="10"/>
                <w:lang w:eastAsia="es-ES"/>
              </w:rPr>
              <w:t>Importaciones totales</w:t>
            </w:r>
          </w:p>
        </w:tc>
        <w:tc>
          <w:tcPr>
            <w:tcW w:w="966" w:type="dxa"/>
            <w:shd w:val="clear" w:color="auto" w:fill="D9E2F3"/>
            <w:vAlign w:val="center"/>
          </w:tcPr>
          <w:p w14:paraId="0E161407" w14:textId="77777777" w:rsidR="00E5175E" w:rsidRPr="00E5175E" w:rsidRDefault="00E5175E" w:rsidP="008D7BB4">
            <w:pPr>
              <w:spacing w:line="276" w:lineRule="auto"/>
              <w:contextualSpacing/>
              <w:rPr>
                <w:rFonts w:ascii="Times New Roman" w:eastAsia="Times New Roman" w:hAnsi="Times New Roman"/>
                <w:sz w:val="10"/>
                <w:szCs w:val="10"/>
                <w:lang w:val="es-ES_tradnl" w:eastAsia="es-ES"/>
              </w:rPr>
            </w:pPr>
            <w:r w:rsidRPr="00E5175E">
              <w:rPr>
                <w:rFonts w:ascii="Times New Roman" w:eastAsia="Times New Roman" w:hAnsi="Times New Roman"/>
                <w:sz w:val="10"/>
                <w:szCs w:val="10"/>
                <w:lang w:eastAsia="es-ES"/>
              </w:rPr>
              <w:t>a marzo 2022</w:t>
            </w:r>
          </w:p>
          <w:p w14:paraId="000B0F56" w14:textId="77777777" w:rsidR="00E5175E" w:rsidRPr="00E5175E" w:rsidRDefault="00E5175E" w:rsidP="008D7BB4">
            <w:pPr>
              <w:spacing w:line="276" w:lineRule="auto"/>
              <w:contextualSpacing/>
              <w:rPr>
                <w:rFonts w:ascii="Times New Roman" w:eastAsia="Times New Roman" w:hAnsi="Times New Roman"/>
                <w:sz w:val="10"/>
                <w:szCs w:val="10"/>
                <w:lang w:eastAsia="es-ES"/>
              </w:rPr>
            </w:pPr>
          </w:p>
          <w:p w14:paraId="435811F6" w14:textId="7E3B71CB"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Calibri" w:eastAsia="Times New Roman" w:hAnsi="Calibri"/>
                <w:noProof/>
                <w:sz w:val="10"/>
                <w:szCs w:val="10"/>
                <w:lang w:eastAsia="es-GT"/>
              </w:rPr>
              <w:drawing>
                <wp:inline distT="0" distB="0" distL="0" distR="0" wp14:anchorId="7FEB2E17" wp14:editId="2EAB5728">
                  <wp:extent cx="79375" cy="63500"/>
                  <wp:effectExtent l="0" t="0" r="0" b="0"/>
                  <wp:docPr id="339" name="Imagen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9375" cy="63500"/>
                          </a:xfrm>
                          <a:prstGeom prst="rect">
                            <a:avLst/>
                          </a:prstGeom>
                          <a:noFill/>
                          <a:ln>
                            <a:noFill/>
                          </a:ln>
                        </pic:spPr>
                      </pic:pic>
                    </a:graphicData>
                  </a:graphic>
                </wp:inline>
              </w:drawing>
            </w:r>
            <w:r w:rsidRPr="00E5175E">
              <w:rPr>
                <w:rFonts w:ascii="Times New Roman" w:eastAsia="Times New Roman" w:hAnsi="Times New Roman"/>
                <w:sz w:val="10"/>
                <w:szCs w:val="10"/>
                <w:lang w:eastAsia="es-ES"/>
              </w:rPr>
              <w:t xml:space="preserve">  34.51%</w:t>
            </w:r>
          </w:p>
          <w:p w14:paraId="24B5DB4B" w14:textId="77777777" w:rsidR="00E5175E" w:rsidRPr="00E5175E" w:rsidRDefault="00E5175E" w:rsidP="008D7BB4">
            <w:pPr>
              <w:spacing w:line="276" w:lineRule="auto"/>
              <w:contextualSpacing/>
              <w:jc w:val="center"/>
              <w:rPr>
                <w:rFonts w:ascii="Times New Roman" w:eastAsia="Times New Roman" w:hAnsi="Times New Roman"/>
                <w:sz w:val="10"/>
                <w:szCs w:val="10"/>
                <w:lang w:eastAsia="es-ES"/>
              </w:rPr>
            </w:pPr>
          </w:p>
          <w:p w14:paraId="6FAA93F3" w14:textId="77777777" w:rsidR="00E5175E" w:rsidRPr="00E5175E" w:rsidRDefault="00E5175E" w:rsidP="008D7BB4">
            <w:pPr>
              <w:spacing w:line="276" w:lineRule="auto"/>
              <w:contextualSpacing/>
              <w:jc w:val="right"/>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$ 7,159.05</w:t>
            </w:r>
          </w:p>
        </w:tc>
        <w:tc>
          <w:tcPr>
            <w:tcW w:w="966" w:type="dxa"/>
            <w:shd w:val="clear" w:color="auto" w:fill="D9E2F3"/>
            <w:vAlign w:val="center"/>
          </w:tcPr>
          <w:p w14:paraId="7DFACAF5" w14:textId="77777777" w:rsidR="00E5175E" w:rsidRPr="00E5175E" w:rsidRDefault="00E5175E" w:rsidP="008D7BB4">
            <w:pPr>
              <w:spacing w:line="276" w:lineRule="auto"/>
              <w:contextualSpacing/>
              <w:rPr>
                <w:rFonts w:ascii="Times New Roman" w:eastAsia="Times New Roman" w:hAnsi="Times New Roman"/>
                <w:sz w:val="10"/>
                <w:szCs w:val="10"/>
                <w:lang w:val="es-ES_tradnl" w:eastAsia="es-ES"/>
              </w:rPr>
            </w:pPr>
            <w:r w:rsidRPr="00E5175E">
              <w:rPr>
                <w:rFonts w:ascii="Times New Roman" w:eastAsia="Times New Roman" w:hAnsi="Times New Roman"/>
                <w:sz w:val="10"/>
                <w:szCs w:val="10"/>
                <w:lang w:eastAsia="es-ES"/>
              </w:rPr>
              <w:t>a octubre 2022</w:t>
            </w:r>
          </w:p>
          <w:p w14:paraId="1949189C" w14:textId="77777777" w:rsidR="00E5175E" w:rsidRPr="00E5175E" w:rsidRDefault="00E5175E" w:rsidP="008D7BB4">
            <w:pPr>
              <w:spacing w:line="276" w:lineRule="auto"/>
              <w:contextualSpacing/>
              <w:rPr>
                <w:rFonts w:ascii="Times New Roman" w:eastAsia="Times New Roman" w:hAnsi="Times New Roman"/>
                <w:sz w:val="10"/>
                <w:szCs w:val="10"/>
                <w:lang w:eastAsia="es-ES"/>
              </w:rPr>
            </w:pPr>
          </w:p>
          <w:p w14:paraId="2441D90A" w14:textId="5907B366"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Calibri" w:eastAsia="Times New Roman" w:hAnsi="Calibri"/>
                <w:noProof/>
                <w:sz w:val="10"/>
                <w:szCs w:val="10"/>
                <w:lang w:eastAsia="es-GT"/>
              </w:rPr>
              <w:drawing>
                <wp:inline distT="0" distB="0" distL="0" distR="0" wp14:anchorId="7C54228F" wp14:editId="58E4B52F">
                  <wp:extent cx="55880" cy="55880"/>
                  <wp:effectExtent l="0" t="0" r="1270" b="1270"/>
                  <wp:docPr id="338" name="Imagen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880" cy="55880"/>
                          </a:xfrm>
                          <a:prstGeom prst="rect">
                            <a:avLst/>
                          </a:prstGeom>
                          <a:noFill/>
                          <a:ln>
                            <a:noFill/>
                          </a:ln>
                        </pic:spPr>
                      </pic:pic>
                    </a:graphicData>
                  </a:graphic>
                </wp:inline>
              </w:drawing>
            </w:r>
            <w:r w:rsidRPr="00E5175E">
              <w:rPr>
                <w:rFonts w:ascii="Times New Roman" w:eastAsia="Times New Roman" w:hAnsi="Times New Roman"/>
                <w:sz w:val="10"/>
                <w:szCs w:val="10"/>
                <w:lang w:eastAsia="es-ES"/>
              </w:rPr>
              <w:t xml:space="preserve">  20.01%</w:t>
            </w:r>
          </w:p>
          <w:p w14:paraId="0D30093C" w14:textId="77777777" w:rsidR="00E5175E" w:rsidRPr="00E5175E" w:rsidRDefault="00E5175E" w:rsidP="008D7BB4">
            <w:pPr>
              <w:spacing w:line="276" w:lineRule="auto"/>
              <w:contextualSpacing/>
              <w:jc w:val="center"/>
              <w:rPr>
                <w:rFonts w:ascii="Times New Roman" w:eastAsia="Times New Roman" w:hAnsi="Times New Roman"/>
                <w:sz w:val="10"/>
                <w:szCs w:val="10"/>
                <w:lang w:eastAsia="es-ES"/>
              </w:rPr>
            </w:pPr>
          </w:p>
          <w:p w14:paraId="06DF09E8" w14:textId="77777777" w:rsidR="00E5175E" w:rsidRPr="00E5175E" w:rsidRDefault="00E5175E" w:rsidP="008D7BB4">
            <w:pPr>
              <w:spacing w:line="276" w:lineRule="auto"/>
              <w:contextualSpacing/>
              <w:jc w:val="right"/>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$ 14,852.4</w:t>
            </w:r>
          </w:p>
        </w:tc>
        <w:tc>
          <w:tcPr>
            <w:tcW w:w="966" w:type="dxa"/>
            <w:shd w:val="clear" w:color="auto" w:fill="D9E2F3"/>
            <w:vAlign w:val="center"/>
          </w:tcPr>
          <w:p w14:paraId="358BCB38" w14:textId="77777777" w:rsidR="00E5175E" w:rsidRPr="00E5175E" w:rsidRDefault="00E5175E" w:rsidP="008D7BB4">
            <w:pPr>
              <w:spacing w:line="276" w:lineRule="auto"/>
              <w:contextualSpacing/>
              <w:rPr>
                <w:rFonts w:ascii="Times New Roman" w:eastAsia="Times New Roman" w:hAnsi="Times New Roman"/>
                <w:sz w:val="10"/>
                <w:szCs w:val="10"/>
                <w:lang w:val="es-ES_tradnl" w:eastAsia="es-ES"/>
              </w:rPr>
            </w:pPr>
            <w:r w:rsidRPr="00E5175E">
              <w:rPr>
                <w:rFonts w:ascii="Times New Roman" w:eastAsia="Times New Roman" w:hAnsi="Times New Roman"/>
                <w:sz w:val="10"/>
                <w:szCs w:val="10"/>
                <w:lang w:eastAsia="es-ES"/>
              </w:rPr>
              <w:t>a septiembre 2022</w:t>
            </w:r>
          </w:p>
          <w:p w14:paraId="4EFFF730" w14:textId="77777777" w:rsidR="00E5175E" w:rsidRPr="00E5175E" w:rsidRDefault="00E5175E" w:rsidP="008D7BB4">
            <w:pPr>
              <w:spacing w:line="276" w:lineRule="auto"/>
              <w:contextualSpacing/>
              <w:rPr>
                <w:rFonts w:ascii="Times New Roman" w:eastAsia="Times New Roman" w:hAnsi="Times New Roman"/>
                <w:sz w:val="10"/>
                <w:szCs w:val="10"/>
                <w:lang w:eastAsia="es-ES"/>
              </w:rPr>
            </w:pPr>
          </w:p>
          <w:p w14:paraId="4CBAD017" w14:textId="4E5A29A7"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Calibri" w:eastAsia="Times New Roman" w:hAnsi="Calibri"/>
                <w:noProof/>
                <w:sz w:val="10"/>
                <w:szCs w:val="10"/>
                <w:lang w:eastAsia="es-GT"/>
              </w:rPr>
              <w:drawing>
                <wp:inline distT="0" distB="0" distL="0" distR="0" wp14:anchorId="42BED20B" wp14:editId="29160F6A">
                  <wp:extent cx="55880" cy="55880"/>
                  <wp:effectExtent l="0" t="0" r="1270" b="1270"/>
                  <wp:docPr id="337" name="Imagen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880" cy="55880"/>
                          </a:xfrm>
                          <a:prstGeom prst="rect">
                            <a:avLst/>
                          </a:prstGeom>
                          <a:noFill/>
                          <a:ln>
                            <a:noFill/>
                          </a:ln>
                        </pic:spPr>
                      </pic:pic>
                    </a:graphicData>
                  </a:graphic>
                </wp:inline>
              </w:drawing>
            </w:r>
            <w:r w:rsidRPr="00E5175E">
              <w:rPr>
                <w:rFonts w:ascii="Times New Roman" w:eastAsia="Times New Roman" w:hAnsi="Times New Roman"/>
                <w:sz w:val="10"/>
                <w:szCs w:val="10"/>
                <w:lang w:eastAsia="es-ES"/>
              </w:rPr>
              <w:t xml:space="preserve">  29.47%</w:t>
            </w:r>
          </w:p>
          <w:p w14:paraId="35CDF286" w14:textId="77777777" w:rsidR="00E5175E" w:rsidRPr="00E5175E" w:rsidRDefault="00E5175E" w:rsidP="008D7BB4">
            <w:pPr>
              <w:spacing w:line="276" w:lineRule="auto"/>
              <w:contextualSpacing/>
              <w:jc w:val="center"/>
              <w:rPr>
                <w:rFonts w:ascii="Times New Roman" w:eastAsia="Times New Roman" w:hAnsi="Times New Roman"/>
                <w:sz w:val="10"/>
                <w:szCs w:val="10"/>
                <w:lang w:eastAsia="es-ES"/>
              </w:rPr>
            </w:pPr>
          </w:p>
          <w:p w14:paraId="38DDD54C" w14:textId="77777777" w:rsidR="00E5175E" w:rsidRPr="00E5175E" w:rsidRDefault="00E5175E" w:rsidP="008D7BB4">
            <w:pPr>
              <w:spacing w:line="276" w:lineRule="auto"/>
              <w:contextualSpacing/>
              <w:jc w:val="right"/>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$ 24,459.4</w:t>
            </w:r>
          </w:p>
        </w:tc>
        <w:tc>
          <w:tcPr>
            <w:tcW w:w="967" w:type="dxa"/>
            <w:shd w:val="clear" w:color="auto" w:fill="D9E2F3"/>
            <w:vAlign w:val="center"/>
          </w:tcPr>
          <w:p w14:paraId="314C9D8D" w14:textId="77777777" w:rsidR="00E5175E" w:rsidRPr="00E5175E" w:rsidRDefault="00E5175E" w:rsidP="008D7BB4">
            <w:pPr>
              <w:spacing w:line="276" w:lineRule="auto"/>
              <w:contextualSpacing/>
              <w:rPr>
                <w:rFonts w:ascii="Times New Roman" w:eastAsia="Times New Roman" w:hAnsi="Times New Roman"/>
                <w:sz w:val="10"/>
                <w:szCs w:val="10"/>
                <w:lang w:val="es-ES_tradnl" w:eastAsia="es-ES"/>
              </w:rPr>
            </w:pPr>
            <w:r w:rsidRPr="00E5175E">
              <w:rPr>
                <w:rFonts w:ascii="Times New Roman" w:eastAsia="Times New Roman" w:hAnsi="Times New Roman"/>
                <w:sz w:val="10"/>
                <w:szCs w:val="10"/>
                <w:lang w:eastAsia="es-ES"/>
              </w:rPr>
              <w:t>a septiembre 2022</w:t>
            </w:r>
          </w:p>
          <w:p w14:paraId="6344F500" w14:textId="77777777" w:rsidR="00E5175E" w:rsidRPr="00E5175E" w:rsidRDefault="00E5175E" w:rsidP="008D7BB4">
            <w:pPr>
              <w:spacing w:line="276" w:lineRule="auto"/>
              <w:contextualSpacing/>
              <w:rPr>
                <w:rFonts w:ascii="Times New Roman" w:eastAsia="Times New Roman" w:hAnsi="Times New Roman"/>
                <w:sz w:val="10"/>
                <w:szCs w:val="10"/>
                <w:lang w:eastAsia="es-ES"/>
              </w:rPr>
            </w:pPr>
          </w:p>
          <w:p w14:paraId="6777E57A" w14:textId="26EBFED0"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Calibri" w:eastAsia="Times New Roman" w:hAnsi="Calibri"/>
                <w:noProof/>
                <w:sz w:val="10"/>
                <w:szCs w:val="10"/>
                <w:lang w:eastAsia="es-GT"/>
              </w:rPr>
              <w:drawing>
                <wp:inline distT="0" distB="0" distL="0" distR="0" wp14:anchorId="2D8CC0D8" wp14:editId="6A9666A0">
                  <wp:extent cx="55880" cy="55880"/>
                  <wp:effectExtent l="0" t="0" r="1270" b="1270"/>
                  <wp:docPr id="336" name="Imagen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880" cy="55880"/>
                          </a:xfrm>
                          <a:prstGeom prst="rect">
                            <a:avLst/>
                          </a:prstGeom>
                          <a:noFill/>
                          <a:ln>
                            <a:noFill/>
                          </a:ln>
                        </pic:spPr>
                      </pic:pic>
                    </a:graphicData>
                  </a:graphic>
                </wp:inline>
              </w:drawing>
            </w:r>
            <w:r w:rsidRPr="00E5175E">
              <w:rPr>
                <w:rFonts w:ascii="Times New Roman" w:eastAsia="Times New Roman" w:hAnsi="Times New Roman"/>
                <w:sz w:val="10"/>
                <w:szCs w:val="10"/>
                <w:lang w:eastAsia="es-ES"/>
              </w:rPr>
              <w:t xml:space="preserve">  20.61%</w:t>
            </w:r>
          </w:p>
          <w:p w14:paraId="7DAB6969" w14:textId="77777777" w:rsidR="00E5175E" w:rsidRPr="00E5175E" w:rsidRDefault="00E5175E" w:rsidP="008D7BB4">
            <w:pPr>
              <w:spacing w:line="276" w:lineRule="auto"/>
              <w:contextualSpacing/>
              <w:jc w:val="center"/>
              <w:rPr>
                <w:rFonts w:ascii="Times New Roman" w:eastAsia="Times New Roman" w:hAnsi="Times New Roman"/>
                <w:sz w:val="10"/>
                <w:szCs w:val="10"/>
                <w:lang w:eastAsia="es-ES"/>
              </w:rPr>
            </w:pPr>
          </w:p>
          <w:p w14:paraId="33F7D728" w14:textId="77777777" w:rsidR="00E5175E" w:rsidRPr="00E5175E" w:rsidRDefault="00E5175E" w:rsidP="008D7BB4">
            <w:pPr>
              <w:spacing w:line="276" w:lineRule="auto"/>
              <w:contextualSpacing/>
              <w:jc w:val="right"/>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$ 11,439.9</w:t>
            </w:r>
          </w:p>
        </w:tc>
        <w:tc>
          <w:tcPr>
            <w:tcW w:w="966" w:type="dxa"/>
            <w:shd w:val="clear" w:color="auto" w:fill="D9E2F3"/>
            <w:vAlign w:val="center"/>
          </w:tcPr>
          <w:p w14:paraId="4605F6AB" w14:textId="77777777" w:rsidR="00E5175E" w:rsidRPr="00E5175E" w:rsidRDefault="00E5175E" w:rsidP="008D7BB4">
            <w:pPr>
              <w:spacing w:line="276" w:lineRule="auto"/>
              <w:contextualSpacing/>
              <w:rPr>
                <w:rFonts w:ascii="Times New Roman" w:eastAsia="Times New Roman" w:hAnsi="Times New Roman"/>
                <w:sz w:val="10"/>
                <w:szCs w:val="10"/>
                <w:lang w:val="es-ES_tradnl" w:eastAsia="es-ES"/>
              </w:rPr>
            </w:pPr>
            <w:r w:rsidRPr="00E5175E">
              <w:rPr>
                <w:rFonts w:ascii="Times New Roman" w:eastAsia="Times New Roman" w:hAnsi="Times New Roman"/>
                <w:sz w:val="10"/>
                <w:szCs w:val="10"/>
                <w:lang w:eastAsia="es-ES"/>
              </w:rPr>
              <w:t>a septiembre 2022</w:t>
            </w:r>
          </w:p>
          <w:p w14:paraId="6DD4CF7E" w14:textId="77777777" w:rsidR="00E5175E" w:rsidRPr="00E5175E" w:rsidRDefault="00E5175E" w:rsidP="008D7BB4">
            <w:pPr>
              <w:spacing w:line="276" w:lineRule="auto"/>
              <w:contextualSpacing/>
              <w:rPr>
                <w:rFonts w:ascii="Times New Roman" w:eastAsia="Times New Roman" w:hAnsi="Times New Roman"/>
                <w:sz w:val="10"/>
                <w:szCs w:val="10"/>
                <w:lang w:eastAsia="es-ES"/>
              </w:rPr>
            </w:pPr>
          </w:p>
          <w:p w14:paraId="1828F8A8" w14:textId="7B643E0E"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Calibri" w:eastAsia="Times New Roman" w:hAnsi="Calibri"/>
                <w:noProof/>
                <w:sz w:val="10"/>
                <w:szCs w:val="10"/>
                <w:lang w:eastAsia="es-GT"/>
              </w:rPr>
              <w:drawing>
                <wp:inline distT="0" distB="0" distL="0" distR="0" wp14:anchorId="0BCEF7F0" wp14:editId="02D33350">
                  <wp:extent cx="55880" cy="55880"/>
                  <wp:effectExtent l="0" t="0" r="1270" b="1270"/>
                  <wp:docPr id="335" name="Imagen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880" cy="55880"/>
                          </a:xfrm>
                          <a:prstGeom prst="rect">
                            <a:avLst/>
                          </a:prstGeom>
                          <a:noFill/>
                          <a:ln>
                            <a:noFill/>
                          </a:ln>
                        </pic:spPr>
                      </pic:pic>
                    </a:graphicData>
                  </a:graphic>
                </wp:inline>
              </w:drawing>
            </w:r>
            <w:r w:rsidRPr="00E5175E">
              <w:rPr>
                <w:rFonts w:ascii="Times New Roman" w:eastAsia="Times New Roman" w:hAnsi="Times New Roman"/>
                <w:sz w:val="10"/>
                <w:szCs w:val="10"/>
                <w:lang w:eastAsia="es-ES"/>
              </w:rPr>
              <w:t xml:space="preserve">  23.73%</w:t>
            </w:r>
          </w:p>
          <w:p w14:paraId="76D7FD73" w14:textId="77777777" w:rsidR="00E5175E" w:rsidRPr="00E5175E" w:rsidRDefault="00E5175E" w:rsidP="008D7BB4">
            <w:pPr>
              <w:spacing w:line="276" w:lineRule="auto"/>
              <w:contextualSpacing/>
              <w:jc w:val="center"/>
              <w:rPr>
                <w:rFonts w:ascii="Times New Roman" w:eastAsia="Times New Roman" w:hAnsi="Times New Roman"/>
                <w:sz w:val="10"/>
                <w:szCs w:val="10"/>
                <w:lang w:eastAsia="es-ES"/>
              </w:rPr>
            </w:pPr>
          </w:p>
          <w:p w14:paraId="57231C5D" w14:textId="77777777" w:rsidR="00E5175E" w:rsidRPr="00E5175E" w:rsidRDefault="00E5175E" w:rsidP="008D7BB4">
            <w:pPr>
              <w:spacing w:line="276" w:lineRule="auto"/>
              <w:contextualSpacing/>
              <w:jc w:val="right"/>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$ 8,119.29</w:t>
            </w:r>
          </w:p>
        </w:tc>
        <w:tc>
          <w:tcPr>
            <w:tcW w:w="966" w:type="dxa"/>
            <w:shd w:val="clear" w:color="auto" w:fill="D9E2F3"/>
            <w:vAlign w:val="center"/>
          </w:tcPr>
          <w:p w14:paraId="7903F1BA" w14:textId="77777777" w:rsidR="00E5175E" w:rsidRPr="00E5175E" w:rsidRDefault="00E5175E" w:rsidP="008D7BB4">
            <w:pPr>
              <w:spacing w:line="276" w:lineRule="auto"/>
              <w:contextualSpacing/>
              <w:rPr>
                <w:rFonts w:ascii="Times New Roman" w:eastAsia="Times New Roman" w:hAnsi="Times New Roman"/>
                <w:sz w:val="10"/>
                <w:szCs w:val="10"/>
                <w:lang w:val="es-ES_tradnl" w:eastAsia="es-ES"/>
              </w:rPr>
            </w:pPr>
            <w:r w:rsidRPr="00E5175E">
              <w:rPr>
                <w:rFonts w:ascii="Times New Roman" w:eastAsia="Times New Roman" w:hAnsi="Times New Roman"/>
                <w:sz w:val="10"/>
                <w:szCs w:val="10"/>
                <w:lang w:eastAsia="es-ES"/>
              </w:rPr>
              <w:t>a junio 2022</w:t>
            </w:r>
          </w:p>
          <w:p w14:paraId="275D5386" w14:textId="77777777" w:rsidR="00E5175E" w:rsidRPr="00E5175E" w:rsidRDefault="00E5175E" w:rsidP="008D7BB4">
            <w:pPr>
              <w:spacing w:line="276" w:lineRule="auto"/>
              <w:contextualSpacing/>
              <w:rPr>
                <w:rFonts w:ascii="Times New Roman" w:eastAsia="Times New Roman" w:hAnsi="Times New Roman"/>
                <w:sz w:val="10"/>
                <w:szCs w:val="10"/>
                <w:lang w:eastAsia="es-ES"/>
              </w:rPr>
            </w:pPr>
          </w:p>
          <w:p w14:paraId="425A0556" w14:textId="6FD2F00E"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Calibri" w:eastAsia="Times New Roman" w:hAnsi="Calibri"/>
                <w:noProof/>
                <w:sz w:val="10"/>
                <w:szCs w:val="10"/>
                <w:lang w:eastAsia="es-GT"/>
              </w:rPr>
              <w:drawing>
                <wp:inline distT="0" distB="0" distL="0" distR="0" wp14:anchorId="1E0A6105" wp14:editId="076604CD">
                  <wp:extent cx="79375" cy="63500"/>
                  <wp:effectExtent l="0" t="0" r="0" b="0"/>
                  <wp:docPr id="334" name="Imagen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9375" cy="63500"/>
                          </a:xfrm>
                          <a:prstGeom prst="rect">
                            <a:avLst/>
                          </a:prstGeom>
                          <a:noFill/>
                          <a:ln>
                            <a:noFill/>
                          </a:ln>
                        </pic:spPr>
                      </pic:pic>
                    </a:graphicData>
                  </a:graphic>
                </wp:inline>
              </w:drawing>
            </w:r>
            <w:r w:rsidRPr="00E5175E">
              <w:rPr>
                <w:rFonts w:ascii="Times New Roman" w:eastAsia="Times New Roman" w:hAnsi="Times New Roman"/>
                <w:sz w:val="10"/>
                <w:szCs w:val="10"/>
                <w:lang w:eastAsia="es-ES"/>
              </w:rPr>
              <w:t xml:space="preserve">  36.59%</w:t>
            </w:r>
          </w:p>
          <w:p w14:paraId="128B7CED" w14:textId="77777777" w:rsidR="00E5175E" w:rsidRPr="00E5175E" w:rsidRDefault="00E5175E" w:rsidP="008D7BB4">
            <w:pPr>
              <w:spacing w:line="276" w:lineRule="auto"/>
              <w:contextualSpacing/>
              <w:jc w:val="center"/>
              <w:rPr>
                <w:rFonts w:ascii="Times New Roman" w:eastAsia="Times New Roman" w:hAnsi="Times New Roman"/>
                <w:sz w:val="10"/>
                <w:szCs w:val="10"/>
                <w:lang w:eastAsia="es-ES"/>
              </w:rPr>
            </w:pPr>
          </w:p>
          <w:p w14:paraId="0C444AEB" w14:textId="77777777" w:rsidR="00E5175E" w:rsidRPr="00E5175E" w:rsidRDefault="00E5175E" w:rsidP="008D7BB4">
            <w:pPr>
              <w:spacing w:line="276" w:lineRule="auto"/>
              <w:contextualSpacing/>
              <w:jc w:val="right"/>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$ 14,985.4</w:t>
            </w:r>
          </w:p>
        </w:tc>
        <w:tc>
          <w:tcPr>
            <w:tcW w:w="967" w:type="dxa"/>
            <w:shd w:val="clear" w:color="auto" w:fill="D9E2F3"/>
            <w:vAlign w:val="center"/>
          </w:tcPr>
          <w:p w14:paraId="32FAE367" w14:textId="77777777" w:rsidR="00E5175E" w:rsidRPr="00E5175E" w:rsidRDefault="00E5175E" w:rsidP="008D7BB4">
            <w:pPr>
              <w:spacing w:line="276" w:lineRule="auto"/>
              <w:contextualSpacing/>
              <w:rPr>
                <w:rFonts w:ascii="Times New Roman" w:eastAsia="Times New Roman" w:hAnsi="Times New Roman"/>
                <w:sz w:val="10"/>
                <w:szCs w:val="10"/>
                <w:lang w:val="es-ES_tradnl" w:eastAsia="es-ES"/>
              </w:rPr>
            </w:pPr>
            <w:r w:rsidRPr="00E5175E">
              <w:rPr>
                <w:rFonts w:ascii="Times New Roman" w:eastAsia="Times New Roman" w:hAnsi="Times New Roman"/>
                <w:sz w:val="10"/>
                <w:szCs w:val="10"/>
                <w:lang w:eastAsia="es-ES"/>
              </w:rPr>
              <w:t>a septiembre 2022</w:t>
            </w:r>
          </w:p>
          <w:p w14:paraId="5DF2AB93" w14:textId="77777777" w:rsidR="00E5175E" w:rsidRPr="00E5175E" w:rsidRDefault="00E5175E" w:rsidP="008D7BB4">
            <w:pPr>
              <w:spacing w:line="276" w:lineRule="auto"/>
              <w:contextualSpacing/>
              <w:rPr>
                <w:rFonts w:ascii="Times New Roman" w:eastAsia="Times New Roman" w:hAnsi="Times New Roman"/>
                <w:sz w:val="10"/>
                <w:szCs w:val="10"/>
                <w:lang w:eastAsia="es-ES"/>
              </w:rPr>
            </w:pPr>
          </w:p>
          <w:p w14:paraId="41AD1958" w14:textId="75ED6A47"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Calibri" w:eastAsia="Times New Roman" w:hAnsi="Calibri"/>
                <w:noProof/>
                <w:sz w:val="10"/>
                <w:szCs w:val="10"/>
                <w:lang w:eastAsia="es-GT"/>
              </w:rPr>
              <w:drawing>
                <wp:inline distT="0" distB="0" distL="0" distR="0" wp14:anchorId="0F38C473" wp14:editId="3651A9D7">
                  <wp:extent cx="79375" cy="63500"/>
                  <wp:effectExtent l="0" t="0" r="0" b="0"/>
                  <wp:docPr id="333" name="Imagen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9375" cy="63500"/>
                          </a:xfrm>
                          <a:prstGeom prst="rect">
                            <a:avLst/>
                          </a:prstGeom>
                          <a:noFill/>
                          <a:ln>
                            <a:noFill/>
                          </a:ln>
                        </pic:spPr>
                      </pic:pic>
                    </a:graphicData>
                  </a:graphic>
                </wp:inline>
              </w:drawing>
            </w:r>
            <w:r w:rsidRPr="00E5175E">
              <w:rPr>
                <w:rFonts w:ascii="Times New Roman" w:eastAsia="Times New Roman" w:hAnsi="Times New Roman"/>
                <w:sz w:val="10"/>
                <w:szCs w:val="10"/>
                <w:lang w:eastAsia="es-ES"/>
              </w:rPr>
              <w:t xml:space="preserve">  51.16%</w:t>
            </w:r>
          </w:p>
          <w:p w14:paraId="28B210DF" w14:textId="77777777" w:rsidR="00E5175E" w:rsidRPr="00E5175E" w:rsidRDefault="00E5175E" w:rsidP="008D7BB4">
            <w:pPr>
              <w:spacing w:line="276" w:lineRule="auto"/>
              <w:contextualSpacing/>
              <w:jc w:val="center"/>
              <w:rPr>
                <w:rFonts w:ascii="Times New Roman" w:eastAsia="Times New Roman" w:hAnsi="Times New Roman"/>
                <w:sz w:val="10"/>
                <w:szCs w:val="10"/>
                <w:lang w:eastAsia="es-ES"/>
              </w:rPr>
            </w:pPr>
          </w:p>
          <w:p w14:paraId="523E14ED" w14:textId="77777777" w:rsidR="00E5175E" w:rsidRPr="00E5175E" w:rsidRDefault="00E5175E" w:rsidP="008D7BB4">
            <w:pPr>
              <w:spacing w:line="276" w:lineRule="auto"/>
              <w:contextualSpacing/>
              <w:jc w:val="right"/>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$ 22,252.57</w:t>
            </w:r>
          </w:p>
        </w:tc>
      </w:tr>
      <w:tr w:rsidR="00E5175E" w:rsidRPr="00E5175E" w14:paraId="33198334" w14:textId="77777777" w:rsidTr="006825AB">
        <w:trPr>
          <w:trHeight w:val="18"/>
          <w:jc w:val="center"/>
        </w:trPr>
        <w:tc>
          <w:tcPr>
            <w:tcW w:w="1830" w:type="dxa"/>
            <w:tcBorders>
              <w:bottom w:val="nil"/>
            </w:tcBorders>
            <w:vAlign w:val="center"/>
          </w:tcPr>
          <w:p w14:paraId="7CE447ED" w14:textId="77777777" w:rsidR="00E5175E" w:rsidRPr="00E5175E" w:rsidRDefault="00E5175E" w:rsidP="008D7BB4">
            <w:pPr>
              <w:spacing w:line="276" w:lineRule="auto"/>
              <w:contextualSpacing/>
              <w:rPr>
                <w:rFonts w:ascii="Times New Roman" w:eastAsia="Times New Roman" w:hAnsi="Times New Roman"/>
                <w:sz w:val="14"/>
                <w:szCs w:val="10"/>
                <w:lang w:eastAsia="es-ES"/>
              </w:rPr>
            </w:pPr>
            <w:r w:rsidRPr="00E5175E">
              <w:rPr>
                <w:rFonts w:ascii="Times New Roman" w:eastAsia="Times New Roman" w:hAnsi="Times New Roman"/>
                <w:sz w:val="16"/>
                <w:szCs w:val="10"/>
                <w:lang w:eastAsia="es-ES"/>
              </w:rPr>
              <w:t>Tipo de cambio de venta fin de mes</w:t>
            </w:r>
          </w:p>
        </w:tc>
        <w:tc>
          <w:tcPr>
            <w:tcW w:w="966" w:type="dxa"/>
            <w:tcBorders>
              <w:bottom w:val="nil"/>
            </w:tcBorders>
            <w:vAlign w:val="center"/>
          </w:tcPr>
          <w:p w14:paraId="5CA8440F" w14:textId="77777777"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a diciembre 2022</w:t>
            </w:r>
          </w:p>
          <w:p w14:paraId="3E47E21E" w14:textId="5CC8F06D"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Calibri" w:eastAsia="Times New Roman" w:hAnsi="Calibri"/>
                <w:noProof/>
                <w:sz w:val="10"/>
                <w:szCs w:val="10"/>
                <w:lang w:eastAsia="es-GT"/>
              </w:rPr>
              <w:drawing>
                <wp:inline distT="0" distB="0" distL="0" distR="0" wp14:anchorId="0FD53C22" wp14:editId="20E71979">
                  <wp:extent cx="55880" cy="55880"/>
                  <wp:effectExtent l="0" t="0" r="1270" b="1270"/>
                  <wp:docPr id="332" name="Imagen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880" cy="55880"/>
                          </a:xfrm>
                          <a:prstGeom prst="rect">
                            <a:avLst/>
                          </a:prstGeom>
                          <a:noFill/>
                          <a:ln>
                            <a:noFill/>
                          </a:ln>
                        </pic:spPr>
                      </pic:pic>
                    </a:graphicData>
                  </a:graphic>
                </wp:inline>
              </w:drawing>
            </w:r>
            <w:r w:rsidRPr="00E5175E">
              <w:rPr>
                <w:rFonts w:ascii="Times New Roman" w:eastAsia="Times New Roman" w:hAnsi="Times New Roman"/>
                <w:sz w:val="10"/>
                <w:szCs w:val="10"/>
                <w:lang w:eastAsia="es-ES"/>
              </w:rPr>
              <w:t xml:space="preserve">  601.99</w:t>
            </w:r>
          </w:p>
          <w:p w14:paraId="66BA7D9A" w14:textId="77777777" w:rsidR="00E5175E" w:rsidRPr="00E5175E" w:rsidRDefault="00E5175E" w:rsidP="008D7BB4">
            <w:pPr>
              <w:spacing w:line="276" w:lineRule="auto"/>
              <w:contextualSpacing/>
              <w:jc w:val="center"/>
              <w:rPr>
                <w:rFonts w:ascii="Times New Roman" w:eastAsia="Times New Roman" w:hAnsi="Times New Roman"/>
                <w:sz w:val="10"/>
                <w:szCs w:val="10"/>
                <w:lang w:eastAsia="es-ES"/>
              </w:rPr>
            </w:pPr>
          </w:p>
        </w:tc>
        <w:tc>
          <w:tcPr>
            <w:tcW w:w="966" w:type="dxa"/>
            <w:tcBorders>
              <w:bottom w:val="nil"/>
            </w:tcBorders>
            <w:vAlign w:val="center"/>
          </w:tcPr>
          <w:p w14:paraId="1B715B95" w14:textId="77777777"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a diciembre 2022</w:t>
            </w:r>
          </w:p>
          <w:p w14:paraId="66D3266A" w14:textId="74EBE9A2"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Calibri" w:eastAsia="Times New Roman" w:hAnsi="Calibri"/>
                <w:noProof/>
                <w:sz w:val="10"/>
                <w:szCs w:val="10"/>
                <w:lang w:eastAsia="es-GT"/>
              </w:rPr>
              <w:drawing>
                <wp:inline distT="0" distB="0" distL="0" distR="0" wp14:anchorId="02709B5A" wp14:editId="4A7E9376">
                  <wp:extent cx="79375" cy="63500"/>
                  <wp:effectExtent l="0" t="0" r="0" b="0"/>
                  <wp:docPr id="331" name="Imagen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9375" cy="63500"/>
                          </a:xfrm>
                          <a:prstGeom prst="rect">
                            <a:avLst/>
                          </a:prstGeom>
                          <a:noFill/>
                          <a:ln>
                            <a:noFill/>
                          </a:ln>
                        </pic:spPr>
                      </pic:pic>
                    </a:graphicData>
                  </a:graphic>
                </wp:inline>
              </w:drawing>
            </w:r>
            <w:r w:rsidRPr="00E5175E">
              <w:rPr>
                <w:rFonts w:ascii="Times New Roman" w:eastAsia="Times New Roman" w:hAnsi="Times New Roman"/>
                <w:sz w:val="10"/>
                <w:szCs w:val="10"/>
                <w:lang w:eastAsia="es-ES"/>
              </w:rPr>
              <w:t xml:space="preserve">  8.75</w:t>
            </w:r>
          </w:p>
          <w:p w14:paraId="4D758EB1" w14:textId="77777777" w:rsidR="00E5175E" w:rsidRPr="00E5175E" w:rsidRDefault="00E5175E" w:rsidP="008D7BB4">
            <w:pPr>
              <w:spacing w:line="276" w:lineRule="auto"/>
              <w:contextualSpacing/>
              <w:jc w:val="center"/>
              <w:rPr>
                <w:rFonts w:ascii="Times New Roman" w:eastAsia="Times New Roman" w:hAnsi="Times New Roman"/>
                <w:sz w:val="10"/>
                <w:szCs w:val="10"/>
                <w:lang w:eastAsia="es-ES"/>
              </w:rPr>
            </w:pPr>
          </w:p>
        </w:tc>
        <w:tc>
          <w:tcPr>
            <w:tcW w:w="966" w:type="dxa"/>
            <w:tcBorders>
              <w:bottom w:val="nil"/>
            </w:tcBorders>
            <w:vAlign w:val="center"/>
          </w:tcPr>
          <w:p w14:paraId="31F00281" w14:textId="77777777"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a noviembre 2022</w:t>
            </w:r>
          </w:p>
          <w:p w14:paraId="5F9CDF69" w14:textId="702E5875"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Calibri" w:eastAsia="Times New Roman" w:hAnsi="Calibri"/>
                <w:noProof/>
                <w:sz w:val="10"/>
                <w:szCs w:val="10"/>
                <w:lang w:eastAsia="es-GT"/>
              </w:rPr>
              <w:drawing>
                <wp:inline distT="0" distB="0" distL="0" distR="0" wp14:anchorId="35048B9C" wp14:editId="01FA08C0">
                  <wp:extent cx="79375" cy="63500"/>
                  <wp:effectExtent l="0" t="0" r="0" b="0"/>
                  <wp:docPr id="330" name="Imagen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9375" cy="63500"/>
                          </a:xfrm>
                          <a:prstGeom prst="rect">
                            <a:avLst/>
                          </a:prstGeom>
                          <a:noFill/>
                          <a:ln>
                            <a:noFill/>
                          </a:ln>
                        </pic:spPr>
                      </pic:pic>
                    </a:graphicData>
                  </a:graphic>
                </wp:inline>
              </w:drawing>
            </w:r>
            <w:r w:rsidRPr="00E5175E">
              <w:rPr>
                <w:rFonts w:ascii="Times New Roman" w:eastAsia="Times New Roman" w:hAnsi="Times New Roman"/>
                <w:sz w:val="10"/>
                <w:szCs w:val="10"/>
                <w:lang w:eastAsia="es-ES"/>
              </w:rPr>
              <w:t xml:space="preserve">  </w:t>
            </w:r>
            <w:r w:rsidRPr="00E5175E">
              <w:rPr>
                <w:rFonts w:ascii="Times New Roman" w:eastAsia="Times New Roman" w:hAnsi="Times New Roman"/>
                <w:sz w:val="10"/>
                <w:szCs w:val="10"/>
                <w:lang w:val="es-ES_tradnl" w:eastAsia="es-ES"/>
              </w:rPr>
              <w:t xml:space="preserve">        </w:t>
            </w:r>
            <w:r w:rsidRPr="00E5175E">
              <w:rPr>
                <w:rFonts w:ascii="Times New Roman" w:eastAsia="Times New Roman" w:hAnsi="Times New Roman"/>
                <w:sz w:val="10"/>
                <w:szCs w:val="10"/>
                <w:lang w:eastAsia="es-ES"/>
              </w:rPr>
              <w:t>7.87</w:t>
            </w:r>
          </w:p>
          <w:p w14:paraId="2033A31A" w14:textId="77777777" w:rsidR="00E5175E" w:rsidRPr="00E5175E" w:rsidRDefault="00E5175E" w:rsidP="008D7BB4">
            <w:pPr>
              <w:spacing w:line="276" w:lineRule="auto"/>
              <w:contextualSpacing/>
              <w:jc w:val="center"/>
              <w:rPr>
                <w:rFonts w:ascii="Times New Roman" w:eastAsia="Times New Roman" w:hAnsi="Times New Roman"/>
                <w:sz w:val="10"/>
                <w:szCs w:val="10"/>
                <w:lang w:eastAsia="es-ES"/>
              </w:rPr>
            </w:pPr>
          </w:p>
        </w:tc>
        <w:tc>
          <w:tcPr>
            <w:tcW w:w="967" w:type="dxa"/>
            <w:tcBorders>
              <w:bottom w:val="nil"/>
            </w:tcBorders>
            <w:vAlign w:val="center"/>
          </w:tcPr>
          <w:p w14:paraId="7804DBC2" w14:textId="77777777"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a diciembre 2022</w:t>
            </w:r>
          </w:p>
          <w:p w14:paraId="6D6F8DF8" w14:textId="2CDCD915"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Calibri" w:eastAsia="Times New Roman" w:hAnsi="Calibri"/>
                <w:noProof/>
                <w:sz w:val="10"/>
                <w:szCs w:val="10"/>
                <w:lang w:eastAsia="es-GT"/>
              </w:rPr>
              <w:drawing>
                <wp:inline distT="0" distB="0" distL="0" distR="0" wp14:anchorId="0A6CB732" wp14:editId="48457D18">
                  <wp:extent cx="79375" cy="63500"/>
                  <wp:effectExtent l="0" t="0" r="0" b="0"/>
                  <wp:docPr id="329" name="Imagen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9375" cy="63500"/>
                          </a:xfrm>
                          <a:prstGeom prst="rect">
                            <a:avLst/>
                          </a:prstGeom>
                          <a:noFill/>
                          <a:ln>
                            <a:noFill/>
                          </a:ln>
                        </pic:spPr>
                      </pic:pic>
                    </a:graphicData>
                  </a:graphic>
                </wp:inline>
              </w:drawing>
            </w:r>
            <w:r w:rsidRPr="00E5175E">
              <w:rPr>
                <w:rFonts w:ascii="Times New Roman" w:eastAsia="Times New Roman" w:hAnsi="Times New Roman"/>
                <w:sz w:val="10"/>
                <w:szCs w:val="10"/>
                <w:lang w:eastAsia="es-ES"/>
              </w:rPr>
              <w:t xml:space="preserve">  24.72</w:t>
            </w:r>
          </w:p>
          <w:p w14:paraId="6BA663E5" w14:textId="77777777" w:rsidR="00E5175E" w:rsidRPr="00E5175E" w:rsidRDefault="00E5175E" w:rsidP="008D7BB4">
            <w:pPr>
              <w:spacing w:line="276" w:lineRule="auto"/>
              <w:contextualSpacing/>
              <w:jc w:val="center"/>
              <w:rPr>
                <w:rFonts w:ascii="Times New Roman" w:eastAsia="Times New Roman" w:hAnsi="Times New Roman"/>
                <w:sz w:val="10"/>
                <w:szCs w:val="10"/>
                <w:lang w:eastAsia="es-ES"/>
              </w:rPr>
            </w:pPr>
          </w:p>
        </w:tc>
        <w:tc>
          <w:tcPr>
            <w:tcW w:w="966" w:type="dxa"/>
            <w:tcBorders>
              <w:bottom w:val="nil"/>
            </w:tcBorders>
            <w:vAlign w:val="center"/>
          </w:tcPr>
          <w:p w14:paraId="69532B52" w14:textId="77777777"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a octubre 2022</w:t>
            </w:r>
          </w:p>
          <w:p w14:paraId="36B1CE9E" w14:textId="1AD4C7CB"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Calibri" w:eastAsia="Times New Roman" w:hAnsi="Calibri"/>
                <w:noProof/>
                <w:sz w:val="10"/>
                <w:szCs w:val="10"/>
                <w:lang w:eastAsia="es-GT"/>
              </w:rPr>
              <w:drawing>
                <wp:inline distT="0" distB="0" distL="0" distR="0" wp14:anchorId="07BCA347" wp14:editId="065F8DEF">
                  <wp:extent cx="79375" cy="63500"/>
                  <wp:effectExtent l="0" t="0" r="0" b="0"/>
                  <wp:docPr id="328" name="Imagen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9375" cy="63500"/>
                          </a:xfrm>
                          <a:prstGeom prst="rect">
                            <a:avLst/>
                          </a:prstGeom>
                          <a:noFill/>
                          <a:ln>
                            <a:noFill/>
                          </a:ln>
                        </pic:spPr>
                      </pic:pic>
                    </a:graphicData>
                  </a:graphic>
                </wp:inline>
              </w:drawing>
            </w:r>
            <w:r w:rsidRPr="00E5175E">
              <w:rPr>
                <w:rFonts w:ascii="Times New Roman" w:eastAsia="Times New Roman" w:hAnsi="Times New Roman"/>
                <w:sz w:val="10"/>
                <w:szCs w:val="10"/>
                <w:lang w:eastAsia="es-ES"/>
              </w:rPr>
              <w:t xml:space="preserve">  </w:t>
            </w:r>
            <w:r w:rsidRPr="00E5175E">
              <w:rPr>
                <w:rFonts w:ascii="Times New Roman" w:eastAsia="Times New Roman" w:hAnsi="Times New Roman"/>
                <w:sz w:val="10"/>
                <w:szCs w:val="10"/>
                <w:lang w:val="es-ES_tradnl" w:eastAsia="es-ES"/>
              </w:rPr>
              <w:t>36.29</w:t>
            </w:r>
          </w:p>
          <w:p w14:paraId="5E505777" w14:textId="77777777" w:rsidR="00E5175E" w:rsidRPr="00E5175E" w:rsidRDefault="00E5175E" w:rsidP="008D7BB4">
            <w:pPr>
              <w:spacing w:line="276" w:lineRule="auto"/>
              <w:contextualSpacing/>
              <w:jc w:val="center"/>
              <w:rPr>
                <w:rFonts w:ascii="Times New Roman" w:eastAsia="Times New Roman" w:hAnsi="Times New Roman"/>
                <w:sz w:val="10"/>
                <w:szCs w:val="10"/>
                <w:lang w:eastAsia="es-ES"/>
              </w:rPr>
            </w:pPr>
          </w:p>
        </w:tc>
        <w:tc>
          <w:tcPr>
            <w:tcW w:w="966" w:type="dxa"/>
            <w:tcBorders>
              <w:bottom w:val="nil"/>
            </w:tcBorders>
            <w:vAlign w:val="center"/>
          </w:tcPr>
          <w:p w14:paraId="4B3868CA" w14:textId="77777777"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a diciembre 2022</w:t>
            </w:r>
          </w:p>
          <w:p w14:paraId="4E18F130" w14:textId="369AD2DE"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Calibri" w:eastAsia="Times New Roman" w:hAnsi="Calibri"/>
                <w:noProof/>
                <w:sz w:val="10"/>
                <w:szCs w:val="10"/>
                <w:lang w:eastAsia="es-GT"/>
              </w:rPr>
              <w:drawing>
                <wp:inline distT="0" distB="0" distL="0" distR="0" wp14:anchorId="6AD0916A" wp14:editId="65CE4E32">
                  <wp:extent cx="79375" cy="63500"/>
                  <wp:effectExtent l="0" t="0" r="0" b="0"/>
                  <wp:docPr id="327" name="Imagen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9375" cy="63500"/>
                          </a:xfrm>
                          <a:prstGeom prst="rect">
                            <a:avLst/>
                          </a:prstGeom>
                          <a:noFill/>
                          <a:ln>
                            <a:noFill/>
                          </a:ln>
                        </pic:spPr>
                      </pic:pic>
                    </a:graphicData>
                  </a:graphic>
                </wp:inline>
              </w:drawing>
            </w:r>
            <w:r w:rsidRPr="00E5175E">
              <w:rPr>
                <w:rFonts w:ascii="Times New Roman" w:eastAsia="Times New Roman" w:hAnsi="Times New Roman"/>
                <w:sz w:val="10"/>
                <w:szCs w:val="10"/>
                <w:lang w:eastAsia="es-ES"/>
              </w:rPr>
              <w:t xml:space="preserve">  56.41</w:t>
            </w:r>
          </w:p>
          <w:p w14:paraId="2DE9962E" w14:textId="77777777" w:rsidR="00E5175E" w:rsidRPr="00E5175E" w:rsidRDefault="00E5175E" w:rsidP="008D7BB4">
            <w:pPr>
              <w:spacing w:line="276" w:lineRule="auto"/>
              <w:contextualSpacing/>
              <w:jc w:val="center"/>
              <w:rPr>
                <w:rFonts w:ascii="Times New Roman" w:eastAsia="Times New Roman" w:hAnsi="Times New Roman"/>
                <w:sz w:val="10"/>
                <w:szCs w:val="10"/>
                <w:lang w:eastAsia="es-ES"/>
              </w:rPr>
            </w:pPr>
          </w:p>
        </w:tc>
        <w:tc>
          <w:tcPr>
            <w:tcW w:w="967" w:type="dxa"/>
            <w:tcBorders>
              <w:bottom w:val="nil"/>
            </w:tcBorders>
            <w:vAlign w:val="center"/>
          </w:tcPr>
          <w:p w14:paraId="75333115" w14:textId="77777777"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a diciembre 2022</w:t>
            </w:r>
          </w:p>
          <w:p w14:paraId="47EEF2AE" w14:textId="5384F92A"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Calibri" w:eastAsia="Times New Roman" w:hAnsi="Calibri"/>
                <w:noProof/>
                <w:sz w:val="10"/>
                <w:szCs w:val="10"/>
                <w:lang w:eastAsia="es-GT"/>
              </w:rPr>
              <w:drawing>
                <wp:inline distT="0" distB="0" distL="0" distR="0" wp14:anchorId="5E67794E" wp14:editId="265CDC87">
                  <wp:extent cx="55880" cy="55880"/>
                  <wp:effectExtent l="0" t="0" r="1270" b="1270"/>
                  <wp:docPr id="326" name="Imagen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880" cy="55880"/>
                          </a:xfrm>
                          <a:prstGeom prst="rect">
                            <a:avLst/>
                          </a:prstGeom>
                          <a:noFill/>
                          <a:ln>
                            <a:noFill/>
                          </a:ln>
                        </pic:spPr>
                      </pic:pic>
                    </a:graphicData>
                  </a:graphic>
                </wp:inline>
              </w:drawing>
            </w:r>
            <w:r w:rsidRPr="00E5175E">
              <w:rPr>
                <w:rFonts w:ascii="Times New Roman" w:eastAsia="Times New Roman" w:hAnsi="Times New Roman"/>
                <w:sz w:val="10"/>
                <w:szCs w:val="10"/>
                <w:lang w:eastAsia="es-ES"/>
              </w:rPr>
              <w:t xml:space="preserve">  1.0</w:t>
            </w:r>
          </w:p>
          <w:p w14:paraId="34E0E763" w14:textId="77777777" w:rsidR="00E5175E" w:rsidRPr="00E5175E" w:rsidRDefault="00E5175E" w:rsidP="008D7BB4">
            <w:pPr>
              <w:spacing w:line="276" w:lineRule="auto"/>
              <w:contextualSpacing/>
              <w:jc w:val="center"/>
              <w:rPr>
                <w:rFonts w:ascii="Times New Roman" w:eastAsia="Times New Roman" w:hAnsi="Times New Roman"/>
                <w:sz w:val="10"/>
                <w:szCs w:val="10"/>
                <w:lang w:eastAsia="es-ES"/>
              </w:rPr>
            </w:pPr>
          </w:p>
        </w:tc>
      </w:tr>
      <w:tr w:rsidR="00E5175E" w:rsidRPr="00E5175E" w14:paraId="5A02097D" w14:textId="77777777" w:rsidTr="006825AB">
        <w:trPr>
          <w:trHeight w:val="18"/>
          <w:jc w:val="center"/>
        </w:trPr>
        <w:tc>
          <w:tcPr>
            <w:tcW w:w="1830" w:type="dxa"/>
            <w:tcBorders>
              <w:top w:val="nil"/>
              <w:bottom w:val="nil"/>
            </w:tcBorders>
            <w:vAlign w:val="center"/>
          </w:tcPr>
          <w:p w14:paraId="74CB2B3E" w14:textId="77777777" w:rsidR="00E5175E" w:rsidRPr="00E5175E" w:rsidRDefault="00E5175E" w:rsidP="008D7BB4">
            <w:pPr>
              <w:spacing w:line="276" w:lineRule="auto"/>
              <w:contextualSpacing/>
              <w:rPr>
                <w:rFonts w:ascii="Times New Roman" w:eastAsia="Times New Roman" w:hAnsi="Times New Roman"/>
                <w:sz w:val="14"/>
                <w:szCs w:val="10"/>
                <w:lang w:eastAsia="es-ES"/>
              </w:rPr>
            </w:pPr>
            <w:r w:rsidRPr="00E5175E">
              <w:rPr>
                <w:rFonts w:ascii="Times New Roman" w:eastAsia="Times New Roman" w:hAnsi="Times New Roman"/>
                <w:sz w:val="14"/>
                <w:szCs w:val="10"/>
                <w:lang w:eastAsia="es-ES"/>
              </w:rPr>
              <w:t>ITCER global</w:t>
            </w:r>
          </w:p>
        </w:tc>
        <w:tc>
          <w:tcPr>
            <w:tcW w:w="966" w:type="dxa"/>
            <w:tcBorders>
              <w:top w:val="nil"/>
              <w:bottom w:val="nil"/>
            </w:tcBorders>
            <w:vAlign w:val="center"/>
          </w:tcPr>
          <w:p w14:paraId="3146E30F" w14:textId="77777777"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a noviembre 2022</w:t>
            </w:r>
          </w:p>
          <w:p w14:paraId="078181E8" w14:textId="1B28C195"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Calibri" w:eastAsia="Times New Roman" w:hAnsi="Calibri"/>
                <w:noProof/>
                <w:sz w:val="10"/>
                <w:szCs w:val="10"/>
                <w:lang w:eastAsia="es-GT"/>
              </w:rPr>
              <w:drawing>
                <wp:inline distT="0" distB="0" distL="0" distR="0" wp14:anchorId="42A59175" wp14:editId="42FA6606">
                  <wp:extent cx="55880" cy="55880"/>
                  <wp:effectExtent l="0" t="0" r="1270" b="1270"/>
                  <wp:docPr id="325" name="Imagen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880" cy="55880"/>
                          </a:xfrm>
                          <a:prstGeom prst="rect">
                            <a:avLst/>
                          </a:prstGeom>
                          <a:noFill/>
                          <a:ln>
                            <a:noFill/>
                          </a:ln>
                        </pic:spPr>
                      </pic:pic>
                    </a:graphicData>
                  </a:graphic>
                </wp:inline>
              </w:drawing>
            </w:r>
            <w:r w:rsidRPr="00E5175E">
              <w:rPr>
                <w:rFonts w:ascii="Times New Roman" w:eastAsia="Times New Roman" w:hAnsi="Times New Roman"/>
                <w:sz w:val="10"/>
                <w:szCs w:val="10"/>
                <w:lang w:eastAsia="es-ES"/>
              </w:rPr>
              <w:t xml:space="preserve">  -8.27%</w:t>
            </w:r>
          </w:p>
          <w:p w14:paraId="0E615163" w14:textId="77777777" w:rsidR="00E5175E" w:rsidRPr="00E5175E" w:rsidRDefault="00E5175E" w:rsidP="008D7BB4">
            <w:pPr>
              <w:spacing w:line="276" w:lineRule="auto"/>
              <w:contextualSpacing/>
              <w:jc w:val="center"/>
              <w:rPr>
                <w:rFonts w:ascii="Times New Roman" w:eastAsia="Times New Roman" w:hAnsi="Times New Roman"/>
                <w:sz w:val="10"/>
                <w:szCs w:val="10"/>
                <w:lang w:eastAsia="es-ES"/>
              </w:rPr>
            </w:pPr>
          </w:p>
        </w:tc>
        <w:tc>
          <w:tcPr>
            <w:tcW w:w="966" w:type="dxa"/>
            <w:tcBorders>
              <w:top w:val="nil"/>
              <w:bottom w:val="nil"/>
            </w:tcBorders>
            <w:vAlign w:val="center"/>
          </w:tcPr>
          <w:p w14:paraId="467C0DF8" w14:textId="77777777"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a noviembre 2022</w:t>
            </w:r>
          </w:p>
          <w:p w14:paraId="2030B61E" w14:textId="3D4ACBF0"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Calibri" w:eastAsia="Times New Roman" w:hAnsi="Calibri"/>
                <w:noProof/>
                <w:sz w:val="10"/>
                <w:szCs w:val="10"/>
                <w:lang w:eastAsia="es-GT"/>
              </w:rPr>
              <w:drawing>
                <wp:inline distT="0" distB="0" distL="0" distR="0" wp14:anchorId="64CA1376" wp14:editId="6722CE22">
                  <wp:extent cx="55880" cy="55880"/>
                  <wp:effectExtent l="0" t="0" r="1270" b="1270"/>
                  <wp:docPr id="324" name="Imagen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880" cy="55880"/>
                          </a:xfrm>
                          <a:prstGeom prst="rect">
                            <a:avLst/>
                          </a:prstGeom>
                          <a:noFill/>
                          <a:ln>
                            <a:noFill/>
                          </a:ln>
                        </pic:spPr>
                      </pic:pic>
                    </a:graphicData>
                  </a:graphic>
                </wp:inline>
              </w:drawing>
            </w:r>
            <w:r w:rsidRPr="00E5175E">
              <w:rPr>
                <w:rFonts w:ascii="Times New Roman" w:eastAsia="Times New Roman" w:hAnsi="Times New Roman"/>
                <w:sz w:val="10"/>
                <w:szCs w:val="10"/>
                <w:lang w:eastAsia="es-ES"/>
              </w:rPr>
              <w:t xml:space="preserve">  -2.34%</w:t>
            </w:r>
          </w:p>
          <w:p w14:paraId="07C75A45" w14:textId="77777777" w:rsidR="00E5175E" w:rsidRPr="00E5175E" w:rsidRDefault="00E5175E" w:rsidP="008D7BB4">
            <w:pPr>
              <w:spacing w:line="276" w:lineRule="auto"/>
              <w:contextualSpacing/>
              <w:jc w:val="center"/>
              <w:rPr>
                <w:rFonts w:ascii="Times New Roman" w:eastAsia="Times New Roman" w:hAnsi="Times New Roman"/>
                <w:sz w:val="10"/>
                <w:szCs w:val="10"/>
                <w:lang w:eastAsia="es-ES"/>
              </w:rPr>
            </w:pPr>
          </w:p>
        </w:tc>
        <w:tc>
          <w:tcPr>
            <w:tcW w:w="966" w:type="dxa"/>
            <w:tcBorders>
              <w:top w:val="nil"/>
              <w:bottom w:val="nil"/>
            </w:tcBorders>
            <w:vAlign w:val="center"/>
          </w:tcPr>
          <w:p w14:paraId="05DEB37B" w14:textId="77777777"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a noviembre 2022</w:t>
            </w:r>
          </w:p>
          <w:p w14:paraId="4B9821D1" w14:textId="3A556E16"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Calibri" w:eastAsia="Times New Roman" w:hAnsi="Calibri"/>
                <w:noProof/>
                <w:sz w:val="10"/>
                <w:szCs w:val="10"/>
                <w:lang w:eastAsia="es-GT"/>
              </w:rPr>
              <w:drawing>
                <wp:inline distT="0" distB="0" distL="0" distR="0" wp14:anchorId="37598D87" wp14:editId="57C4F770">
                  <wp:extent cx="79375" cy="63500"/>
                  <wp:effectExtent l="0" t="0" r="0" b="0"/>
                  <wp:docPr id="323" name="Imagen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9375" cy="63500"/>
                          </a:xfrm>
                          <a:prstGeom prst="rect">
                            <a:avLst/>
                          </a:prstGeom>
                          <a:noFill/>
                          <a:ln>
                            <a:noFill/>
                          </a:ln>
                        </pic:spPr>
                      </pic:pic>
                    </a:graphicData>
                  </a:graphic>
                </wp:inline>
              </w:drawing>
            </w:r>
            <w:r w:rsidRPr="00E5175E">
              <w:rPr>
                <w:rFonts w:ascii="Times New Roman" w:eastAsia="Times New Roman" w:hAnsi="Times New Roman"/>
                <w:sz w:val="10"/>
                <w:szCs w:val="10"/>
                <w:lang w:eastAsia="es-ES"/>
              </w:rPr>
              <w:t xml:space="preserve">  -2.86%</w:t>
            </w:r>
          </w:p>
          <w:p w14:paraId="2656283E" w14:textId="77777777" w:rsidR="00E5175E" w:rsidRPr="00E5175E" w:rsidRDefault="00E5175E" w:rsidP="008D7BB4">
            <w:pPr>
              <w:spacing w:line="276" w:lineRule="auto"/>
              <w:contextualSpacing/>
              <w:jc w:val="center"/>
              <w:rPr>
                <w:rFonts w:ascii="Times New Roman" w:eastAsia="Times New Roman" w:hAnsi="Times New Roman"/>
                <w:sz w:val="10"/>
                <w:szCs w:val="10"/>
                <w:lang w:eastAsia="es-ES"/>
              </w:rPr>
            </w:pPr>
          </w:p>
        </w:tc>
        <w:tc>
          <w:tcPr>
            <w:tcW w:w="967" w:type="dxa"/>
            <w:tcBorders>
              <w:top w:val="nil"/>
              <w:bottom w:val="nil"/>
            </w:tcBorders>
            <w:vAlign w:val="center"/>
          </w:tcPr>
          <w:p w14:paraId="525299C8" w14:textId="77777777"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a noviembre 2022</w:t>
            </w:r>
          </w:p>
          <w:p w14:paraId="45E25D88" w14:textId="0F0A99AD"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Calibri" w:eastAsia="Times New Roman" w:hAnsi="Calibri"/>
                <w:noProof/>
                <w:sz w:val="10"/>
                <w:szCs w:val="10"/>
                <w:lang w:eastAsia="es-GT"/>
              </w:rPr>
              <w:drawing>
                <wp:inline distT="0" distB="0" distL="0" distR="0" wp14:anchorId="019750F5" wp14:editId="7480DF7C">
                  <wp:extent cx="79375" cy="63500"/>
                  <wp:effectExtent l="0" t="0" r="0" b="0"/>
                  <wp:docPr id="322" name="Imagen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9375" cy="63500"/>
                          </a:xfrm>
                          <a:prstGeom prst="rect">
                            <a:avLst/>
                          </a:prstGeom>
                          <a:noFill/>
                          <a:ln>
                            <a:noFill/>
                          </a:ln>
                        </pic:spPr>
                      </pic:pic>
                    </a:graphicData>
                  </a:graphic>
                </wp:inline>
              </w:drawing>
            </w:r>
            <w:r w:rsidRPr="00E5175E">
              <w:rPr>
                <w:rFonts w:ascii="Times New Roman" w:eastAsia="Times New Roman" w:hAnsi="Times New Roman"/>
                <w:sz w:val="10"/>
                <w:szCs w:val="10"/>
                <w:lang w:eastAsia="es-ES"/>
              </w:rPr>
              <w:t xml:space="preserve">  -3.68%</w:t>
            </w:r>
          </w:p>
          <w:p w14:paraId="182AF603" w14:textId="77777777" w:rsidR="00E5175E" w:rsidRPr="00E5175E" w:rsidRDefault="00E5175E" w:rsidP="008D7BB4">
            <w:pPr>
              <w:spacing w:line="276" w:lineRule="auto"/>
              <w:contextualSpacing/>
              <w:jc w:val="center"/>
              <w:rPr>
                <w:rFonts w:ascii="Times New Roman" w:eastAsia="Times New Roman" w:hAnsi="Times New Roman"/>
                <w:sz w:val="10"/>
                <w:szCs w:val="10"/>
                <w:lang w:eastAsia="es-ES"/>
              </w:rPr>
            </w:pPr>
          </w:p>
        </w:tc>
        <w:tc>
          <w:tcPr>
            <w:tcW w:w="966" w:type="dxa"/>
            <w:tcBorders>
              <w:top w:val="nil"/>
              <w:bottom w:val="nil"/>
            </w:tcBorders>
            <w:vAlign w:val="center"/>
          </w:tcPr>
          <w:p w14:paraId="432C8F21" w14:textId="77777777"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a noviembre 2022</w:t>
            </w:r>
          </w:p>
          <w:p w14:paraId="1F7BCE1D" w14:textId="291CF304"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Calibri" w:eastAsia="Times New Roman" w:hAnsi="Calibri"/>
                <w:noProof/>
                <w:sz w:val="10"/>
                <w:szCs w:val="10"/>
                <w:lang w:eastAsia="es-GT"/>
              </w:rPr>
              <w:drawing>
                <wp:inline distT="0" distB="0" distL="0" distR="0" wp14:anchorId="25098379" wp14:editId="0EB74D4B">
                  <wp:extent cx="55880" cy="55880"/>
                  <wp:effectExtent l="0" t="0" r="1270" b="1270"/>
                  <wp:docPr id="321" name="Imagen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880" cy="55880"/>
                          </a:xfrm>
                          <a:prstGeom prst="rect">
                            <a:avLst/>
                          </a:prstGeom>
                          <a:noFill/>
                          <a:ln>
                            <a:noFill/>
                          </a:ln>
                        </pic:spPr>
                      </pic:pic>
                    </a:graphicData>
                  </a:graphic>
                </wp:inline>
              </w:drawing>
            </w:r>
            <w:r w:rsidRPr="00E5175E">
              <w:rPr>
                <w:rFonts w:ascii="Times New Roman" w:eastAsia="Times New Roman" w:hAnsi="Times New Roman"/>
                <w:sz w:val="10"/>
                <w:szCs w:val="10"/>
                <w:lang w:eastAsia="es-ES"/>
              </w:rPr>
              <w:t xml:space="preserve">  -4.53%</w:t>
            </w:r>
          </w:p>
          <w:p w14:paraId="6B9F024D" w14:textId="77777777" w:rsidR="00E5175E" w:rsidRPr="00E5175E" w:rsidRDefault="00E5175E" w:rsidP="008D7BB4">
            <w:pPr>
              <w:spacing w:line="276" w:lineRule="auto"/>
              <w:contextualSpacing/>
              <w:jc w:val="center"/>
              <w:rPr>
                <w:rFonts w:ascii="Times New Roman" w:eastAsia="Times New Roman" w:hAnsi="Times New Roman"/>
                <w:sz w:val="10"/>
                <w:szCs w:val="10"/>
                <w:lang w:eastAsia="es-ES"/>
              </w:rPr>
            </w:pPr>
          </w:p>
        </w:tc>
        <w:tc>
          <w:tcPr>
            <w:tcW w:w="966" w:type="dxa"/>
            <w:tcBorders>
              <w:top w:val="nil"/>
              <w:bottom w:val="nil"/>
            </w:tcBorders>
            <w:vAlign w:val="center"/>
          </w:tcPr>
          <w:p w14:paraId="4E284706" w14:textId="77777777"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a octubre 2022</w:t>
            </w:r>
          </w:p>
          <w:p w14:paraId="7A397F2D" w14:textId="6DB78FCF"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Calibri" w:eastAsia="Times New Roman" w:hAnsi="Calibri"/>
                <w:noProof/>
                <w:sz w:val="10"/>
                <w:szCs w:val="10"/>
                <w:lang w:eastAsia="es-GT"/>
              </w:rPr>
              <w:drawing>
                <wp:inline distT="0" distB="0" distL="0" distR="0" wp14:anchorId="790582D6" wp14:editId="5A363C63">
                  <wp:extent cx="79375" cy="63500"/>
                  <wp:effectExtent l="0" t="0" r="0" b="0"/>
                  <wp:docPr id="320" name="Imagen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9375" cy="63500"/>
                          </a:xfrm>
                          <a:prstGeom prst="rect">
                            <a:avLst/>
                          </a:prstGeom>
                          <a:noFill/>
                          <a:ln>
                            <a:noFill/>
                          </a:ln>
                        </pic:spPr>
                      </pic:pic>
                    </a:graphicData>
                  </a:graphic>
                </wp:inline>
              </w:drawing>
            </w:r>
            <w:r w:rsidRPr="00E5175E">
              <w:rPr>
                <w:rFonts w:ascii="Times New Roman" w:eastAsia="Times New Roman" w:hAnsi="Times New Roman"/>
                <w:sz w:val="10"/>
                <w:szCs w:val="10"/>
                <w:lang w:eastAsia="es-ES"/>
              </w:rPr>
              <w:t xml:space="preserve">  -9.61%</w:t>
            </w:r>
          </w:p>
          <w:p w14:paraId="0AD0E4ED" w14:textId="77777777" w:rsidR="00E5175E" w:rsidRPr="00E5175E" w:rsidRDefault="00E5175E" w:rsidP="008D7BB4">
            <w:pPr>
              <w:spacing w:line="276" w:lineRule="auto"/>
              <w:contextualSpacing/>
              <w:jc w:val="center"/>
              <w:rPr>
                <w:rFonts w:ascii="Times New Roman" w:eastAsia="Times New Roman" w:hAnsi="Times New Roman"/>
                <w:sz w:val="10"/>
                <w:szCs w:val="10"/>
                <w:lang w:eastAsia="es-ES"/>
              </w:rPr>
            </w:pPr>
          </w:p>
        </w:tc>
        <w:tc>
          <w:tcPr>
            <w:tcW w:w="967" w:type="dxa"/>
            <w:tcBorders>
              <w:top w:val="nil"/>
              <w:bottom w:val="nil"/>
            </w:tcBorders>
            <w:vAlign w:val="center"/>
          </w:tcPr>
          <w:p w14:paraId="0AEB0A14" w14:textId="77777777"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a noviembre 2022</w:t>
            </w:r>
          </w:p>
          <w:p w14:paraId="75EE5AA8" w14:textId="1C681C5E"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Calibri" w:eastAsia="Times New Roman" w:hAnsi="Calibri"/>
                <w:noProof/>
                <w:sz w:val="10"/>
                <w:szCs w:val="10"/>
                <w:lang w:eastAsia="es-GT"/>
              </w:rPr>
              <w:drawing>
                <wp:inline distT="0" distB="0" distL="0" distR="0" wp14:anchorId="637934D4" wp14:editId="202A9378">
                  <wp:extent cx="55880" cy="55880"/>
                  <wp:effectExtent l="0" t="0" r="1270" b="1270"/>
                  <wp:docPr id="319" name="Imagen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880" cy="55880"/>
                          </a:xfrm>
                          <a:prstGeom prst="rect">
                            <a:avLst/>
                          </a:prstGeom>
                          <a:noFill/>
                          <a:ln>
                            <a:noFill/>
                          </a:ln>
                        </pic:spPr>
                      </pic:pic>
                    </a:graphicData>
                  </a:graphic>
                </wp:inline>
              </w:drawing>
            </w:r>
            <w:r w:rsidRPr="00E5175E">
              <w:rPr>
                <w:rFonts w:ascii="Times New Roman" w:eastAsia="Times New Roman" w:hAnsi="Times New Roman"/>
                <w:sz w:val="10"/>
                <w:szCs w:val="10"/>
                <w:lang w:eastAsia="es-ES"/>
              </w:rPr>
              <w:t xml:space="preserve">  -0.81%</w:t>
            </w:r>
          </w:p>
          <w:p w14:paraId="5418E47A" w14:textId="77777777" w:rsidR="00E5175E" w:rsidRPr="00E5175E" w:rsidRDefault="00E5175E" w:rsidP="008D7BB4">
            <w:pPr>
              <w:spacing w:line="276" w:lineRule="auto"/>
              <w:contextualSpacing/>
              <w:jc w:val="center"/>
              <w:rPr>
                <w:rFonts w:ascii="Times New Roman" w:eastAsia="Times New Roman" w:hAnsi="Times New Roman"/>
                <w:sz w:val="10"/>
                <w:szCs w:val="10"/>
                <w:lang w:eastAsia="es-ES"/>
              </w:rPr>
            </w:pPr>
          </w:p>
        </w:tc>
      </w:tr>
      <w:tr w:rsidR="00E5175E" w:rsidRPr="00E5175E" w14:paraId="3C24AE54" w14:textId="77777777" w:rsidTr="006825AB">
        <w:trPr>
          <w:trHeight w:val="18"/>
          <w:jc w:val="center"/>
        </w:trPr>
        <w:tc>
          <w:tcPr>
            <w:tcW w:w="1830" w:type="dxa"/>
            <w:tcBorders>
              <w:top w:val="nil"/>
            </w:tcBorders>
            <w:vAlign w:val="center"/>
          </w:tcPr>
          <w:p w14:paraId="1B32F334" w14:textId="77777777" w:rsidR="00E5175E" w:rsidRPr="00E5175E" w:rsidRDefault="00E5175E" w:rsidP="008D7BB4">
            <w:pPr>
              <w:spacing w:line="276" w:lineRule="auto"/>
              <w:contextualSpacing/>
              <w:rPr>
                <w:rFonts w:ascii="Times New Roman" w:eastAsia="Times New Roman" w:hAnsi="Times New Roman"/>
                <w:sz w:val="14"/>
                <w:szCs w:val="10"/>
                <w:lang w:eastAsia="es-ES"/>
              </w:rPr>
            </w:pPr>
            <w:r w:rsidRPr="00E5175E">
              <w:rPr>
                <w:rFonts w:ascii="Times New Roman" w:eastAsia="Times New Roman" w:hAnsi="Times New Roman"/>
                <w:sz w:val="14"/>
                <w:szCs w:val="10"/>
                <w:lang w:eastAsia="es-ES"/>
              </w:rPr>
              <w:t>ITCER con USA</w:t>
            </w:r>
          </w:p>
        </w:tc>
        <w:tc>
          <w:tcPr>
            <w:tcW w:w="966" w:type="dxa"/>
            <w:tcBorders>
              <w:top w:val="nil"/>
            </w:tcBorders>
            <w:vAlign w:val="center"/>
          </w:tcPr>
          <w:p w14:paraId="0CA8CFDC" w14:textId="77777777"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a noviembre 2022</w:t>
            </w:r>
          </w:p>
          <w:p w14:paraId="433AE6B7" w14:textId="59196BAC"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Calibri" w:eastAsia="Times New Roman" w:hAnsi="Calibri"/>
                <w:noProof/>
                <w:sz w:val="10"/>
                <w:szCs w:val="10"/>
                <w:lang w:eastAsia="es-GT"/>
              </w:rPr>
              <w:drawing>
                <wp:inline distT="0" distB="0" distL="0" distR="0" wp14:anchorId="3BEC8C99" wp14:editId="7F722599">
                  <wp:extent cx="55880" cy="55880"/>
                  <wp:effectExtent l="0" t="0" r="1270" b="1270"/>
                  <wp:docPr id="318" name="Imagen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880" cy="55880"/>
                          </a:xfrm>
                          <a:prstGeom prst="rect">
                            <a:avLst/>
                          </a:prstGeom>
                          <a:noFill/>
                          <a:ln>
                            <a:noFill/>
                          </a:ln>
                        </pic:spPr>
                      </pic:pic>
                    </a:graphicData>
                  </a:graphic>
                </wp:inline>
              </w:drawing>
            </w:r>
            <w:r w:rsidRPr="00E5175E">
              <w:rPr>
                <w:rFonts w:ascii="Times New Roman" w:eastAsia="Times New Roman" w:hAnsi="Times New Roman"/>
                <w:sz w:val="10"/>
                <w:szCs w:val="10"/>
                <w:lang w:eastAsia="es-ES"/>
              </w:rPr>
              <w:t xml:space="preserve">  -5.08%</w:t>
            </w:r>
          </w:p>
          <w:p w14:paraId="45B1D25F" w14:textId="77777777" w:rsidR="00E5175E" w:rsidRPr="00E5175E" w:rsidRDefault="00E5175E" w:rsidP="008D7BB4">
            <w:pPr>
              <w:spacing w:line="276" w:lineRule="auto"/>
              <w:contextualSpacing/>
              <w:jc w:val="center"/>
              <w:rPr>
                <w:rFonts w:ascii="Times New Roman" w:eastAsia="Times New Roman" w:hAnsi="Times New Roman"/>
                <w:sz w:val="10"/>
                <w:szCs w:val="10"/>
                <w:lang w:eastAsia="es-ES"/>
              </w:rPr>
            </w:pPr>
          </w:p>
        </w:tc>
        <w:tc>
          <w:tcPr>
            <w:tcW w:w="966" w:type="dxa"/>
            <w:tcBorders>
              <w:top w:val="nil"/>
            </w:tcBorders>
            <w:vAlign w:val="center"/>
          </w:tcPr>
          <w:p w14:paraId="51E062D3" w14:textId="77777777"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a noviembre 2022</w:t>
            </w:r>
          </w:p>
          <w:p w14:paraId="283C0A1A" w14:textId="609F0953"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Calibri" w:eastAsia="Times New Roman" w:hAnsi="Calibri"/>
                <w:noProof/>
                <w:sz w:val="10"/>
                <w:szCs w:val="10"/>
                <w:lang w:eastAsia="es-GT"/>
              </w:rPr>
              <w:drawing>
                <wp:inline distT="0" distB="0" distL="0" distR="0" wp14:anchorId="7CDA8C6A" wp14:editId="6B957B10">
                  <wp:extent cx="55880" cy="55880"/>
                  <wp:effectExtent l="0" t="0" r="1270" b="1270"/>
                  <wp:docPr id="317" name="Imagen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880" cy="55880"/>
                          </a:xfrm>
                          <a:prstGeom prst="rect">
                            <a:avLst/>
                          </a:prstGeom>
                          <a:noFill/>
                          <a:ln>
                            <a:noFill/>
                          </a:ln>
                        </pic:spPr>
                      </pic:pic>
                    </a:graphicData>
                  </a:graphic>
                </wp:inline>
              </w:drawing>
            </w:r>
            <w:r w:rsidRPr="00E5175E">
              <w:rPr>
                <w:rFonts w:ascii="Times New Roman" w:eastAsia="Times New Roman" w:hAnsi="Times New Roman"/>
                <w:sz w:val="10"/>
                <w:szCs w:val="10"/>
                <w:lang w:eastAsia="es-ES"/>
              </w:rPr>
              <w:t xml:space="preserve">  -0.19%</w:t>
            </w:r>
          </w:p>
          <w:p w14:paraId="225C4BEF" w14:textId="77777777" w:rsidR="00E5175E" w:rsidRPr="00E5175E" w:rsidRDefault="00E5175E" w:rsidP="008D7BB4">
            <w:pPr>
              <w:spacing w:line="276" w:lineRule="auto"/>
              <w:contextualSpacing/>
              <w:jc w:val="center"/>
              <w:rPr>
                <w:rFonts w:ascii="Times New Roman" w:eastAsia="Times New Roman" w:hAnsi="Times New Roman"/>
                <w:sz w:val="10"/>
                <w:szCs w:val="10"/>
                <w:lang w:eastAsia="es-ES"/>
              </w:rPr>
            </w:pPr>
          </w:p>
        </w:tc>
        <w:tc>
          <w:tcPr>
            <w:tcW w:w="966" w:type="dxa"/>
            <w:tcBorders>
              <w:top w:val="nil"/>
            </w:tcBorders>
            <w:vAlign w:val="center"/>
          </w:tcPr>
          <w:p w14:paraId="49D9C40D" w14:textId="77777777"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a noviembre 2022</w:t>
            </w:r>
          </w:p>
          <w:p w14:paraId="4242F15A" w14:textId="1BC85EA1"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Calibri" w:eastAsia="Times New Roman" w:hAnsi="Calibri"/>
                <w:noProof/>
                <w:sz w:val="10"/>
                <w:szCs w:val="10"/>
                <w:lang w:eastAsia="es-GT"/>
              </w:rPr>
              <w:drawing>
                <wp:inline distT="0" distB="0" distL="0" distR="0" wp14:anchorId="6749BF9B" wp14:editId="07E949FF">
                  <wp:extent cx="55880" cy="55880"/>
                  <wp:effectExtent l="0" t="0" r="1270" b="1270"/>
                  <wp:docPr id="316" name="Imagen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880" cy="55880"/>
                          </a:xfrm>
                          <a:prstGeom prst="rect">
                            <a:avLst/>
                          </a:prstGeom>
                          <a:noFill/>
                          <a:ln>
                            <a:noFill/>
                          </a:ln>
                        </pic:spPr>
                      </pic:pic>
                    </a:graphicData>
                  </a:graphic>
                </wp:inline>
              </w:drawing>
            </w:r>
            <w:r w:rsidRPr="00E5175E">
              <w:rPr>
                <w:rFonts w:ascii="Times New Roman" w:eastAsia="Times New Roman" w:hAnsi="Times New Roman"/>
                <w:sz w:val="10"/>
                <w:szCs w:val="10"/>
                <w:lang w:eastAsia="es-ES"/>
              </w:rPr>
              <w:t xml:space="preserve">  -0.89%</w:t>
            </w:r>
          </w:p>
          <w:p w14:paraId="1D31E03D" w14:textId="77777777" w:rsidR="00E5175E" w:rsidRPr="00E5175E" w:rsidRDefault="00E5175E" w:rsidP="008D7BB4">
            <w:pPr>
              <w:spacing w:line="276" w:lineRule="auto"/>
              <w:contextualSpacing/>
              <w:jc w:val="center"/>
              <w:rPr>
                <w:rFonts w:ascii="Times New Roman" w:eastAsia="Times New Roman" w:hAnsi="Times New Roman"/>
                <w:sz w:val="10"/>
                <w:szCs w:val="10"/>
                <w:lang w:eastAsia="es-ES"/>
              </w:rPr>
            </w:pPr>
          </w:p>
        </w:tc>
        <w:tc>
          <w:tcPr>
            <w:tcW w:w="967" w:type="dxa"/>
            <w:tcBorders>
              <w:top w:val="nil"/>
            </w:tcBorders>
            <w:vAlign w:val="center"/>
          </w:tcPr>
          <w:p w14:paraId="1D745622" w14:textId="77777777"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a noviembre 2022</w:t>
            </w:r>
          </w:p>
          <w:p w14:paraId="13192541" w14:textId="5E561A4E"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Calibri" w:eastAsia="Times New Roman" w:hAnsi="Calibri"/>
                <w:noProof/>
                <w:sz w:val="10"/>
                <w:szCs w:val="10"/>
                <w:lang w:eastAsia="es-GT"/>
              </w:rPr>
              <w:drawing>
                <wp:inline distT="0" distB="0" distL="0" distR="0" wp14:anchorId="13489C51" wp14:editId="72F5E4C4">
                  <wp:extent cx="79375" cy="63500"/>
                  <wp:effectExtent l="0" t="0" r="0" b="0"/>
                  <wp:docPr id="315" name="Imagen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9375" cy="63500"/>
                          </a:xfrm>
                          <a:prstGeom prst="rect">
                            <a:avLst/>
                          </a:prstGeom>
                          <a:noFill/>
                          <a:ln>
                            <a:noFill/>
                          </a:ln>
                        </pic:spPr>
                      </pic:pic>
                    </a:graphicData>
                  </a:graphic>
                </wp:inline>
              </w:drawing>
            </w:r>
            <w:r w:rsidRPr="00E5175E">
              <w:rPr>
                <w:rFonts w:ascii="Times New Roman" w:eastAsia="Times New Roman" w:hAnsi="Times New Roman"/>
                <w:sz w:val="10"/>
                <w:szCs w:val="10"/>
                <w:lang w:eastAsia="es-ES"/>
              </w:rPr>
              <w:t xml:space="preserve">  -0.74%</w:t>
            </w:r>
          </w:p>
          <w:p w14:paraId="46B6EC5B" w14:textId="77777777" w:rsidR="00E5175E" w:rsidRPr="00E5175E" w:rsidRDefault="00E5175E" w:rsidP="008D7BB4">
            <w:pPr>
              <w:spacing w:line="276" w:lineRule="auto"/>
              <w:contextualSpacing/>
              <w:jc w:val="center"/>
              <w:rPr>
                <w:rFonts w:ascii="Times New Roman" w:eastAsia="Times New Roman" w:hAnsi="Times New Roman"/>
                <w:sz w:val="10"/>
                <w:szCs w:val="10"/>
                <w:lang w:eastAsia="es-ES"/>
              </w:rPr>
            </w:pPr>
          </w:p>
        </w:tc>
        <w:tc>
          <w:tcPr>
            <w:tcW w:w="966" w:type="dxa"/>
            <w:tcBorders>
              <w:top w:val="nil"/>
            </w:tcBorders>
            <w:vAlign w:val="center"/>
          </w:tcPr>
          <w:p w14:paraId="72962C4F" w14:textId="77777777"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a noviembre 2022</w:t>
            </w:r>
          </w:p>
          <w:p w14:paraId="062EB6F5" w14:textId="325372A9"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Calibri" w:eastAsia="Times New Roman" w:hAnsi="Calibri"/>
                <w:noProof/>
                <w:sz w:val="10"/>
                <w:szCs w:val="10"/>
                <w:lang w:eastAsia="es-GT"/>
              </w:rPr>
              <w:drawing>
                <wp:inline distT="0" distB="0" distL="0" distR="0" wp14:anchorId="63A17E54" wp14:editId="1F3E4115">
                  <wp:extent cx="55880" cy="55880"/>
                  <wp:effectExtent l="0" t="0" r="1270" b="1270"/>
                  <wp:docPr id="314" name="Imagen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880" cy="55880"/>
                          </a:xfrm>
                          <a:prstGeom prst="rect">
                            <a:avLst/>
                          </a:prstGeom>
                          <a:noFill/>
                          <a:ln>
                            <a:noFill/>
                          </a:ln>
                        </pic:spPr>
                      </pic:pic>
                    </a:graphicData>
                  </a:graphic>
                </wp:inline>
              </w:drawing>
            </w:r>
            <w:r w:rsidRPr="00E5175E">
              <w:rPr>
                <w:rFonts w:ascii="Times New Roman" w:eastAsia="Times New Roman" w:hAnsi="Times New Roman"/>
                <w:sz w:val="10"/>
                <w:szCs w:val="10"/>
                <w:lang w:eastAsia="es-ES"/>
              </w:rPr>
              <w:t xml:space="preserve">  -2.03%</w:t>
            </w:r>
          </w:p>
          <w:p w14:paraId="492D89FA" w14:textId="77777777" w:rsidR="00E5175E" w:rsidRPr="00E5175E" w:rsidRDefault="00E5175E" w:rsidP="008D7BB4">
            <w:pPr>
              <w:spacing w:line="276" w:lineRule="auto"/>
              <w:contextualSpacing/>
              <w:jc w:val="center"/>
              <w:rPr>
                <w:rFonts w:ascii="Times New Roman" w:eastAsia="Times New Roman" w:hAnsi="Times New Roman"/>
                <w:sz w:val="10"/>
                <w:szCs w:val="10"/>
                <w:lang w:eastAsia="es-ES"/>
              </w:rPr>
            </w:pPr>
          </w:p>
        </w:tc>
        <w:tc>
          <w:tcPr>
            <w:tcW w:w="966" w:type="dxa"/>
            <w:tcBorders>
              <w:top w:val="nil"/>
            </w:tcBorders>
            <w:vAlign w:val="center"/>
          </w:tcPr>
          <w:p w14:paraId="731325C4" w14:textId="77777777"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a noviembre 2022</w:t>
            </w:r>
          </w:p>
          <w:p w14:paraId="409CCA43" w14:textId="47158D85"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Calibri" w:eastAsia="Times New Roman" w:hAnsi="Calibri"/>
                <w:noProof/>
                <w:sz w:val="10"/>
                <w:szCs w:val="10"/>
                <w:lang w:eastAsia="es-GT"/>
              </w:rPr>
              <w:drawing>
                <wp:inline distT="0" distB="0" distL="0" distR="0" wp14:anchorId="4578517B" wp14:editId="02CB29F7">
                  <wp:extent cx="79375" cy="63500"/>
                  <wp:effectExtent l="0" t="0" r="0" b="0"/>
                  <wp:docPr id="313" name="Imagen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9375" cy="63500"/>
                          </a:xfrm>
                          <a:prstGeom prst="rect">
                            <a:avLst/>
                          </a:prstGeom>
                          <a:noFill/>
                          <a:ln>
                            <a:noFill/>
                          </a:ln>
                        </pic:spPr>
                      </pic:pic>
                    </a:graphicData>
                  </a:graphic>
                </wp:inline>
              </w:drawing>
            </w:r>
            <w:r w:rsidRPr="00E5175E">
              <w:rPr>
                <w:rFonts w:ascii="Times New Roman" w:eastAsia="Times New Roman" w:hAnsi="Times New Roman"/>
                <w:sz w:val="10"/>
                <w:szCs w:val="10"/>
                <w:lang w:eastAsia="es-ES"/>
              </w:rPr>
              <w:t xml:space="preserve">  -4.4%</w:t>
            </w:r>
          </w:p>
          <w:p w14:paraId="5A084222" w14:textId="77777777" w:rsidR="00E5175E" w:rsidRPr="00E5175E" w:rsidRDefault="00E5175E" w:rsidP="008D7BB4">
            <w:pPr>
              <w:spacing w:line="276" w:lineRule="auto"/>
              <w:contextualSpacing/>
              <w:jc w:val="center"/>
              <w:rPr>
                <w:rFonts w:ascii="Times New Roman" w:eastAsia="Times New Roman" w:hAnsi="Times New Roman"/>
                <w:sz w:val="10"/>
                <w:szCs w:val="10"/>
                <w:lang w:eastAsia="es-ES"/>
              </w:rPr>
            </w:pPr>
          </w:p>
        </w:tc>
        <w:tc>
          <w:tcPr>
            <w:tcW w:w="967" w:type="dxa"/>
            <w:tcBorders>
              <w:top w:val="nil"/>
            </w:tcBorders>
            <w:vAlign w:val="center"/>
          </w:tcPr>
          <w:p w14:paraId="09DDEB5F" w14:textId="77777777"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a noviembre 2022</w:t>
            </w:r>
          </w:p>
          <w:p w14:paraId="219B46E6" w14:textId="2CCAEEC8"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Calibri" w:eastAsia="Times New Roman" w:hAnsi="Calibri"/>
                <w:noProof/>
                <w:sz w:val="10"/>
                <w:szCs w:val="10"/>
                <w:lang w:eastAsia="es-GT"/>
              </w:rPr>
              <w:drawing>
                <wp:inline distT="0" distB="0" distL="0" distR="0" wp14:anchorId="33DAA3EA" wp14:editId="08EDFB36">
                  <wp:extent cx="55880" cy="55880"/>
                  <wp:effectExtent l="0" t="0" r="1270" b="1270"/>
                  <wp:docPr id="312" name="Imagen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880" cy="55880"/>
                          </a:xfrm>
                          <a:prstGeom prst="rect">
                            <a:avLst/>
                          </a:prstGeom>
                          <a:noFill/>
                          <a:ln>
                            <a:noFill/>
                          </a:ln>
                        </pic:spPr>
                      </pic:pic>
                    </a:graphicData>
                  </a:graphic>
                </wp:inline>
              </w:drawing>
            </w:r>
            <w:r w:rsidRPr="00E5175E">
              <w:rPr>
                <w:rFonts w:ascii="Times New Roman" w:eastAsia="Times New Roman" w:hAnsi="Times New Roman"/>
                <w:sz w:val="10"/>
                <w:szCs w:val="10"/>
                <w:lang w:eastAsia="es-ES"/>
              </w:rPr>
              <w:t xml:space="preserve">  5.55%</w:t>
            </w:r>
          </w:p>
          <w:p w14:paraId="5CFB9F8C" w14:textId="77777777" w:rsidR="00E5175E" w:rsidRPr="00E5175E" w:rsidRDefault="00E5175E" w:rsidP="008D7BB4">
            <w:pPr>
              <w:spacing w:line="276" w:lineRule="auto"/>
              <w:contextualSpacing/>
              <w:jc w:val="center"/>
              <w:rPr>
                <w:rFonts w:ascii="Times New Roman" w:eastAsia="Times New Roman" w:hAnsi="Times New Roman"/>
                <w:sz w:val="10"/>
                <w:szCs w:val="10"/>
                <w:lang w:eastAsia="es-ES"/>
              </w:rPr>
            </w:pPr>
          </w:p>
        </w:tc>
      </w:tr>
      <w:tr w:rsidR="00E5175E" w:rsidRPr="00E5175E" w14:paraId="5D59FD9B" w14:textId="77777777" w:rsidTr="006825AB">
        <w:trPr>
          <w:trHeight w:val="18"/>
          <w:jc w:val="center"/>
        </w:trPr>
        <w:tc>
          <w:tcPr>
            <w:tcW w:w="1830" w:type="dxa"/>
            <w:vAlign w:val="center"/>
          </w:tcPr>
          <w:p w14:paraId="664098A4" w14:textId="77777777" w:rsidR="00E5175E" w:rsidRPr="00E5175E" w:rsidRDefault="00E5175E" w:rsidP="008D7BB4">
            <w:pPr>
              <w:spacing w:line="276" w:lineRule="auto"/>
              <w:contextualSpacing/>
              <w:rPr>
                <w:rFonts w:ascii="Times New Roman" w:eastAsia="Times New Roman" w:hAnsi="Times New Roman"/>
                <w:sz w:val="16"/>
                <w:szCs w:val="10"/>
                <w:lang w:eastAsia="es-ES"/>
              </w:rPr>
            </w:pPr>
            <w:r w:rsidRPr="00E5175E">
              <w:rPr>
                <w:rFonts w:ascii="Times New Roman" w:eastAsia="Times New Roman" w:hAnsi="Times New Roman"/>
                <w:sz w:val="16"/>
                <w:szCs w:val="10"/>
                <w:lang w:eastAsia="es-ES"/>
              </w:rPr>
              <w:t>Remesas, ingreso</w:t>
            </w:r>
          </w:p>
        </w:tc>
        <w:tc>
          <w:tcPr>
            <w:tcW w:w="966" w:type="dxa"/>
            <w:vAlign w:val="center"/>
          </w:tcPr>
          <w:p w14:paraId="572CBA65" w14:textId="77777777"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a junio 2022</w:t>
            </w:r>
          </w:p>
          <w:p w14:paraId="69F7A754" w14:textId="67FD6EA9"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Calibri" w:eastAsia="Times New Roman" w:hAnsi="Calibri"/>
                <w:noProof/>
                <w:sz w:val="10"/>
                <w:szCs w:val="10"/>
                <w:lang w:eastAsia="es-GT"/>
              </w:rPr>
              <w:drawing>
                <wp:inline distT="0" distB="0" distL="0" distR="0" wp14:anchorId="65CF25BE" wp14:editId="21662DF2">
                  <wp:extent cx="79375" cy="63500"/>
                  <wp:effectExtent l="0" t="0" r="0" b="0"/>
                  <wp:docPr id="311" name="Imagen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9375" cy="63500"/>
                          </a:xfrm>
                          <a:prstGeom prst="rect">
                            <a:avLst/>
                          </a:prstGeom>
                          <a:noFill/>
                          <a:ln>
                            <a:noFill/>
                          </a:ln>
                        </pic:spPr>
                      </pic:pic>
                    </a:graphicData>
                  </a:graphic>
                </wp:inline>
              </w:drawing>
            </w:r>
            <w:r w:rsidRPr="00E5175E">
              <w:rPr>
                <w:rFonts w:ascii="Times New Roman" w:eastAsia="Times New Roman" w:hAnsi="Times New Roman"/>
                <w:sz w:val="10"/>
                <w:szCs w:val="10"/>
                <w:lang w:eastAsia="es-ES"/>
              </w:rPr>
              <w:t xml:space="preserve">  3.5%</w:t>
            </w:r>
          </w:p>
          <w:p w14:paraId="5CDB3E45" w14:textId="77777777" w:rsidR="00E5175E" w:rsidRPr="00E5175E" w:rsidRDefault="00E5175E" w:rsidP="008D7BB4">
            <w:pPr>
              <w:spacing w:line="276" w:lineRule="auto"/>
              <w:contextualSpacing/>
              <w:jc w:val="center"/>
              <w:rPr>
                <w:rFonts w:ascii="Times New Roman" w:eastAsia="Times New Roman" w:hAnsi="Times New Roman"/>
                <w:sz w:val="10"/>
                <w:szCs w:val="10"/>
                <w:lang w:eastAsia="es-ES"/>
              </w:rPr>
            </w:pPr>
          </w:p>
          <w:p w14:paraId="61F0C776" w14:textId="77777777" w:rsidR="00E5175E" w:rsidRPr="00E5175E" w:rsidRDefault="00E5175E" w:rsidP="008D7BB4">
            <w:pPr>
              <w:spacing w:line="276" w:lineRule="auto"/>
              <w:contextualSpacing/>
              <w:jc w:val="right"/>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$ 283.24</w:t>
            </w:r>
          </w:p>
        </w:tc>
        <w:tc>
          <w:tcPr>
            <w:tcW w:w="966" w:type="dxa"/>
            <w:vAlign w:val="center"/>
          </w:tcPr>
          <w:p w14:paraId="6D20F75F" w14:textId="77777777"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a octubre 2022</w:t>
            </w:r>
          </w:p>
          <w:p w14:paraId="24BEDADE" w14:textId="5B72A9C4"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Calibri" w:eastAsia="Times New Roman" w:hAnsi="Calibri"/>
                <w:noProof/>
                <w:sz w:val="10"/>
                <w:szCs w:val="10"/>
                <w:lang w:eastAsia="es-GT"/>
              </w:rPr>
              <w:drawing>
                <wp:inline distT="0" distB="0" distL="0" distR="0" wp14:anchorId="56E7CCC7" wp14:editId="75D0845C">
                  <wp:extent cx="79375" cy="63500"/>
                  <wp:effectExtent l="0" t="0" r="0" b="0"/>
                  <wp:docPr id="310" name="Imagen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9375" cy="63500"/>
                          </a:xfrm>
                          <a:prstGeom prst="rect">
                            <a:avLst/>
                          </a:prstGeom>
                          <a:noFill/>
                          <a:ln>
                            <a:noFill/>
                          </a:ln>
                        </pic:spPr>
                      </pic:pic>
                    </a:graphicData>
                  </a:graphic>
                </wp:inline>
              </w:drawing>
            </w:r>
            <w:r w:rsidRPr="00E5175E">
              <w:rPr>
                <w:rFonts w:ascii="Times New Roman" w:eastAsia="Times New Roman" w:hAnsi="Times New Roman"/>
                <w:sz w:val="10"/>
                <w:szCs w:val="10"/>
                <w:lang w:eastAsia="es-ES"/>
              </w:rPr>
              <w:t xml:space="preserve">  20.25%</w:t>
            </w:r>
          </w:p>
          <w:p w14:paraId="48DF4B18" w14:textId="77777777" w:rsidR="00E5175E" w:rsidRPr="00E5175E" w:rsidRDefault="00E5175E" w:rsidP="008D7BB4">
            <w:pPr>
              <w:spacing w:line="276" w:lineRule="auto"/>
              <w:contextualSpacing/>
              <w:jc w:val="center"/>
              <w:rPr>
                <w:rFonts w:ascii="Times New Roman" w:eastAsia="Times New Roman" w:hAnsi="Times New Roman"/>
                <w:sz w:val="10"/>
                <w:szCs w:val="10"/>
                <w:lang w:eastAsia="es-ES"/>
              </w:rPr>
            </w:pPr>
          </w:p>
          <w:p w14:paraId="3950A665" w14:textId="77777777" w:rsidR="00E5175E" w:rsidRPr="00E5175E" w:rsidRDefault="00E5175E" w:rsidP="008D7BB4">
            <w:pPr>
              <w:spacing w:line="276" w:lineRule="auto"/>
              <w:contextualSpacing/>
              <w:jc w:val="right"/>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$ 6,356.64</w:t>
            </w:r>
          </w:p>
        </w:tc>
        <w:tc>
          <w:tcPr>
            <w:tcW w:w="966" w:type="dxa"/>
            <w:vAlign w:val="center"/>
          </w:tcPr>
          <w:p w14:paraId="660C3FE3" w14:textId="77777777"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a octubre 2022</w:t>
            </w:r>
          </w:p>
          <w:p w14:paraId="7EFBE770" w14:textId="0C968ADB"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Calibri" w:eastAsia="Times New Roman" w:hAnsi="Calibri"/>
                <w:noProof/>
                <w:sz w:val="10"/>
                <w:szCs w:val="10"/>
                <w:lang w:eastAsia="es-GT"/>
              </w:rPr>
              <w:drawing>
                <wp:inline distT="0" distB="0" distL="0" distR="0" wp14:anchorId="15A7D792" wp14:editId="400EA32B">
                  <wp:extent cx="55880" cy="55880"/>
                  <wp:effectExtent l="0" t="0" r="1270" b="1270"/>
                  <wp:docPr id="309" name="Imagen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880" cy="55880"/>
                          </a:xfrm>
                          <a:prstGeom prst="rect">
                            <a:avLst/>
                          </a:prstGeom>
                          <a:noFill/>
                          <a:ln>
                            <a:noFill/>
                          </a:ln>
                        </pic:spPr>
                      </pic:pic>
                    </a:graphicData>
                  </a:graphic>
                </wp:inline>
              </w:drawing>
            </w:r>
            <w:r w:rsidRPr="00E5175E">
              <w:rPr>
                <w:rFonts w:ascii="Times New Roman" w:eastAsia="Times New Roman" w:hAnsi="Times New Roman"/>
                <w:sz w:val="10"/>
                <w:szCs w:val="10"/>
                <w:lang w:eastAsia="es-ES"/>
              </w:rPr>
              <w:t xml:space="preserve">  19.91%</w:t>
            </w:r>
          </w:p>
          <w:p w14:paraId="20EABD2F" w14:textId="77777777" w:rsidR="00E5175E" w:rsidRPr="00E5175E" w:rsidRDefault="00E5175E" w:rsidP="008D7BB4">
            <w:pPr>
              <w:spacing w:line="276" w:lineRule="auto"/>
              <w:contextualSpacing/>
              <w:jc w:val="center"/>
              <w:rPr>
                <w:rFonts w:ascii="Times New Roman" w:eastAsia="Times New Roman" w:hAnsi="Times New Roman"/>
                <w:sz w:val="10"/>
                <w:szCs w:val="10"/>
                <w:lang w:eastAsia="es-ES"/>
              </w:rPr>
            </w:pPr>
          </w:p>
          <w:p w14:paraId="68687389" w14:textId="77777777" w:rsidR="00E5175E" w:rsidRPr="00E5175E" w:rsidRDefault="00E5175E" w:rsidP="008D7BB4">
            <w:pPr>
              <w:spacing w:line="276" w:lineRule="auto"/>
              <w:contextualSpacing/>
              <w:jc w:val="right"/>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$ 14,943.7</w:t>
            </w:r>
          </w:p>
        </w:tc>
        <w:tc>
          <w:tcPr>
            <w:tcW w:w="967" w:type="dxa"/>
            <w:vAlign w:val="center"/>
          </w:tcPr>
          <w:p w14:paraId="0A254935" w14:textId="77777777"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a octubre 2022</w:t>
            </w:r>
          </w:p>
          <w:p w14:paraId="53762216" w14:textId="79733083"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Calibri" w:eastAsia="Times New Roman" w:hAnsi="Calibri"/>
                <w:noProof/>
                <w:sz w:val="10"/>
                <w:szCs w:val="10"/>
                <w:lang w:eastAsia="es-GT"/>
              </w:rPr>
              <w:drawing>
                <wp:inline distT="0" distB="0" distL="0" distR="0" wp14:anchorId="6305B761" wp14:editId="55BAC70D">
                  <wp:extent cx="55880" cy="55880"/>
                  <wp:effectExtent l="0" t="0" r="1270" b="1270"/>
                  <wp:docPr id="308" name="Imagen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880" cy="55880"/>
                          </a:xfrm>
                          <a:prstGeom prst="rect">
                            <a:avLst/>
                          </a:prstGeom>
                          <a:noFill/>
                          <a:ln>
                            <a:noFill/>
                          </a:ln>
                        </pic:spPr>
                      </pic:pic>
                    </a:graphicData>
                  </a:graphic>
                </wp:inline>
              </w:drawing>
            </w:r>
            <w:r w:rsidRPr="00E5175E">
              <w:rPr>
                <w:rFonts w:ascii="Times New Roman" w:eastAsia="Times New Roman" w:hAnsi="Times New Roman"/>
                <w:sz w:val="10"/>
                <w:szCs w:val="10"/>
                <w:lang w:eastAsia="es-ES"/>
              </w:rPr>
              <w:t xml:space="preserve">  45.02%</w:t>
            </w:r>
          </w:p>
          <w:p w14:paraId="760689CB" w14:textId="77777777" w:rsidR="00E5175E" w:rsidRPr="00E5175E" w:rsidRDefault="00E5175E" w:rsidP="008D7BB4">
            <w:pPr>
              <w:spacing w:line="276" w:lineRule="auto"/>
              <w:contextualSpacing/>
              <w:jc w:val="center"/>
              <w:rPr>
                <w:rFonts w:ascii="Times New Roman" w:eastAsia="Times New Roman" w:hAnsi="Times New Roman"/>
                <w:sz w:val="10"/>
                <w:szCs w:val="10"/>
                <w:lang w:eastAsia="es-ES"/>
              </w:rPr>
            </w:pPr>
          </w:p>
          <w:p w14:paraId="73E12ED9" w14:textId="77777777" w:rsidR="00E5175E" w:rsidRPr="00E5175E" w:rsidRDefault="00E5175E" w:rsidP="008D7BB4">
            <w:pPr>
              <w:spacing w:line="276" w:lineRule="auto"/>
              <w:contextualSpacing/>
              <w:jc w:val="right"/>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$ 7,207.93</w:t>
            </w:r>
          </w:p>
        </w:tc>
        <w:tc>
          <w:tcPr>
            <w:tcW w:w="966" w:type="dxa"/>
            <w:vAlign w:val="center"/>
          </w:tcPr>
          <w:p w14:paraId="20CF2FA6" w14:textId="77777777"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a septiembre 2022</w:t>
            </w:r>
          </w:p>
          <w:p w14:paraId="4763ADAC" w14:textId="73C5DE5E"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Calibri" w:eastAsia="Times New Roman" w:hAnsi="Calibri"/>
                <w:noProof/>
                <w:sz w:val="10"/>
                <w:szCs w:val="10"/>
                <w:lang w:eastAsia="es-GT"/>
              </w:rPr>
              <w:drawing>
                <wp:inline distT="0" distB="0" distL="0" distR="0" wp14:anchorId="6D58FF0B" wp14:editId="43CB92A7">
                  <wp:extent cx="79375" cy="63500"/>
                  <wp:effectExtent l="0" t="0" r="0" b="0"/>
                  <wp:docPr id="307" name="Imagen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9375" cy="63500"/>
                          </a:xfrm>
                          <a:prstGeom prst="rect">
                            <a:avLst/>
                          </a:prstGeom>
                          <a:noFill/>
                          <a:ln>
                            <a:noFill/>
                          </a:ln>
                        </pic:spPr>
                      </pic:pic>
                    </a:graphicData>
                  </a:graphic>
                </wp:inline>
              </w:drawing>
            </w:r>
            <w:r w:rsidRPr="00E5175E">
              <w:rPr>
                <w:rFonts w:ascii="Times New Roman" w:eastAsia="Times New Roman" w:hAnsi="Times New Roman"/>
                <w:sz w:val="10"/>
                <w:szCs w:val="10"/>
                <w:lang w:eastAsia="es-ES"/>
              </w:rPr>
              <w:t xml:space="preserve">  -6.34%</w:t>
            </w:r>
          </w:p>
          <w:p w14:paraId="560A8C6E" w14:textId="77777777" w:rsidR="00E5175E" w:rsidRPr="00E5175E" w:rsidRDefault="00E5175E" w:rsidP="008D7BB4">
            <w:pPr>
              <w:spacing w:line="276" w:lineRule="auto"/>
              <w:contextualSpacing/>
              <w:jc w:val="center"/>
              <w:rPr>
                <w:rFonts w:ascii="Times New Roman" w:eastAsia="Times New Roman" w:hAnsi="Times New Roman"/>
                <w:sz w:val="10"/>
                <w:szCs w:val="10"/>
                <w:lang w:eastAsia="es-ES"/>
              </w:rPr>
            </w:pPr>
          </w:p>
          <w:p w14:paraId="6DBA35D8" w14:textId="77777777" w:rsidR="00E5175E" w:rsidRPr="00E5175E" w:rsidRDefault="00E5175E" w:rsidP="008D7BB4">
            <w:pPr>
              <w:spacing w:line="276" w:lineRule="auto"/>
              <w:contextualSpacing/>
              <w:jc w:val="right"/>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$ 2,258.4</w:t>
            </w:r>
          </w:p>
        </w:tc>
        <w:tc>
          <w:tcPr>
            <w:tcW w:w="966" w:type="dxa"/>
            <w:vAlign w:val="center"/>
          </w:tcPr>
          <w:p w14:paraId="1BB0902A" w14:textId="77777777"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a octubre 2022</w:t>
            </w:r>
          </w:p>
          <w:p w14:paraId="5F9755ED" w14:textId="05BBDBDA"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Calibri" w:eastAsia="Times New Roman" w:hAnsi="Calibri"/>
                <w:noProof/>
                <w:sz w:val="10"/>
                <w:szCs w:val="10"/>
                <w:lang w:eastAsia="es-GT"/>
              </w:rPr>
              <w:drawing>
                <wp:inline distT="0" distB="0" distL="0" distR="0" wp14:anchorId="0A3D3E0A" wp14:editId="67CB850B">
                  <wp:extent cx="79375" cy="63500"/>
                  <wp:effectExtent l="0" t="0" r="0" b="0"/>
                  <wp:docPr id="306" name="Imagen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9375" cy="63500"/>
                          </a:xfrm>
                          <a:prstGeom prst="rect">
                            <a:avLst/>
                          </a:prstGeom>
                          <a:noFill/>
                          <a:ln>
                            <a:noFill/>
                          </a:ln>
                        </pic:spPr>
                      </pic:pic>
                    </a:graphicData>
                  </a:graphic>
                </wp:inline>
              </w:drawing>
            </w:r>
            <w:r w:rsidRPr="00E5175E">
              <w:rPr>
                <w:rFonts w:ascii="Times New Roman" w:eastAsia="Times New Roman" w:hAnsi="Times New Roman"/>
                <w:sz w:val="10"/>
                <w:szCs w:val="10"/>
                <w:lang w:eastAsia="es-ES"/>
              </w:rPr>
              <w:t xml:space="preserve">  -95.24%</w:t>
            </w:r>
          </w:p>
          <w:p w14:paraId="4BC8478E" w14:textId="77777777" w:rsidR="00E5175E" w:rsidRPr="00E5175E" w:rsidRDefault="00E5175E" w:rsidP="008D7BB4">
            <w:pPr>
              <w:spacing w:line="276" w:lineRule="auto"/>
              <w:contextualSpacing/>
              <w:jc w:val="center"/>
              <w:rPr>
                <w:rFonts w:ascii="Times New Roman" w:eastAsia="Times New Roman" w:hAnsi="Times New Roman"/>
                <w:sz w:val="10"/>
                <w:szCs w:val="10"/>
                <w:lang w:eastAsia="es-ES"/>
              </w:rPr>
            </w:pPr>
          </w:p>
          <w:p w14:paraId="5D6DDFFC" w14:textId="77777777" w:rsidR="00E5175E" w:rsidRPr="00E5175E" w:rsidRDefault="00E5175E" w:rsidP="008D7BB4">
            <w:pPr>
              <w:spacing w:line="276" w:lineRule="auto"/>
              <w:contextualSpacing/>
              <w:jc w:val="right"/>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$ 8,125.32</w:t>
            </w:r>
          </w:p>
        </w:tc>
        <w:tc>
          <w:tcPr>
            <w:tcW w:w="967" w:type="dxa"/>
            <w:vAlign w:val="center"/>
          </w:tcPr>
          <w:p w14:paraId="5B36B8BC" w14:textId="77777777" w:rsidR="00E5175E" w:rsidRPr="00E5175E" w:rsidRDefault="00E5175E" w:rsidP="008D7BB4">
            <w:pPr>
              <w:spacing w:line="276" w:lineRule="auto"/>
              <w:contextualSpacing/>
              <w:jc w:val="center"/>
              <w:rPr>
                <w:rFonts w:ascii="Calibri" w:eastAsia="Times New Roman" w:hAnsi="Calibri"/>
                <w:b/>
                <w:sz w:val="10"/>
                <w:szCs w:val="10"/>
                <w:lang w:eastAsia="es-ES"/>
              </w:rPr>
            </w:pPr>
            <w:r w:rsidRPr="00E5175E">
              <w:rPr>
                <w:rFonts w:ascii="Calibri" w:eastAsia="Times New Roman" w:hAnsi="Calibri"/>
                <w:b/>
                <w:sz w:val="10"/>
                <w:szCs w:val="10"/>
                <w:lang w:val="es-ES_tradnl" w:eastAsia="es-ES"/>
              </w:rPr>
              <w:t>ND</w:t>
            </w:r>
          </w:p>
        </w:tc>
      </w:tr>
      <w:tr w:rsidR="00E5175E" w:rsidRPr="00E5175E" w14:paraId="07C35DF2" w14:textId="77777777" w:rsidTr="006825AB">
        <w:trPr>
          <w:trHeight w:val="18"/>
          <w:jc w:val="center"/>
        </w:trPr>
        <w:tc>
          <w:tcPr>
            <w:tcW w:w="1830" w:type="dxa"/>
            <w:vAlign w:val="center"/>
          </w:tcPr>
          <w:p w14:paraId="60630011" w14:textId="77777777" w:rsidR="00E5175E" w:rsidRPr="00E5175E" w:rsidRDefault="00E5175E" w:rsidP="008D7BB4">
            <w:pPr>
              <w:spacing w:line="276" w:lineRule="auto"/>
              <w:contextualSpacing/>
              <w:rPr>
                <w:rFonts w:ascii="Times New Roman" w:eastAsia="Times New Roman" w:hAnsi="Times New Roman"/>
                <w:sz w:val="16"/>
                <w:szCs w:val="10"/>
                <w:lang w:eastAsia="es-ES"/>
              </w:rPr>
            </w:pPr>
            <w:r w:rsidRPr="00E5175E">
              <w:rPr>
                <w:rFonts w:ascii="Times New Roman" w:eastAsia="Times New Roman" w:hAnsi="Times New Roman"/>
                <w:sz w:val="16"/>
                <w:szCs w:val="10"/>
                <w:lang w:eastAsia="es-ES"/>
              </w:rPr>
              <w:t>RIN del Banco Central</w:t>
            </w:r>
          </w:p>
        </w:tc>
        <w:tc>
          <w:tcPr>
            <w:tcW w:w="966" w:type="dxa"/>
            <w:vAlign w:val="center"/>
          </w:tcPr>
          <w:p w14:paraId="5106876F" w14:textId="77777777"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a diciembre 2022</w:t>
            </w:r>
          </w:p>
          <w:p w14:paraId="02867F73" w14:textId="68FE29AE"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Calibri" w:eastAsia="Times New Roman" w:hAnsi="Calibri"/>
                <w:noProof/>
                <w:sz w:val="10"/>
                <w:szCs w:val="10"/>
                <w:lang w:eastAsia="es-GT"/>
              </w:rPr>
              <w:drawing>
                <wp:inline distT="0" distB="0" distL="0" distR="0" wp14:anchorId="6A81AE9E" wp14:editId="7A31F12C">
                  <wp:extent cx="79375" cy="63500"/>
                  <wp:effectExtent l="0" t="0" r="0" b="0"/>
                  <wp:docPr id="305" name="Imagen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9375" cy="63500"/>
                          </a:xfrm>
                          <a:prstGeom prst="rect">
                            <a:avLst/>
                          </a:prstGeom>
                          <a:noFill/>
                          <a:ln>
                            <a:noFill/>
                          </a:ln>
                        </pic:spPr>
                      </pic:pic>
                    </a:graphicData>
                  </a:graphic>
                </wp:inline>
              </w:drawing>
            </w:r>
            <w:r w:rsidRPr="00E5175E">
              <w:rPr>
                <w:rFonts w:ascii="Times New Roman" w:eastAsia="Times New Roman" w:hAnsi="Times New Roman"/>
                <w:sz w:val="10"/>
                <w:szCs w:val="10"/>
                <w:lang w:eastAsia="es-ES"/>
              </w:rPr>
              <w:t xml:space="preserve">  23.59%</w:t>
            </w:r>
          </w:p>
          <w:p w14:paraId="7CD4153F" w14:textId="77777777" w:rsidR="00E5175E" w:rsidRPr="00E5175E" w:rsidRDefault="00E5175E" w:rsidP="008D7BB4">
            <w:pPr>
              <w:spacing w:line="276" w:lineRule="auto"/>
              <w:contextualSpacing/>
              <w:jc w:val="center"/>
              <w:rPr>
                <w:rFonts w:ascii="Times New Roman" w:eastAsia="Times New Roman" w:hAnsi="Times New Roman"/>
                <w:sz w:val="10"/>
                <w:szCs w:val="10"/>
                <w:lang w:eastAsia="es-ES"/>
              </w:rPr>
            </w:pPr>
          </w:p>
        </w:tc>
        <w:tc>
          <w:tcPr>
            <w:tcW w:w="966" w:type="dxa"/>
            <w:vAlign w:val="center"/>
          </w:tcPr>
          <w:p w14:paraId="6F40141D" w14:textId="77777777"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a noviembre 2022</w:t>
            </w:r>
          </w:p>
          <w:p w14:paraId="0850819E" w14:textId="0C3EC9B5"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Calibri" w:eastAsia="Times New Roman" w:hAnsi="Calibri"/>
                <w:noProof/>
                <w:sz w:val="10"/>
                <w:szCs w:val="10"/>
                <w:lang w:eastAsia="es-GT"/>
              </w:rPr>
              <w:drawing>
                <wp:inline distT="0" distB="0" distL="0" distR="0" wp14:anchorId="0C14CAF4" wp14:editId="6D590C6E">
                  <wp:extent cx="55880" cy="55880"/>
                  <wp:effectExtent l="0" t="0" r="1270" b="1270"/>
                  <wp:docPr id="304" name="Imagen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880" cy="55880"/>
                          </a:xfrm>
                          <a:prstGeom prst="rect">
                            <a:avLst/>
                          </a:prstGeom>
                          <a:noFill/>
                          <a:ln>
                            <a:noFill/>
                          </a:ln>
                        </pic:spPr>
                      </pic:pic>
                    </a:graphicData>
                  </a:graphic>
                </wp:inline>
              </w:drawing>
            </w:r>
            <w:r w:rsidRPr="00E5175E">
              <w:rPr>
                <w:rFonts w:ascii="Times New Roman" w:eastAsia="Times New Roman" w:hAnsi="Times New Roman"/>
                <w:sz w:val="10"/>
                <w:szCs w:val="10"/>
                <w:lang w:eastAsia="es-ES"/>
              </w:rPr>
              <w:t xml:space="preserve">  -25.63%</w:t>
            </w:r>
          </w:p>
          <w:p w14:paraId="13893F3A" w14:textId="77777777" w:rsidR="00E5175E" w:rsidRPr="00E5175E" w:rsidRDefault="00E5175E" w:rsidP="008D7BB4">
            <w:pPr>
              <w:spacing w:line="276" w:lineRule="auto"/>
              <w:contextualSpacing/>
              <w:jc w:val="center"/>
              <w:rPr>
                <w:rFonts w:ascii="Times New Roman" w:eastAsia="Times New Roman" w:hAnsi="Times New Roman"/>
                <w:sz w:val="10"/>
                <w:szCs w:val="10"/>
                <w:lang w:eastAsia="es-ES"/>
              </w:rPr>
            </w:pPr>
          </w:p>
        </w:tc>
        <w:tc>
          <w:tcPr>
            <w:tcW w:w="966" w:type="dxa"/>
            <w:vAlign w:val="center"/>
          </w:tcPr>
          <w:p w14:paraId="134B49B9" w14:textId="77777777"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a noviembre 2022</w:t>
            </w:r>
          </w:p>
          <w:p w14:paraId="4A57F3C8" w14:textId="4F20BFB7"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Calibri" w:eastAsia="Times New Roman" w:hAnsi="Calibri"/>
                <w:noProof/>
                <w:sz w:val="10"/>
                <w:szCs w:val="10"/>
                <w:lang w:eastAsia="es-GT"/>
              </w:rPr>
              <w:drawing>
                <wp:inline distT="0" distB="0" distL="0" distR="0" wp14:anchorId="14BAA72B" wp14:editId="2A064F66">
                  <wp:extent cx="55880" cy="55880"/>
                  <wp:effectExtent l="0" t="0" r="1270" b="1270"/>
                  <wp:docPr id="303" name="Imagen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880" cy="55880"/>
                          </a:xfrm>
                          <a:prstGeom prst="rect">
                            <a:avLst/>
                          </a:prstGeom>
                          <a:noFill/>
                          <a:ln>
                            <a:noFill/>
                          </a:ln>
                        </pic:spPr>
                      </pic:pic>
                    </a:graphicData>
                  </a:graphic>
                </wp:inline>
              </w:drawing>
            </w:r>
            <w:r w:rsidRPr="00E5175E">
              <w:rPr>
                <w:rFonts w:ascii="Times New Roman" w:eastAsia="Times New Roman" w:hAnsi="Times New Roman"/>
                <w:sz w:val="10"/>
                <w:szCs w:val="10"/>
                <w:lang w:eastAsia="es-ES"/>
              </w:rPr>
              <w:t xml:space="preserve">  -1.46%</w:t>
            </w:r>
          </w:p>
          <w:p w14:paraId="2B3014A0" w14:textId="77777777" w:rsidR="00E5175E" w:rsidRPr="00E5175E" w:rsidRDefault="00E5175E" w:rsidP="008D7BB4">
            <w:pPr>
              <w:spacing w:line="276" w:lineRule="auto"/>
              <w:contextualSpacing/>
              <w:jc w:val="center"/>
              <w:rPr>
                <w:rFonts w:ascii="Times New Roman" w:eastAsia="Times New Roman" w:hAnsi="Times New Roman"/>
                <w:sz w:val="10"/>
                <w:szCs w:val="10"/>
                <w:lang w:eastAsia="es-ES"/>
              </w:rPr>
            </w:pPr>
          </w:p>
        </w:tc>
        <w:tc>
          <w:tcPr>
            <w:tcW w:w="967" w:type="dxa"/>
            <w:vAlign w:val="center"/>
          </w:tcPr>
          <w:p w14:paraId="6E941736" w14:textId="77777777"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a noviembre 2022</w:t>
            </w:r>
          </w:p>
          <w:p w14:paraId="424B71B2" w14:textId="56AB8D28"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Calibri" w:eastAsia="Times New Roman" w:hAnsi="Calibri"/>
                <w:noProof/>
                <w:sz w:val="10"/>
                <w:szCs w:val="10"/>
                <w:lang w:eastAsia="es-GT"/>
              </w:rPr>
              <w:drawing>
                <wp:inline distT="0" distB="0" distL="0" distR="0" wp14:anchorId="57ABDCC2" wp14:editId="196F1CAB">
                  <wp:extent cx="55880" cy="55880"/>
                  <wp:effectExtent l="0" t="0" r="1270" b="1270"/>
                  <wp:docPr id="302" name="Imagen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880" cy="55880"/>
                          </a:xfrm>
                          <a:prstGeom prst="rect">
                            <a:avLst/>
                          </a:prstGeom>
                          <a:noFill/>
                          <a:ln>
                            <a:noFill/>
                          </a:ln>
                        </pic:spPr>
                      </pic:pic>
                    </a:graphicData>
                  </a:graphic>
                </wp:inline>
              </w:drawing>
            </w:r>
            <w:r w:rsidRPr="00E5175E">
              <w:rPr>
                <w:rFonts w:ascii="Times New Roman" w:eastAsia="Times New Roman" w:hAnsi="Times New Roman"/>
                <w:sz w:val="10"/>
                <w:szCs w:val="10"/>
                <w:lang w:eastAsia="es-ES"/>
              </w:rPr>
              <w:t xml:space="preserve">  -8.64%</w:t>
            </w:r>
          </w:p>
          <w:p w14:paraId="635595E6" w14:textId="77777777" w:rsidR="00E5175E" w:rsidRPr="00E5175E" w:rsidRDefault="00E5175E" w:rsidP="008D7BB4">
            <w:pPr>
              <w:spacing w:line="276" w:lineRule="auto"/>
              <w:contextualSpacing/>
              <w:jc w:val="center"/>
              <w:rPr>
                <w:rFonts w:ascii="Times New Roman" w:eastAsia="Times New Roman" w:hAnsi="Times New Roman"/>
                <w:sz w:val="10"/>
                <w:szCs w:val="10"/>
                <w:lang w:eastAsia="es-ES"/>
              </w:rPr>
            </w:pPr>
          </w:p>
        </w:tc>
        <w:tc>
          <w:tcPr>
            <w:tcW w:w="966" w:type="dxa"/>
            <w:vAlign w:val="center"/>
          </w:tcPr>
          <w:p w14:paraId="65648965" w14:textId="77777777"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a octubre 2022</w:t>
            </w:r>
          </w:p>
          <w:p w14:paraId="5CF7D6A9" w14:textId="139943F9"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Calibri" w:eastAsia="Times New Roman" w:hAnsi="Calibri"/>
                <w:noProof/>
                <w:sz w:val="10"/>
                <w:szCs w:val="10"/>
                <w:lang w:eastAsia="es-GT"/>
              </w:rPr>
              <w:drawing>
                <wp:inline distT="0" distB="0" distL="0" distR="0" wp14:anchorId="7740EAE5" wp14:editId="08C5494A">
                  <wp:extent cx="55880" cy="55880"/>
                  <wp:effectExtent l="0" t="0" r="1270" b="1270"/>
                  <wp:docPr id="301" name="Imagen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880" cy="55880"/>
                          </a:xfrm>
                          <a:prstGeom prst="rect">
                            <a:avLst/>
                          </a:prstGeom>
                          <a:noFill/>
                          <a:ln>
                            <a:noFill/>
                          </a:ln>
                        </pic:spPr>
                      </pic:pic>
                    </a:graphicData>
                  </a:graphic>
                </wp:inline>
              </w:drawing>
            </w:r>
            <w:r w:rsidRPr="00E5175E">
              <w:rPr>
                <w:rFonts w:ascii="Times New Roman" w:eastAsia="Times New Roman" w:hAnsi="Times New Roman"/>
                <w:sz w:val="10"/>
                <w:szCs w:val="10"/>
                <w:lang w:eastAsia="es-ES"/>
              </w:rPr>
              <w:t xml:space="preserve">  5.41%</w:t>
            </w:r>
          </w:p>
          <w:p w14:paraId="2AF2EB9C" w14:textId="77777777" w:rsidR="00E5175E" w:rsidRPr="00E5175E" w:rsidRDefault="00E5175E" w:rsidP="008D7BB4">
            <w:pPr>
              <w:spacing w:line="276" w:lineRule="auto"/>
              <w:contextualSpacing/>
              <w:jc w:val="center"/>
              <w:rPr>
                <w:rFonts w:ascii="Times New Roman" w:eastAsia="Times New Roman" w:hAnsi="Times New Roman"/>
                <w:sz w:val="10"/>
                <w:szCs w:val="10"/>
                <w:lang w:eastAsia="es-ES"/>
              </w:rPr>
            </w:pPr>
          </w:p>
        </w:tc>
        <w:tc>
          <w:tcPr>
            <w:tcW w:w="966" w:type="dxa"/>
            <w:vAlign w:val="center"/>
          </w:tcPr>
          <w:p w14:paraId="44458DD2" w14:textId="77777777"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a diciembre 2022</w:t>
            </w:r>
          </w:p>
          <w:p w14:paraId="3B5E9C70" w14:textId="663B2020"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Calibri" w:eastAsia="Times New Roman" w:hAnsi="Calibri"/>
                <w:noProof/>
                <w:sz w:val="10"/>
                <w:szCs w:val="10"/>
                <w:lang w:eastAsia="es-GT"/>
              </w:rPr>
              <w:drawing>
                <wp:inline distT="0" distB="0" distL="0" distR="0" wp14:anchorId="10804D07" wp14:editId="2B4737F9">
                  <wp:extent cx="55880" cy="55880"/>
                  <wp:effectExtent l="0" t="0" r="1270" b="1270"/>
                  <wp:docPr id="300" name="Imagen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880" cy="55880"/>
                          </a:xfrm>
                          <a:prstGeom prst="rect">
                            <a:avLst/>
                          </a:prstGeom>
                          <a:noFill/>
                          <a:ln>
                            <a:noFill/>
                          </a:ln>
                        </pic:spPr>
                      </pic:pic>
                    </a:graphicData>
                  </a:graphic>
                </wp:inline>
              </w:drawing>
            </w:r>
            <w:r w:rsidRPr="00E5175E">
              <w:rPr>
                <w:rFonts w:ascii="Times New Roman" w:eastAsia="Times New Roman" w:hAnsi="Times New Roman"/>
                <w:sz w:val="10"/>
                <w:szCs w:val="10"/>
                <w:lang w:eastAsia="es-ES"/>
              </w:rPr>
              <w:t xml:space="preserve">  10.76%</w:t>
            </w:r>
          </w:p>
          <w:p w14:paraId="37A444C9" w14:textId="77777777" w:rsidR="00E5175E" w:rsidRPr="00E5175E" w:rsidRDefault="00E5175E" w:rsidP="008D7BB4">
            <w:pPr>
              <w:spacing w:line="276" w:lineRule="auto"/>
              <w:contextualSpacing/>
              <w:jc w:val="center"/>
              <w:rPr>
                <w:rFonts w:ascii="Times New Roman" w:eastAsia="Times New Roman" w:hAnsi="Times New Roman"/>
                <w:sz w:val="10"/>
                <w:szCs w:val="10"/>
                <w:lang w:eastAsia="es-ES"/>
              </w:rPr>
            </w:pPr>
          </w:p>
        </w:tc>
        <w:tc>
          <w:tcPr>
            <w:tcW w:w="967" w:type="dxa"/>
            <w:vAlign w:val="center"/>
          </w:tcPr>
          <w:p w14:paraId="33EFB387" w14:textId="77777777"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a agosto 2022</w:t>
            </w:r>
          </w:p>
          <w:p w14:paraId="0DC71A16" w14:textId="205A8CCB"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Calibri" w:eastAsia="Times New Roman" w:hAnsi="Calibri"/>
                <w:noProof/>
                <w:sz w:val="10"/>
                <w:szCs w:val="10"/>
                <w:lang w:eastAsia="es-GT"/>
              </w:rPr>
              <w:drawing>
                <wp:inline distT="0" distB="0" distL="0" distR="0" wp14:anchorId="2517C682" wp14:editId="2FD1D80F">
                  <wp:extent cx="79375" cy="63500"/>
                  <wp:effectExtent l="0" t="0" r="0" b="0"/>
                  <wp:docPr id="299" name="Imagen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9375" cy="63500"/>
                          </a:xfrm>
                          <a:prstGeom prst="rect">
                            <a:avLst/>
                          </a:prstGeom>
                          <a:noFill/>
                          <a:ln>
                            <a:noFill/>
                          </a:ln>
                        </pic:spPr>
                      </pic:pic>
                    </a:graphicData>
                  </a:graphic>
                </wp:inline>
              </w:drawing>
            </w:r>
            <w:r w:rsidRPr="00E5175E">
              <w:rPr>
                <w:rFonts w:ascii="Times New Roman" w:eastAsia="Times New Roman" w:hAnsi="Times New Roman"/>
                <w:sz w:val="10"/>
                <w:szCs w:val="10"/>
                <w:lang w:eastAsia="es-ES"/>
              </w:rPr>
              <w:t xml:space="preserve">  -18.02%</w:t>
            </w:r>
          </w:p>
          <w:p w14:paraId="2A4081E1" w14:textId="77777777" w:rsidR="00E5175E" w:rsidRPr="00E5175E" w:rsidRDefault="00E5175E" w:rsidP="008D7BB4">
            <w:pPr>
              <w:spacing w:line="276" w:lineRule="auto"/>
              <w:contextualSpacing/>
              <w:jc w:val="center"/>
              <w:rPr>
                <w:rFonts w:ascii="Times New Roman" w:eastAsia="Times New Roman" w:hAnsi="Times New Roman"/>
                <w:sz w:val="10"/>
                <w:szCs w:val="10"/>
                <w:lang w:eastAsia="es-ES"/>
              </w:rPr>
            </w:pPr>
          </w:p>
        </w:tc>
      </w:tr>
      <w:tr w:rsidR="00E5175E" w:rsidRPr="00E5175E" w14:paraId="5413C25A" w14:textId="77777777" w:rsidTr="006825AB">
        <w:trPr>
          <w:trHeight w:val="18"/>
          <w:jc w:val="center"/>
        </w:trPr>
        <w:tc>
          <w:tcPr>
            <w:tcW w:w="1830" w:type="dxa"/>
            <w:vAlign w:val="center"/>
          </w:tcPr>
          <w:p w14:paraId="6CF7D225" w14:textId="77777777" w:rsidR="00E5175E" w:rsidRPr="00E5175E" w:rsidRDefault="00E5175E" w:rsidP="008D7BB4">
            <w:pPr>
              <w:spacing w:line="276" w:lineRule="auto"/>
              <w:contextualSpacing/>
              <w:rPr>
                <w:rFonts w:ascii="Times New Roman" w:eastAsia="Times New Roman" w:hAnsi="Times New Roman"/>
                <w:sz w:val="16"/>
                <w:szCs w:val="10"/>
                <w:lang w:eastAsia="es-ES"/>
              </w:rPr>
            </w:pPr>
            <w:r w:rsidRPr="00E5175E">
              <w:rPr>
                <w:rFonts w:ascii="Times New Roman" w:eastAsia="Times New Roman" w:hAnsi="Times New Roman"/>
                <w:sz w:val="16"/>
                <w:szCs w:val="10"/>
                <w:lang w:eastAsia="es-ES"/>
              </w:rPr>
              <w:t>Ingresos totales GC</w:t>
            </w:r>
          </w:p>
        </w:tc>
        <w:tc>
          <w:tcPr>
            <w:tcW w:w="966" w:type="dxa"/>
            <w:vAlign w:val="center"/>
          </w:tcPr>
          <w:p w14:paraId="7A45CF59" w14:textId="77777777"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a septiembre 2022</w:t>
            </w:r>
          </w:p>
          <w:p w14:paraId="6330778D" w14:textId="69DAFF61"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Calibri" w:eastAsia="Times New Roman" w:hAnsi="Calibri"/>
                <w:noProof/>
                <w:sz w:val="10"/>
                <w:szCs w:val="10"/>
                <w:lang w:eastAsia="es-GT"/>
              </w:rPr>
              <w:drawing>
                <wp:inline distT="0" distB="0" distL="0" distR="0" wp14:anchorId="1C272F36" wp14:editId="003E1C94">
                  <wp:extent cx="79375" cy="63500"/>
                  <wp:effectExtent l="0" t="0" r="0" b="0"/>
                  <wp:docPr id="298" name="Imagen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9375" cy="63500"/>
                          </a:xfrm>
                          <a:prstGeom prst="rect">
                            <a:avLst/>
                          </a:prstGeom>
                          <a:noFill/>
                          <a:ln>
                            <a:noFill/>
                          </a:ln>
                        </pic:spPr>
                      </pic:pic>
                    </a:graphicData>
                  </a:graphic>
                </wp:inline>
              </w:drawing>
            </w:r>
            <w:r w:rsidRPr="00E5175E">
              <w:rPr>
                <w:rFonts w:ascii="Times New Roman" w:eastAsia="Times New Roman" w:hAnsi="Times New Roman"/>
                <w:sz w:val="10"/>
                <w:szCs w:val="10"/>
                <w:lang w:eastAsia="es-ES"/>
              </w:rPr>
              <w:t xml:space="preserve">  20.07%</w:t>
            </w:r>
          </w:p>
          <w:p w14:paraId="55673D8E" w14:textId="77777777" w:rsidR="00E5175E" w:rsidRPr="00E5175E" w:rsidRDefault="00E5175E" w:rsidP="008D7BB4">
            <w:pPr>
              <w:spacing w:line="276" w:lineRule="auto"/>
              <w:contextualSpacing/>
              <w:jc w:val="center"/>
              <w:rPr>
                <w:rFonts w:ascii="Times New Roman" w:eastAsia="Times New Roman" w:hAnsi="Times New Roman"/>
                <w:sz w:val="10"/>
                <w:szCs w:val="10"/>
                <w:lang w:eastAsia="es-ES"/>
              </w:rPr>
            </w:pPr>
          </w:p>
          <w:p w14:paraId="74B1488D" w14:textId="77777777" w:rsidR="00E5175E" w:rsidRPr="00E5175E" w:rsidRDefault="00E5175E" w:rsidP="008D7BB4">
            <w:pPr>
              <w:spacing w:line="276" w:lineRule="auto"/>
              <w:contextualSpacing/>
              <w:jc w:val="right"/>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$ 5,468,890.19</w:t>
            </w:r>
          </w:p>
        </w:tc>
        <w:tc>
          <w:tcPr>
            <w:tcW w:w="966" w:type="dxa"/>
            <w:vAlign w:val="center"/>
          </w:tcPr>
          <w:p w14:paraId="50392C81" w14:textId="77777777"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a octubre 2022</w:t>
            </w:r>
          </w:p>
          <w:p w14:paraId="3C6D1E44" w14:textId="7C5A56F0"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Calibri" w:eastAsia="Times New Roman" w:hAnsi="Calibri"/>
                <w:noProof/>
                <w:sz w:val="10"/>
                <w:szCs w:val="10"/>
                <w:lang w:eastAsia="es-GT"/>
              </w:rPr>
              <w:drawing>
                <wp:inline distT="0" distB="0" distL="0" distR="0" wp14:anchorId="264AF71F" wp14:editId="68CF8626">
                  <wp:extent cx="79375" cy="63500"/>
                  <wp:effectExtent l="0" t="0" r="0" b="0"/>
                  <wp:docPr id="297" name="Imagen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9375" cy="63500"/>
                          </a:xfrm>
                          <a:prstGeom prst="rect">
                            <a:avLst/>
                          </a:prstGeom>
                          <a:noFill/>
                          <a:ln>
                            <a:noFill/>
                          </a:ln>
                        </pic:spPr>
                      </pic:pic>
                    </a:graphicData>
                  </a:graphic>
                </wp:inline>
              </w:drawing>
            </w:r>
            <w:r w:rsidRPr="00E5175E">
              <w:rPr>
                <w:rFonts w:ascii="Times New Roman" w:eastAsia="Times New Roman" w:hAnsi="Times New Roman"/>
                <w:sz w:val="10"/>
                <w:szCs w:val="10"/>
                <w:lang w:eastAsia="es-ES"/>
              </w:rPr>
              <w:t xml:space="preserve">  12.37%</w:t>
            </w:r>
          </w:p>
          <w:p w14:paraId="412EE288" w14:textId="77777777" w:rsidR="00E5175E" w:rsidRPr="00E5175E" w:rsidRDefault="00E5175E" w:rsidP="008D7BB4">
            <w:pPr>
              <w:spacing w:line="276" w:lineRule="auto"/>
              <w:contextualSpacing/>
              <w:jc w:val="center"/>
              <w:rPr>
                <w:rFonts w:ascii="Times New Roman" w:eastAsia="Times New Roman" w:hAnsi="Times New Roman"/>
                <w:sz w:val="10"/>
                <w:szCs w:val="10"/>
                <w:lang w:eastAsia="es-ES"/>
              </w:rPr>
            </w:pPr>
          </w:p>
          <w:p w14:paraId="3EB54E5A" w14:textId="77777777" w:rsidR="00E5175E" w:rsidRPr="00E5175E" w:rsidRDefault="00E5175E" w:rsidP="008D7BB4">
            <w:pPr>
              <w:spacing w:line="276" w:lineRule="auto"/>
              <w:contextualSpacing/>
              <w:jc w:val="right"/>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$ 5,628.32</w:t>
            </w:r>
          </w:p>
        </w:tc>
        <w:tc>
          <w:tcPr>
            <w:tcW w:w="966" w:type="dxa"/>
            <w:vAlign w:val="center"/>
          </w:tcPr>
          <w:p w14:paraId="4C8BAF75" w14:textId="77777777"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a octubre 2022</w:t>
            </w:r>
          </w:p>
          <w:p w14:paraId="25D6F066" w14:textId="169DBB5B"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Calibri" w:eastAsia="Times New Roman" w:hAnsi="Calibri"/>
                <w:noProof/>
                <w:sz w:val="10"/>
                <w:szCs w:val="10"/>
                <w:lang w:eastAsia="es-GT"/>
              </w:rPr>
              <w:drawing>
                <wp:inline distT="0" distB="0" distL="0" distR="0" wp14:anchorId="24F72533" wp14:editId="4BF5251E">
                  <wp:extent cx="79375" cy="63500"/>
                  <wp:effectExtent l="0" t="0" r="0" b="0"/>
                  <wp:docPr id="296" name="Imagen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9375" cy="63500"/>
                          </a:xfrm>
                          <a:prstGeom prst="rect">
                            <a:avLst/>
                          </a:prstGeom>
                          <a:noFill/>
                          <a:ln>
                            <a:noFill/>
                          </a:ln>
                        </pic:spPr>
                      </pic:pic>
                    </a:graphicData>
                  </a:graphic>
                </wp:inline>
              </w:drawing>
            </w:r>
            <w:r w:rsidRPr="00E5175E">
              <w:rPr>
                <w:rFonts w:ascii="Times New Roman" w:eastAsia="Times New Roman" w:hAnsi="Times New Roman"/>
                <w:sz w:val="10"/>
                <w:szCs w:val="10"/>
                <w:lang w:eastAsia="es-ES"/>
              </w:rPr>
              <w:t xml:space="preserve">  15.66%</w:t>
            </w:r>
          </w:p>
          <w:p w14:paraId="41D14B2D" w14:textId="77777777" w:rsidR="00E5175E" w:rsidRPr="00E5175E" w:rsidRDefault="00E5175E" w:rsidP="008D7BB4">
            <w:pPr>
              <w:spacing w:line="276" w:lineRule="auto"/>
              <w:contextualSpacing/>
              <w:jc w:val="center"/>
              <w:rPr>
                <w:rFonts w:ascii="Times New Roman" w:eastAsia="Times New Roman" w:hAnsi="Times New Roman"/>
                <w:sz w:val="10"/>
                <w:szCs w:val="10"/>
                <w:lang w:eastAsia="es-ES"/>
              </w:rPr>
            </w:pPr>
          </w:p>
          <w:p w14:paraId="153DDA30" w14:textId="77777777" w:rsidR="00E5175E" w:rsidRPr="00E5175E" w:rsidRDefault="00E5175E" w:rsidP="008D7BB4">
            <w:pPr>
              <w:spacing w:line="276" w:lineRule="auto"/>
              <w:contextualSpacing/>
              <w:jc w:val="right"/>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$ 78,664.43</w:t>
            </w:r>
          </w:p>
        </w:tc>
        <w:tc>
          <w:tcPr>
            <w:tcW w:w="967" w:type="dxa"/>
            <w:vAlign w:val="center"/>
          </w:tcPr>
          <w:p w14:paraId="00E818F1" w14:textId="77777777"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a septiembre 2022</w:t>
            </w:r>
          </w:p>
          <w:p w14:paraId="63117D30" w14:textId="345E59DF"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Calibri" w:eastAsia="Times New Roman" w:hAnsi="Calibri"/>
                <w:noProof/>
                <w:sz w:val="10"/>
                <w:szCs w:val="10"/>
                <w:lang w:eastAsia="es-GT"/>
              </w:rPr>
              <w:drawing>
                <wp:inline distT="0" distB="0" distL="0" distR="0" wp14:anchorId="385ACD33" wp14:editId="73D7AEEB">
                  <wp:extent cx="79375" cy="63500"/>
                  <wp:effectExtent l="0" t="0" r="0" b="0"/>
                  <wp:docPr id="295" name="Imagen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9375" cy="63500"/>
                          </a:xfrm>
                          <a:prstGeom prst="rect">
                            <a:avLst/>
                          </a:prstGeom>
                          <a:noFill/>
                          <a:ln>
                            <a:noFill/>
                          </a:ln>
                        </pic:spPr>
                      </pic:pic>
                    </a:graphicData>
                  </a:graphic>
                </wp:inline>
              </w:drawing>
            </w:r>
            <w:r w:rsidRPr="00E5175E">
              <w:rPr>
                <w:rFonts w:ascii="Times New Roman" w:eastAsia="Times New Roman" w:hAnsi="Times New Roman"/>
                <w:sz w:val="10"/>
                <w:szCs w:val="10"/>
                <w:lang w:eastAsia="es-ES"/>
              </w:rPr>
              <w:t xml:space="preserve">  17.79%</w:t>
            </w:r>
          </w:p>
          <w:p w14:paraId="30FC77A7" w14:textId="77777777" w:rsidR="00E5175E" w:rsidRPr="00E5175E" w:rsidRDefault="00E5175E" w:rsidP="008D7BB4">
            <w:pPr>
              <w:spacing w:line="276" w:lineRule="auto"/>
              <w:contextualSpacing/>
              <w:jc w:val="center"/>
              <w:rPr>
                <w:rFonts w:ascii="Times New Roman" w:eastAsia="Times New Roman" w:hAnsi="Times New Roman"/>
                <w:sz w:val="10"/>
                <w:szCs w:val="10"/>
                <w:lang w:eastAsia="es-ES"/>
              </w:rPr>
            </w:pPr>
          </w:p>
          <w:p w14:paraId="6086FF1C" w14:textId="77777777" w:rsidR="00E5175E" w:rsidRPr="00E5175E" w:rsidRDefault="00E5175E" w:rsidP="008D7BB4">
            <w:pPr>
              <w:spacing w:line="276" w:lineRule="auto"/>
              <w:contextualSpacing/>
              <w:jc w:val="right"/>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$ 110,708.88</w:t>
            </w:r>
          </w:p>
        </w:tc>
        <w:tc>
          <w:tcPr>
            <w:tcW w:w="966" w:type="dxa"/>
            <w:vAlign w:val="center"/>
          </w:tcPr>
          <w:p w14:paraId="35F5ACEA" w14:textId="77777777"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a septiembre 2022</w:t>
            </w:r>
          </w:p>
          <w:p w14:paraId="2CF75B62" w14:textId="5A2CD1A8"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Calibri" w:eastAsia="Times New Roman" w:hAnsi="Calibri"/>
                <w:noProof/>
                <w:sz w:val="10"/>
                <w:szCs w:val="10"/>
                <w:lang w:eastAsia="es-GT"/>
              </w:rPr>
              <w:drawing>
                <wp:inline distT="0" distB="0" distL="0" distR="0" wp14:anchorId="0E7EF5CC" wp14:editId="6B5C977F">
                  <wp:extent cx="55880" cy="55880"/>
                  <wp:effectExtent l="0" t="0" r="1270" b="1270"/>
                  <wp:docPr id="294" name="Imagen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880" cy="55880"/>
                          </a:xfrm>
                          <a:prstGeom prst="rect">
                            <a:avLst/>
                          </a:prstGeom>
                          <a:noFill/>
                          <a:ln>
                            <a:noFill/>
                          </a:ln>
                        </pic:spPr>
                      </pic:pic>
                    </a:graphicData>
                  </a:graphic>
                </wp:inline>
              </w:drawing>
            </w:r>
            <w:r w:rsidRPr="00E5175E">
              <w:rPr>
                <w:rFonts w:ascii="Times New Roman" w:eastAsia="Times New Roman" w:hAnsi="Times New Roman"/>
                <w:sz w:val="10"/>
                <w:szCs w:val="10"/>
                <w:lang w:eastAsia="es-ES"/>
              </w:rPr>
              <w:t xml:space="preserve">  18.52%</w:t>
            </w:r>
          </w:p>
          <w:p w14:paraId="2879984B" w14:textId="77777777" w:rsidR="00E5175E" w:rsidRPr="00E5175E" w:rsidRDefault="00E5175E" w:rsidP="008D7BB4">
            <w:pPr>
              <w:spacing w:line="276" w:lineRule="auto"/>
              <w:contextualSpacing/>
              <w:jc w:val="center"/>
              <w:rPr>
                <w:rFonts w:ascii="Times New Roman" w:eastAsia="Times New Roman" w:hAnsi="Times New Roman"/>
                <w:sz w:val="10"/>
                <w:szCs w:val="10"/>
                <w:lang w:eastAsia="es-ES"/>
              </w:rPr>
            </w:pPr>
          </w:p>
          <w:p w14:paraId="5BD438FB" w14:textId="77777777" w:rsidR="00E5175E" w:rsidRPr="00E5175E" w:rsidRDefault="00E5175E" w:rsidP="008D7BB4">
            <w:pPr>
              <w:spacing w:line="276" w:lineRule="auto"/>
              <w:contextualSpacing/>
              <w:jc w:val="right"/>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$ 90,885.3</w:t>
            </w:r>
          </w:p>
        </w:tc>
        <w:tc>
          <w:tcPr>
            <w:tcW w:w="966" w:type="dxa"/>
            <w:vAlign w:val="center"/>
          </w:tcPr>
          <w:p w14:paraId="779AD6D0" w14:textId="77777777"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a septiembre 2022</w:t>
            </w:r>
          </w:p>
          <w:p w14:paraId="0A2FDD68" w14:textId="056BF7A7"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Calibri" w:eastAsia="Times New Roman" w:hAnsi="Calibri"/>
                <w:noProof/>
                <w:sz w:val="10"/>
                <w:szCs w:val="10"/>
                <w:lang w:eastAsia="es-GT"/>
              </w:rPr>
              <w:drawing>
                <wp:inline distT="0" distB="0" distL="0" distR="0" wp14:anchorId="37A84589" wp14:editId="7E4DB028">
                  <wp:extent cx="79375" cy="63500"/>
                  <wp:effectExtent l="0" t="0" r="0" b="0"/>
                  <wp:docPr id="293" name="Imagen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9375" cy="63500"/>
                          </a:xfrm>
                          <a:prstGeom prst="rect">
                            <a:avLst/>
                          </a:prstGeom>
                          <a:noFill/>
                          <a:ln>
                            <a:noFill/>
                          </a:ln>
                        </pic:spPr>
                      </pic:pic>
                    </a:graphicData>
                  </a:graphic>
                </wp:inline>
              </w:drawing>
            </w:r>
            <w:r w:rsidRPr="00E5175E">
              <w:rPr>
                <w:rFonts w:ascii="Times New Roman" w:eastAsia="Times New Roman" w:hAnsi="Times New Roman"/>
                <w:sz w:val="10"/>
                <w:szCs w:val="10"/>
                <w:lang w:eastAsia="es-ES"/>
              </w:rPr>
              <w:t xml:space="preserve">  15.28%</w:t>
            </w:r>
          </w:p>
          <w:p w14:paraId="694D8B5D" w14:textId="77777777" w:rsidR="00E5175E" w:rsidRPr="00E5175E" w:rsidRDefault="00E5175E" w:rsidP="008D7BB4">
            <w:pPr>
              <w:spacing w:line="276" w:lineRule="auto"/>
              <w:contextualSpacing/>
              <w:jc w:val="center"/>
              <w:rPr>
                <w:rFonts w:ascii="Times New Roman" w:eastAsia="Times New Roman" w:hAnsi="Times New Roman"/>
                <w:sz w:val="10"/>
                <w:szCs w:val="10"/>
                <w:lang w:eastAsia="es-ES"/>
              </w:rPr>
            </w:pPr>
          </w:p>
          <w:p w14:paraId="5EE84B8B" w14:textId="77777777" w:rsidR="00E5175E" w:rsidRPr="00E5175E" w:rsidRDefault="00E5175E" w:rsidP="008D7BB4">
            <w:pPr>
              <w:spacing w:line="276" w:lineRule="auto"/>
              <w:contextualSpacing/>
              <w:jc w:val="right"/>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$ 707,623.8</w:t>
            </w:r>
          </w:p>
        </w:tc>
        <w:tc>
          <w:tcPr>
            <w:tcW w:w="967" w:type="dxa"/>
            <w:vAlign w:val="center"/>
          </w:tcPr>
          <w:p w14:paraId="10A70EC2" w14:textId="77777777"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a junio 2022</w:t>
            </w:r>
          </w:p>
          <w:p w14:paraId="73EDD43B" w14:textId="5BB1B406"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Calibri" w:eastAsia="Times New Roman" w:hAnsi="Calibri"/>
                <w:noProof/>
                <w:sz w:val="10"/>
                <w:szCs w:val="10"/>
                <w:lang w:eastAsia="es-GT"/>
              </w:rPr>
              <w:drawing>
                <wp:inline distT="0" distB="0" distL="0" distR="0" wp14:anchorId="4D807BF9" wp14:editId="49018E02">
                  <wp:extent cx="55880" cy="55880"/>
                  <wp:effectExtent l="0" t="0" r="1270" b="1270"/>
                  <wp:docPr id="292" name="Imagen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880" cy="55880"/>
                          </a:xfrm>
                          <a:prstGeom prst="rect">
                            <a:avLst/>
                          </a:prstGeom>
                          <a:noFill/>
                          <a:ln>
                            <a:noFill/>
                          </a:ln>
                        </pic:spPr>
                      </pic:pic>
                    </a:graphicData>
                  </a:graphic>
                </wp:inline>
              </w:drawing>
            </w:r>
            <w:r w:rsidRPr="00E5175E">
              <w:rPr>
                <w:rFonts w:ascii="Times New Roman" w:eastAsia="Times New Roman" w:hAnsi="Times New Roman"/>
                <w:sz w:val="10"/>
                <w:szCs w:val="10"/>
                <w:lang w:eastAsia="es-ES"/>
              </w:rPr>
              <w:t xml:space="preserve">  -98.42%</w:t>
            </w:r>
          </w:p>
          <w:p w14:paraId="05F3DEA3" w14:textId="77777777" w:rsidR="00E5175E" w:rsidRPr="00E5175E" w:rsidRDefault="00E5175E" w:rsidP="008D7BB4">
            <w:pPr>
              <w:spacing w:line="276" w:lineRule="auto"/>
              <w:contextualSpacing/>
              <w:jc w:val="center"/>
              <w:rPr>
                <w:rFonts w:ascii="Times New Roman" w:eastAsia="Times New Roman" w:hAnsi="Times New Roman"/>
                <w:sz w:val="10"/>
                <w:szCs w:val="10"/>
                <w:lang w:eastAsia="es-ES"/>
              </w:rPr>
            </w:pPr>
          </w:p>
          <w:p w14:paraId="77B0C8C9" w14:textId="77777777" w:rsidR="00E5175E" w:rsidRPr="00E5175E" w:rsidRDefault="00E5175E" w:rsidP="008D7BB4">
            <w:pPr>
              <w:spacing w:line="276" w:lineRule="auto"/>
              <w:contextualSpacing/>
              <w:jc w:val="right"/>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$ 3,469.9</w:t>
            </w:r>
          </w:p>
        </w:tc>
      </w:tr>
      <w:tr w:rsidR="00E5175E" w:rsidRPr="00E5175E" w14:paraId="6643E615" w14:textId="77777777" w:rsidTr="006825AB">
        <w:trPr>
          <w:trHeight w:val="18"/>
          <w:jc w:val="center"/>
        </w:trPr>
        <w:tc>
          <w:tcPr>
            <w:tcW w:w="1830" w:type="dxa"/>
            <w:vAlign w:val="center"/>
          </w:tcPr>
          <w:p w14:paraId="1513CFF0" w14:textId="77777777" w:rsidR="00E5175E" w:rsidRPr="00E5175E" w:rsidRDefault="00E5175E" w:rsidP="008D7BB4">
            <w:pPr>
              <w:spacing w:line="276" w:lineRule="auto"/>
              <w:contextualSpacing/>
              <w:rPr>
                <w:rFonts w:ascii="Times New Roman" w:eastAsia="Times New Roman" w:hAnsi="Times New Roman"/>
                <w:sz w:val="16"/>
                <w:szCs w:val="10"/>
                <w:lang w:eastAsia="es-ES"/>
              </w:rPr>
            </w:pPr>
            <w:r w:rsidRPr="00E5175E">
              <w:rPr>
                <w:rFonts w:ascii="Times New Roman" w:eastAsia="Times New Roman" w:hAnsi="Times New Roman"/>
                <w:sz w:val="16"/>
                <w:szCs w:val="10"/>
                <w:lang w:eastAsia="es-ES"/>
              </w:rPr>
              <w:t>Gastos totales GC</w:t>
            </w:r>
          </w:p>
        </w:tc>
        <w:tc>
          <w:tcPr>
            <w:tcW w:w="966" w:type="dxa"/>
            <w:vAlign w:val="center"/>
          </w:tcPr>
          <w:p w14:paraId="341CEA7A" w14:textId="77777777"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a septiembre 2022</w:t>
            </w:r>
          </w:p>
          <w:p w14:paraId="545C1E50" w14:textId="3EC212E1"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Calibri" w:eastAsia="Times New Roman" w:hAnsi="Calibri"/>
                <w:noProof/>
                <w:sz w:val="10"/>
                <w:szCs w:val="10"/>
                <w:lang w:eastAsia="es-GT"/>
              </w:rPr>
              <w:drawing>
                <wp:inline distT="0" distB="0" distL="0" distR="0" wp14:anchorId="5520EC2D" wp14:editId="3C345588">
                  <wp:extent cx="79375" cy="63500"/>
                  <wp:effectExtent l="0" t="0" r="0" b="0"/>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9375" cy="63500"/>
                          </a:xfrm>
                          <a:prstGeom prst="rect">
                            <a:avLst/>
                          </a:prstGeom>
                          <a:noFill/>
                          <a:ln>
                            <a:noFill/>
                          </a:ln>
                        </pic:spPr>
                      </pic:pic>
                    </a:graphicData>
                  </a:graphic>
                </wp:inline>
              </w:drawing>
            </w:r>
            <w:r w:rsidRPr="00E5175E">
              <w:rPr>
                <w:rFonts w:ascii="Times New Roman" w:eastAsia="Times New Roman" w:hAnsi="Times New Roman"/>
                <w:sz w:val="10"/>
                <w:szCs w:val="10"/>
                <w:lang w:eastAsia="es-ES"/>
              </w:rPr>
              <w:t xml:space="preserve">  2.94%</w:t>
            </w:r>
          </w:p>
          <w:p w14:paraId="6D03D4A7" w14:textId="77777777" w:rsidR="00E5175E" w:rsidRPr="00E5175E" w:rsidRDefault="00E5175E" w:rsidP="008D7BB4">
            <w:pPr>
              <w:spacing w:line="276" w:lineRule="auto"/>
              <w:contextualSpacing/>
              <w:jc w:val="center"/>
              <w:rPr>
                <w:rFonts w:ascii="Times New Roman" w:eastAsia="Times New Roman" w:hAnsi="Times New Roman"/>
                <w:sz w:val="10"/>
                <w:szCs w:val="10"/>
                <w:lang w:eastAsia="es-ES"/>
              </w:rPr>
            </w:pPr>
          </w:p>
          <w:p w14:paraId="4701F298" w14:textId="77777777" w:rsidR="00E5175E" w:rsidRPr="00E5175E" w:rsidRDefault="00E5175E" w:rsidP="008D7BB4">
            <w:pPr>
              <w:spacing w:line="276" w:lineRule="auto"/>
              <w:contextualSpacing/>
              <w:jc w:val="right"/>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$ 6,219,500.8</w:t>
            </w:r>
          </w:p>
        </w:tc>
        <w:tc>
          <w:tcPr>
            <w:tcW w:w="966" w:type="dxa"/>
            <w:vAlign w:val="center"/>
          </w:tcPr>
          <w:p w14:paraId="30C488A9" w14:textId="77777777"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a octubre 2022</w:t>
            </w:r>
          </w:p>
          <w:p w14:paraId="7EBB9442" w14:textId="6C7E2659"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Calibri" w:eastAsia="Times New Roman" w:hAnsi="Calibri"/>
                <w:noProof/>
                <w:sz w:val="10"/>
                <w:szCs w:val="10"/>
                <w:lang w:eastAsia="es-GT"/>
              </w:rPr>
              <w:drawing>
                <wp:inline distT="0" distB="0" distL="0" distR="0" wp14:anchorId="6B1169B0" wp14:editId="59CB6F6A">
                  <wp:extent cx="79375" cy="63500"/>
                  <wp:effectExtent l="0" t="0" r="0" b="0"/>
                  <wp:docPr id="290" name="Imagen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9375" cy="63500"/>
                          </a:xfrm>
                          <a:prstGeom prst="rect">
                            <a:avLst/>
                          </a:prstGeom>
                          <a:noFill/>
                          <a:ln>
                            <a:noFill/>
                          </a:ln>
                        </pic:spPr>
                      </pic:pic>
                    </a:graphicData>
                  </a:graphic>
                </wp:inline>
              </w:drawing>
            </w:r>
            <w:r w:rsidRPr="00E5175E">
              <w:rPr>
                <w:rFonts w:ascii="Times New Roman" w:eastAsia="Times New Roman" w:hAnsi="Times New Roman"/>
                <w:sz w:val="10"/>
                <w:szCs w:val="10"/>
                <w:lang w:eastAsia="es-ES"/>
              </w:rPr>
              <w:t xml:space="preserve">  -2.14%</w:t>
            </w:r>
          </w:p>
          <w:p w14:paraId="7D339226" w14:textId="77777777" w:rsidR="00E5175E" w:rsidRPr="00E5175E" w:rsidRDefault="00E5175E" w:rsidP="008D7BB4">
            <w:pPr>
              <w:spacing w:line="276" w:lineRule="auto"/>
              <w:contextualSpacing/>
              <w:jc w:val="center"/>
              <w:rPr>
                <w:rFonts w:ascii="Times New Roman" w:eastAsia="Times New Roman" w:hAnsi="Times New Roman"/>
                <w:sz w:val="10"/>
                <w:szCs w:val="10"/>
                <w:lang w:eastAsia="es-ES"/>
              </w:rPr>
            </w:pPr>
          </w:p>
          <w:p w14:paraId="3E7AA47B" w14:textId="77777777" w:rsidR="00E5175E" w:rsidRPr="00E5175E" w:rsidRDefault="00E5175E" w:rsidP="008D7BB4">
            <w:pPr>
              <w:spacing w:line="276" w:lineRule="auto"/>
              <w:contextualSpacing/>
              <w:jc w:val="right"/>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$ 6,043.53</w:t>
            </w:r>
          </w:p>
        </w:tc>
        <w:tc>
          <w:tcPr>
            <w:tcW w:w="966" w:type="dxa"/>
            <w:vAlign w:val="center"/>
          </w:tcPr>
          <w:p w14:paraId="0204D316" w14:textId="77777777"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a octubre 2022</w:t>
            </w:r>
          </w:p>
          <w:p w14:paraId="0E22A2A6" w14:textId="55691847"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Calibri" w:eastAsia="Times New Roman" w:hAnsi="Calibri"/>
                <w:noProof/>
                <w:sz w:val="10"/>
                <w:szCs w:val="10"/>
                <w:lang w:eastAsia="es-GT"/>
              </w:rPr>
              <w:drawing>
                <wp:inline distT="0" distB="0" distL="0" distR="0" wp14:anchorId="161081FF" wp14:editId="3A89D97B">
                  <wp:extent cx="79375" cy="63500"/>
                  <wp:effectExtent l="0" t="0" r="0" b="0"/>
                  <wp:docPr id="289" name="Imagen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9375" cy="63500"/>
                          </a:xfrm>
                          <a:prstGeom prst="rect">
                            <a:avLst/>
                          </a:prstGeom>
                          <a:noFill/>
                          <a:ln>
                            <a:noFill/>
                          </a:ln>
                        </pic:spPr>
                      </pic:pic>
                    </a:graphicData>
                  </a:graphic>
                </wp:inline>
              </w:drawing>
            </w:r>
            <w:r w:rsidRPr="00E5175E">
              <w:rPr>
                <w:rFonts w:ascii="Times New Roman" w:eastAsia="Times New Roman" w:hAnsi="Times New Roman"/>
                <w:sz w:val="10"/>
                <w:szCs w:val="10"/>
                <w:lang w:eastAsia="es-ES"/>
              </w:rPr>
              <w:t xml:space="preserve">  19.91%</w:t>
            </w:r>
          </w:p>
          <w:p w14:paraId="61C681DD" w14:textId="77777777" w:rsidR="00E5175E" w:rsidRPr="00E5175E" w:rsidRDefault="00E5175E" w:rsidP="008D7BB4">
            <w:pPr>
              <w:spacing w:line="276" w:lineRule="auto"/>
              <w:contextualSpacing/>
              <w:jc w:val="center"/>
              <w:rPr>
                <w:rFonts w:ascii="Times New Roman" w:eastAsia="Times New Roman" w:hAnsi="Times New Roman"/>
                <w:sz w:val="10"/>
                <w:szCs w:val="10"/>
                <w:lang w:eastAsia="es-ES"/>
              </w:rPr>
            </w:pPr>
          </w:p>
          <w:p w14:paraId="1770D7AD" w14:textId="77777777" w:rsidR="00E5175E" w:rsidRPr="00E5175E" w:rsidRDefault="00E5175E" w:rsidP="008D7BB4">
            <w:pPr>
              <w:spacing w:line="276" w:lineRule="auto"/>
              <w:contextualSpacing/>
              <w:jc w:val="right"/>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$ 82,356.53</w:t>
            </w:r>
          </w:p>
        </w:tc>
        <w:tc>
          <w:tcPr>
            <w:tcW w:w="967" w:type="dxa"/>
            <w:vAlign w:val="center"/>
          </w:tcPr>
          <w:p w14:paraId="5F0EB9E6" w14:textId="77777777"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a septiembre 2022</w:t>
            </w:r>
          </w:p>
          <w:p w14:paraId="52FE9348" w14:textId="6A73FC17"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Calibri" w:eastAsia="Times New Roman" w:hAnsi="Calibri"/>
                <w:noProof/>
                <w:sz w:val="10"/>
                <w:szCs w:val="10"/>
                <w:lang w:eastAsia="es-GT"/>
              </w:rPr>
              <w:drawing>
                <wp:inline distT="0" distB="0" distL="0" distR="0" wp14:anchorId="1257CD42" wp14:editId="0A2FE515">
                  <wp:extent cx="55880" cy="55880"/>
                  <wp:effectExtent l="0" t="0" r="1270" b="1270"/>
                  <wp:docPr id="288"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880" cy="55880"/>
                          </a:xfrm>
                          <a:prstGeom prst="rect">
                            <a:avLst/>
                          </a:prstGeom>
                          <a:noFill/>
                          <a:ln>
                            <a:noFill/>
                          </a:ln>
                        </pic:spPr>
                      </pic:pic>
                    </a:graphicData>
                  </a:graphic>
                </wp:inline>
              </w:drawing>
            </w:r>
            <w:r w:rsidRPr="00E5175E">
              <w:rPr>
                <w:rFonts w:ascii="Times New Roman" w:eastAsia="Times New Roman" w:hAnsi="Times New Roman"/>
                <w:sz w:val="10"/>
                <w:szCs w:val="10"/>
                <w:lang w:eastAsia="es-ES"/>
              </w:rPr>
              <w:t xml:space="preserve">  -4.59%</w:t>
            </w:r>
          </w:p>
          <w:p w14:paraId="0B650C1F" w14:textId="77777777" w:rsidR="00E5175E" w:rsidRPr="00E5175E" w:rsidRDefault="00E5175E" w:rsidP="008D7BB4">
            <w:pPr>
              <w:spacing w:line="276" w:lineRule="auto"/>
              <w:contextualSpacing/>
              <w:jc w:val="center"/>
              <w:rPr>
                <w:rFonts w:ascii="Times New Roman" w:eastAsia="Times New Roman" w:hAnsi="Times New Roman"/>
                <w:sz w:val="10"/>
                <w:szCs w:val="10"/>
                <w:lang w:eastAsia="es-ES"/>
              </w:rPr>
            </w:pPr>
          </w:p>
          <w:p w14:paraId="3E8EC85E" w14:textId="77777777" w:rsidR="00E5175E" w:rsidRPr="00E5175E" w:rsidRDefault="00E5175E" w:rsidP="008D7BB4">
            <w:pPr>
              <w:spacing w:line="276" w:lineRule="auto"/>
              <w:contextualSpacing/>
              <w:jc w:val="right"/>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$ 98,246.51</w:t>
            </w:r>
          </w:p>
        </w:tc>
        <w:tc>
          <w:tcPr>
            <w:tcW w:w="966" w:type="dxa"/>
            <w:vAlign w:val="center"/>
          </w:tcPr>
          <w:p w14:paraId="06A9A674" w14:textId="77777777"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a septiembre 2022</w:t>
            </w:r>
          </w:p>
          <w:p w14:paraId="35635DA0" w14:textId="08BE7641"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Calibri" w:eastAsia="Times New Roman" w:hAnsi="Calibri"/>
                <w:noProof/>
                <w:sz w:val="10"/>
                <w:szCs w:val="10"/>
                <w:lang w:eastAsia="es-GT"/>
              </w:rPr>
              <w:drawing>
                <wp:inline distT="0" distB="0" distL="0" distR="0" wp14:anchorId="4D6A2A9A" wp14:editId="5C3C1A01">
                  <wp:extent cx="79375" cy="63500"/>
                  <wp:effectExtent l="0" t="0" r="0" b="0"/>
                  <wp:docPr id="287" name="Imagen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9375" cy="63500"/>
                          </a:xfrm>
                          <a:prstGeom prst="rect">
                            <a:avLst/>
                          </a:prstGeom>
                          <a:noFill/>
                          <a:ln>
                            <a:noFill/>
                          </a:ln>
                        </pic:spPr>
                      </pic:pic>
                    </a:graphicData>
                  </a:graphic>
                </wp:inline>
              </w:drawing>
            </w:r>
            <w:r w:rsidRPr="00E5175E">
              <w:rPr>
                <w:rFonts w:ascii="Times New Roman" w:eastAsia="Times New Roman" w:hAnsi="Times New Roman"/>
                <w:sz w:val="10"/>
                <w:szCs w:val="10"/>
                <w:lang w:eastAsia="es-ES"/>
              </w:rPr>
              <w:t xml:space="preserve">  11.15%</w:t>
            </w:r>
          </w:p>
          <w:p w14:paraId="400B806B" w14:textId="77777777" w:rsidR="00E5175E" w:rsidRPr="00E5175E" w:rsidRDefault="00E5175E" w:rsidP="008D7BB4">
            <w:pPr>
              <w:spacing w:line="276" w:lineRule="auto"/>
              <w:contextualSpacing/>
              <w:jc w:val="center"/>
              <w:rPr>
                <w:rFonts w:ascii="Times New Roman" w:eastAsia="Times New Roman" w:hAnsi="Times New Roman"/>
                <w:sz w:val="10"/>
                <w:szCs w:val="10"/>
                <w:lang w:eastAsia="es-ES"/>
              </w:rPr>
            </w:pPr>
          </w:p>
          <w:p w14:paraId="144A52AE" w14:textId="77777777" w:rsidR="00E5175E" w:rsidRPr="00E5175E" w:rsidRDefault="00E5175E" w:rsidP="008D7BB4">
            <w:pPr>
              <w:spacing w:line="276" w:lineRule="auto"/>
              <w:contextualSpacing/>
              <w:jc w:val="right"/>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$ 81,832.15</w:t>
            </w:r>
          </w:p>
        </w:tc>
        <w:tc>
          <w:tcPr>
            <w:tcW w:w="966" w:type="dxa"/>
            <w:vAlign w:val="center"/>
          </w:tcPr>
          <w:p w14:paraId="02528D78" w14:textId="77777777"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a septiembre 2022</w:t>
            </w:r>
          </w:p>
          <w:p w14:paraId="3409E72C" w14:textId="5E1422AB"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Calibri" w:eastAsia="Times New Roman" w:hAnsi="Calibri"/>
                <w:noProof/>
                <w:sz w:val="10"/>
                <w:szCs w:val="10"/>
                <w:lang w:eastAsia="es-GT"/>
              </w:rPr>
              <w:drawing>
                <wp:inline distT="0" distB="0" distL="0" distR="0" wp14:anchorId="7CF136AD" wp14:editId="59604A6D">
                  <wp:extent cx="55880" cy="55880"/>
                  <wp:effectExtent l="0" t="0" r="1270" b="1270"/>
                  <wp:docPr id="286" name="Imagen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880" cy="55880"/>
                          </a:xfrm>
                          <a:prstGeom prst="rect">
                            <a:avLst/>
                          </a:prstGeom>
                          <a:noFill/>
                          <a:ln>
                            <a:noFill/>
                          </a:ln>
                        </pic:spPr>
                      </pic:pic>
                    </a:graphicData>
                  </a:graphic>
                </wp:inline>
              </w:drawing>
            </w:r>
            <w:r w:rsidRPr="00E5175E">
              <w:rPr>
                <w:rFonts w:ascii="Times New Roman" w:eastAsia="Times New Roman" w:hAnsi="Times New Roman"/>
                <w:sz w:val="10"/>
                <w:szCs w:val="10"/>
                <w:lang w:eastAsia="es-ES"/>
              </w:rPr>
              <w:t xml:space="preserve">  21.28%</w:t>
            </w:r>
          </w:p>
          <w:p w14:paraId="7AF64DC3" w14:textId="77777777" w:rsidR="00E5175E" w:rsidRPr="00E5175E" w:rsidRDefault="00E5175E" w:rsidP="008D7BB4">
            <w:pPr>
              <w:spacing w:line="276" w:lineRule="auto"/>
              <w:contextualSpacing/>
              <w:jc w:val="center"/>
              <w:rPr>
                <w:rFonts w:ascii="Times New Roman" w:eastAsia="Times New Roman" w:hAnsi="Times New Roman"/>
                <w:sz w:val="10"/>
                <w:szCs w:val="10"/>
                <w:lang w:eastAsia="es-ES"/>
              </w:rPr>
            </w:pPr>
          </w:p>
          <w:p w14:paraId="56122D52" w14:textId="77777777" w:rsidR="00E5175E" w:rsidRPr="00E5175E" w:rsidRDefault="00E5175E" w:rsidP="008D7BB4">
            <w:pPr>
              <w:spacing w:line="276" w:lineRule="auto"/>
              <w:contextualSpacing/>
              <w:jc w:val="right"/>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$ 779,250.48</w:t>
            </w:r>
          </w:p>
        </w:tc>
        <w:tc>
          <w:tcPr>
            <w:tcW w:w="967" w:type="dxa"/>
            <w:vAlign w:val="center"/>
          </w:tcPr>
          <w:p w14:paraId="126189D2" w14:textId="77777777"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a junio 2022</w:t>
            </w:r>
          </w:p>
          <w:p w14:paraId="42F0E766" w14:textId="477138E9"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Calibri" w:eastAsia="Times New Roman" w:hAnsi="Calibri"/>
                <w:noProof/>
                <w:sz w:val="10"/>
                <w:szCs w:val="10"/>
                <w:lang w:eastAsia="es-GT"/>
              </w:rPr>
              <w:drawing>
                <wp:inline distT="0" distB="0" distL="0" distR="0" wp14:anchorId="4CCB77CB" wp14:editId="4622FDD9">
                  <wp:extent cx="79375" cy="63500"/>
                  <wp:effectExtent l="0" t="0" r="0" b="0"/>
                  <wp:docPr id="285" name="Imagen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9375" cy="63500"/>
                          </a:xfrm>
                          <a:prstGeom prst="rect">
                            <a:avLst/>
                          </a:prstGeom>
                          <a:noFill/>
                          <a:ln>
                            <a:noFill/>
                          </a:ln>
                        </pic:spPr>
                      </pic:pic>
                    </a:graphicData>
                  </a:graphic>
                </wp:inline>
              </w:drawing>
            </w:r>
            <w:r w:rsidRPr="00E5175E">
              <w:rPr>
                <w:rFonts w:ascii="Times New Roman" w:eastAsia="Times New Roman" w:hAnsi="Times New Roman"/>
                <w:sz w:val="10"/>
                <w:szCs w:val="10"/>
                <w:lang w:eastAsia="es-ES"/>
              </w:rPr>
              <w:t xml:space="preserve">  -97.49%</w:t>
            </w:r>
          </w:p>
          <w:p w14:paraId="2EEA110B" w14:textId="77777777" w:rsidR="00E5175E" w:rsidRPr="00E5175E" w:rsidRDefault="00E5175E" w:rsidP="008D7BB4">
            <w:pPr>
              <w:spacing w:line="276" w:lineRule="auto"/>
              <w:contextualSpacing/>
              <w:jc w:val="center"/>
              <w:rPr>
                <w:rFonts w:ascii="Times New Roman" w:eastAsia="Times New Roman" w:hAnsi="Times New Roman"/>
                <w:sz w:val="10"/>
                <w:szCs w:val="10"/>
                <w:lang w:eastAsia="es-ES"/>
              </w:rPr>
            </w:pPr>
          </w:p>
          <w:p w14:paraId="649C966E" w14:textId="77777777" w:rsidR="00E5175E" w:rsidRPr="00E5175E" w:rsidRDefault="00E5175E" w:rsidP="008D7BB4">
            <w:pPr>
              <w:spacing w:line="276" w:lineRule="auto"/>
              <w:contextualSpacing/>
              <w:jc w:val="right"/>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$ 6,090.8</w:t>
            </w:r>
          </w:p>
        </w:tc>
      </w:tr>
      <w:tr w:rsidR="00E5175E" w:rsidRPr="00E5175E" w14:paraId="2624A252" w14:textId="77777777" w:rsidTr="006825AB">
        <w:trPr>
          <w:trHeight w:val="18"/>
          <w:jc w:val="center"/>
        </w:trPr>
        <w:tc>
          <w:tcPr>
            <w:tcW w:w="1830" w:type="dxa"/>
            <w:vAlign w:val="center"/>
          </w:tcPr>
          <w:p w14:paraId="55DE9197" w14:textId="77777777" w:rsidR="00E5175E" w:rsidRPr="00E5175E" w:rsidRDefault="00E5175E" w:rsidP="008D7BB4">
            <w:pPr>
              <w:spacing w:line="276" w:lineRule="auto"/>
              <w:contextualSpacing/>
              <w:rPr>
                <w:rFonts w:ascii="Times New Roman" w:eastAsia="Times New Roman" w:hAnsi="Times New Roman"/>
                <w:sz w:val="16"/>
                <w:szCs w:val="10"/>
                <w:lang w:eastAsia="es-ES"/>
              </w:rPr>
            </w:pPr>
            <w:r w:rsidRPr="00E5175E">
              <w:rPr>
                <w:rFonts w:ascii="Times New Roman" w:eastAsia="Times New Roman" w:hAnsi="Times New Roman"/>
                <w:sz w:val="16"/>
                <w:szCs w:val="10"/>
                <w:lang w:eastAsia="es-ES"/>
              </w:rPr>
              <w:t>Deuda total / PIB</w:t>
            </w:r>
          </w:p>
        </w:tc>
        <w:tc>
          <w:tcPr>
            <w:tcW w:w="966" w:type="dxa"/>
            <w:vAlign w:val="center"/>
          </w:tcPr>
          <w:p w14:paraId="56841F27" w14:textId="77777777"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a abril 2022</w:t>
            </w:r>
          </w:p>
          <w:p w14:paraId="25ABF815" w14:textId="3F66785F"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Calibri" w:eastAsia="Times New Roman" w:hAnsi="Calibri"/>
                <w:noProof/>
                <w:sz w:val="10"/>
                <w:szCs w:val="10"/>
                <w:lang w:eastAsia="es-GT"/>
              </w:rPr>
              <w:drawing>
                <wp:inline distT="0" distB="0" distL="0" distR="0" wp14:anchorId="34BF84C8" wp14:editId="24B49936">
                  <wp:extent cx="55880" cy="55880"/>
                  <wp:effectExtent l="0" t="0" r="1270" b="1270"/>
                  <wp:docPr id="284" name="Imagen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880" cy="55880"/>
                          </a:xfrm>
                          <a:prstGeom prst="rect">
                            <a:avLst/>
                          </a:prstGeom>
                          <a:noFill/>
                          <a:ln>
                            <a:noFill/>
                          </a:ln>
                        </pic:spPr>
                      </pic:pic>
                    </a:graphicData>
                  </a:graphic>
                </wp:inline>
              </w:drawing>
            </w:r>
            <w:r w:rsidRPr="00E5175E">
              <w:rPr>
                <w:rFonts w:ascii="Times New Roman" w:eastAsia="Times New Roman" w:hAnsi="Times New Roman"/>
                <w:sz w:val="10"/>
                <w:szCs w:val="10"/>
                <w:lang w:eastAsia="es-ES"/>
              </w:rPr>
              <w:t xml:space="preserve">  74.34%</w:t>
            </w:r>
          </w:p>
          <w:p w14:paraId="5158FA18" w14:textId="77777777" w:rsidR="00E5175E" w:rsidRPr="00E5175E" w:rsidRDefault="00E5175E" w:rsidP="008D7BB4">
            <w:pPr>
              <w:spacing w:line="276" w:lineRule="auto"/>
              <w:contextualSpacing/>
              <w:jc w:val="center"/>
              <w:rPr>
                <w:rFonts w:ascii="Times New Roman" w:eastAsia="Times New Roman" w:hAnsi="Times New Roman"/>
                <w:sz w:val="10"/>
                <w:szCs w:val="10"/>
                <w:lang w:eastAsia="es-ES"/>
              </w:rPr>
            </w:pPr>
          </w:p>
        </w:tc>
        <w:tc>
          <w:tcPr>
            <w:tcW w:w="966" w:type="dxa"/>
            <w:vAlign w:val="center"/>
          </w:tcPr>
          <w:p w14:paraId="5D7F5AF6" w14:textId="77777777"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a octubre 2022</w:t>
            </w:r>
          </w:p>
          <w:p w14:paraId="79D16CF3" w14:textId="66BC3F31"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Calibri" w:eastAsia="Times New Roman" w:hAnsi="Calibri"/>
                <w:noProof/>
                <w:sz w:val="10"/>
                <w:szCs w:val="10"/>
                <w:lang w:eastAsia="es-GT"/>
              </w:rPr>
              <w:drawing>
                <wp:inline distT="0" distB="0" distL="0" distR="0" wp14:anchorId="3255C4EC" wp14:editId="033A1820">
                  <wp:extent cx="55880" cy="55880"/>
                  <wp:effectExtent l="0" t="0" r="1270" b="1270"/>
                  <wp:docPr id="283" name="Imagen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880" cy="55880"/>
                          </a:xfrm>
                          <a:prstGeom prst="rect">
                            <a:avLst/>
                          </a:prstGeom>
                          <a:noFill/>
                          <a:ln>
                            <a:noFill/>
                          </a:ln>
                        </pic:spPr>
                      </pic:pic>
                    </a:graphicData>
                  </a:graphic>
                </wp:inline>
              </w:drawing>
            </w:r>
            <w:r w:rsidRPr="00E5175E">
              <w:rPr>
                <w:rFonts w:ascii="Times New Roman" w:eastAsia="Times New Roman" w:hAnsi="Times New Roman"/>
                <w:sz w:val="10"/>
                <w:szCs w:val="10"/>
                <w:lang w:eastAsia="es-ES"/>
              </w:rPr>
              <w:t xml:space="preserve">  78.71%</w:t>
            </w:r>
          </w:p>
          <w:p w14:paraId="724DA175" w14:textId="77777777" w:rsidR="00E5175E" w:rsidRPr="00E5175E" w:rsidRDefault="00E5175E" w:rsidP="008D7BB4">
            <w:pPr>
              <w:spacing w:line="276" w:lineRule="auto"/>
              <w:contextualSpacing/>
              <w:jc w:val="center"/>
              <w:rPr>
                <w:rFonts w:ascii="Times New Roman" w:eastAsia="Times New Roman" w:hAnsi="Times New Roman"/>
                <w:sz w:val="10"/>
                <w:szCs w:val="10"/>
                <w:lang w:eastAsia="es-ES"/>
              </w:rPr>
            </w:pPr>
          </w:p>
        </w:tc>
        <w:tc>
          <w:tcPr>
            <w:tcW w:w="966" w:type="dxa"/>
            <w:vAlign w:val="center"/>
          </w:tcPr>
          <w:p w14:paraId="2737F706" w14:textId="77777777"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a octubre 2022</w:t>
            </w:r>
          </w:p>
          <w:p w14:paraId="290C5BDA" w14:textId="1A0F1FA3"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Calibri" w:eastAsia="Times New Roman" w:hAnsi="Calibri"/>
                <w:noProof/>
                <w:sz w:val="10"/>
                <w:szCs w:val="10"/>
                <w:lang w:eastAsia="es-GT"/>
              </w:rPr>
              <w:drawing>
                <wp:inline distT="0" distB="0" distL="0" distR="0" wp14:anchorId="1F706A87" wp14:editId="3839BCDC">
                  <wp:extent cx="55880" cy="55880"/>
                  <wp:effectExtent l="0" t="0" r="1270" b="1270"/>
                  <wp:docPr id="282" name="Imagen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880" cy="55880"/>
                          </a:xfrm>
                          <a:prstGeom prst="rect">
                            <a:avLst/>
                          </a:prstGeom>
                          <a:noFill/>
                          <a:ln>
                            <a:noFill/>
                          </a:ln>
                        </pic:spPr>
                      </pic:pic>
                    </a:graphicData>
                  </a:graphic>
                </wp:inline>
              </w:drawing>
            </w:r>
            <w:r w:rsidRPr="00E5175E">
              <w:rPr>
                <w:rFonts w:ascii="Times New Roman" w:eastAsia="Times New Roman" w:hAnsi="Times New Roman"/>
                <w:sz w:val="10"/>
                <w:szCs w:val="10"/>
                <w:lang w:eastAsia="es-ES"/>
              </w:rPr>
              <w:t xml:space="preserve">  29.38%</w:t>
            </w:r>
          </w:p>
          <w:p w14:paraId="5A2C7649" w14:textId="77777777" w:rsidR="00E5175E" w:rsidRPr="00E5175E" w:rsidRDefault="00E5175E" w:rsidP="008D7BB4">
            <w:pPr>
              <w:spacing w:line="276" w:lineRule="auto"/>
              <w:contextualSpacing/>
              <w:jc w:val="center"/>
              <w:rPr>
                <w:rFonts w:ascii="Times New Roman" w:eastAsia="Times New Roman" w:hAnsi="Times New Roman"/>
                <w:sz w:val="10"/>
                <w:szCs w:val="10"/>
                <w:lang w:eastAsia="es-ES"/>
              </w:rPr>
            </w:pPr>
          </w:p>
        </w:tc>
        <w:tc>
          <w:tcPr>
            <w:tcW w:w="967" w:type="dxa"/>
            <w:vAlign w:val="center"/>
          </w:tcPr>
          <w:p w14:paraId="76C2C248" w14:textId="77777777"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a septiembre 2022</w:t>
            </w:r>
          </w:p>
          <w:p w14:paraId="28A43659" w14:textId="7C807A36"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Calibri" w:eastAsia="Times New Roman" w:hAnsi="Calibri"/>
                <w:noProof/>
                <w:sz w:val="10"/>
                <w:szCs w:val="10"/>
                <w:lang w:eastAsia="es-GT"/>
              </w:rPr>
              <w:drawing>
                <wp:inline distT="0" distB="0" distL="0" distR="0" wp14:anchorId="36B379E3" wp14:editId="0A79C4D3">
                  <wp:extent cx="55880" cy="55880"/>
                  <wp:effectExtent l="0" t="0" r="1270" b="1270"/>
                  <wp:docPr id="281" name="Imagen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880" cy="55880"/>
                          </a:xfrm>
                          <a:prstGeom prst="rect">
                            <a:avLst/>
                          </a:prstGeom>
                          <a:noFill/>
                          <a:ln>
                            <a:noFill/>
                          </a:ln>
                        </pic:spPr>
                      </pic:pic>
                    </a:graphicData>
                  </a:graphic>
                </wp:inline>
              </w:drawing>
            </w:r>
            <w:r w:rsidRPr="00E5175E">
              <w:rPr>
                <w:rFonts w:ascii="Times New Roman" w:eastAsia="Times New Roman" w:hAnsi="Times New Roman"/>
                <w:sz w:val="10"/>
                <w:szCs w:val="10"/>
                <w:lang w:eastAsia="es-ES"/>
              </w:rPr>
              <w:t xml:space="preserve">  47.03%</w:t>
            </w:r>
          </w:p>
          <w:p w14:paraId="3EC5C747" w14:textId="77777777" w:rsidR="00E5175E" w:rsidRPr="00E5175E" w:rsidRDefault="00E5175E" w:rsidP="008D7BB4">
            <w:pPr>
              <w:spacing w:line="276" w:lineRule="auto"/>
              <w:contextualSpacing/>
              <w:jc w:val="center"/>
              <w:rPr>
                <w:rFonts w:ascii="Times New Roman" w:eastAsia="Times New Roman" w:hAnsi="Times New Roman"/>
                <w:sz w:val="10"/>
                <w:szCs w:val="10"/>
                <w:lang w:eastAsia="es-ES"/>
              </w:rPr>
            </w:pPr>
          </w:p>
        </w:tc>
        <w:tc>
          <w:tcPr>
            <w:tcW w:w="966" w:type="dxa"/>
            <w:vAlign w:val="center"/>
          </w:tcPr>
          <w:p w14:paraId="447ACB8E" w14:textId="77777777"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a agosto 2022</w:t>
            </w:r>
          </w:p>
          <w:p w14:paraId="35DFDB7B" w14:textId="1BA3E7B6"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Calibri" w:eastAsia="Times New Roman" w:hAnsi="Calibri"/>
                <w:noProof/>
                <w:sz w:val="10"/>
                <w:szCs w:val="10"/>
                <w:lang w:eastAsia="es-GT"/>
              </w:rPr>
              <w:drawing>
                <wp:inline distT="0" distB="0" distL="0" distR="0" wp14:anchorId="1E57BFD3" wp14:editId="0515427A">
                  <wp:extent cx="55880" cy="55880"/>
                  <wp:effectExtent l="0" t="0" r="1270" b="1270"/>
                  <wp:docPr id="280" name="Imagen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880" cy="55880"/>
                          </a:xfrm>
                          <a:prstGeom prst="rect">
                            <a:avLst/>
                          </a:prstGeom>
                          <a:noFill/>
                          <a:ln>
                            <a:noFill/>
                          </a:ln>
                        </pic:spPr>
                      </pic:pic>
                    </a:graphicData>
                  </a:graphic>
                </wp:inline>
              </w:drawing>
            </w:r>
            <w:r w:rsidRPr="00E5175E">
              <w:rPr>
                <w:rFonts w:ascii="Times New Roman" w:eastAsia="Times New Roman" w:hAnsi="Times New Roman"/>
                <w:sz w:val="10"/>
                <w:szCs w:val="10"/>
                <w:lang w:eastAsia="es-ES"/>
              </w:rPr>
              <w:t xml:space="preserve">  61.05%</w:t>
            </w:r>
          </w:p>
          <w:p w14:paraId="67F3CFCE" w14:textId="77777777" w:rsidR="00E5175E" w:rsidRPr="00E5175E" w:rsidRDefault="00E5175E" w:rsidP="008D7BB4">
            <w:pPr>
              <w:spacing w:line="276" w:lineRule="auto"/>
              <w:contextualSpacing/>
              <w:jc w:val="center"/>
              <w:rPr>
                <w:rFonts w:ascii="Times New Roman" w:eastAsia="Times New Roman" w:hAnsi="Times New Roman"/>
                <w:sz w:val="10"/>
                <w:szCs w:val="10"/>
                <w:lang w:eastAsia="es-ES"/>
              </w:rPr>
            </w:pPr>
          </w:p>
        </w:tc>
        <w:tc>
          <w:tcPr>
            <w:tcW w:w="966" w:type="dxa"/>
            <w:vAlign w:val="center"/>
          </w:tcPr>
          <w:p w14:paraId="0F77EEAD" w14:textId="77777777"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a septiembre 2022</w:t>
            </w:r>
          </w:p>
          <w:p w14:paraId="070C185A" w14:textId="197D3C76"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Calibri" w:eastAsia="Times New Roman" w:hAnsi="Calibri"/>
                <w:noProof/>
                <w:sz w:val="10"/>
                <w:szCs w:val="10"/>
                <w:lang w:eastAsia="es-GT"/>
              </w:rPr>
              <w:drawing>
                <wp:inline distT="0" distB="0" distL="0" distR="0" wp14:anchorId="2766CAA2" wp14:editId="1B7959F8">
                  <wp:extent cx="55880" cy="55880"/>
                  <wp:effectExtent l="0" t="0" r="1270" b="1270"/>
                  <wp:docPr id="279" name="Imagen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880" cy="55880"/>
                          </a:xfrm>
                          <a:prstGeom prst="rect">
                            <a:avLst/>
                          </a:prstGeom>
                          <a:noFill/>
                          <a:ln>
                            <a:noFill/>
                          </a:ln>
                        </pic:spPr>
                      </pic:pic>
                    </a:graphicData>
                  </a:graphic>
                </wp:inline>
              </w:drawing>
            </w:r>
            <w:r w:rsidRPr="00E5175E">
              <w:rPr>
                <w:rFonts w:ascii="Times New Roman" w:eastAsia="Times New Roman" w:hAnsi="Times New Roman"/>
                <w:sz w:val="10"/>
                <w:szCs w:val="10"/>
                <w:lang w:eastAsia="es-ES"/>
              </w:rPr>
              <w:t xml:space="preserve">  60.05%</w:t>
            </w:r>
          </w:p>
          <w:p w14:paraId="760EDC54" w14:textId="77777777" w:rsidR="00E5175E" w:rsidRPr="00E5175E" w:rsidRDefault="00E5175E" w:rsidP="008D7BB4">
            <w:pPr>
              <w:spacing w:line="276" w:lineRule="auto"/>
              <w:contextualSpacing/>
              <w:jc w:val="center"/>
              <w:rPr>
                <w:rFonts w:ascii="Times New Roman" w:eastAsia="Times New Roman" w:hAnsi="Times New Roman"/>
                <w:sz w:val="10"/>
                <w:szCs w:val="10"/>
                <w:lang w:eastAsia="es-ES"/>
              </w:rPr>
            </w:pPr>
          </w:p>
        </w:tc>
        <w:tc>
          <w:tcPr>
            <w:tcW w:w="967" w:type="dxa"/>
            <w:vAlign w:val="center"/>
          </w:tcPr>
          <w:p w14:paraId="33278617" w14:textId="77777777"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Times New Roman" w:eastAsia="Times New Roman" w:hAnsi="Times New Roman"/>
                <w:sz w:val="10"/>
                <w:szCs w:val="10"/>
                <w:lang w:eastAsia="es-ES"/>
              </w:rPr>
              <w:t>a septiembre 2022</w:t>
            </w:r>
          </w:p>
          <w:p w14:paraId="0E4FF8B3" w14:textId="0B9439CA" w:rsidR="00E5175E" w:rsidRPr="00E5175E" w:rsidRDefault="00E5175E" w:rsidP="008D7BB4">
            <w:pPr>
              <w:spacing w:line="276" w:lineRule="auto"/>
              <w:contextualSpacing/>
              <w:rPr>
                <w:rFonts w:ascii="Times New Roman" w:eastAsia="Times New Roman" w:hAnsi="Times New Roman"/>
                <w:sz w:val="10"/>
                <w:szCs w:val="10"/>
                <w:lang w:eastAsia="es-ES"/>
              </w:rPr>
            </w:pPr>
            <w:r w:rsidRPr="00E5175E">
              <w:rPr>
                <w:rFonts w:ascii="Calibri" w:eastAsia="Times New Roman" w:hAnsi="Calibri"/>
                <w:noProof/>
                <w:sz w:val="10"/>
                <w:szCs w:val="10"/>
                <w:lang w:eastAsia="es-GT"/>
              </w:rPr>
              <w:drawing>
                <wp:inline distT="0" distB="0" distL="0" distR="0" wp14:anchorId="2D787F8C" wp14:editId="727B9F1E">
                  <wp:extent cx="55880" cy="55880"/>
                  <wp:effectExtent l="0" t="0" r="1270" b="1270"/>
                  <wp:docPr id="278" name="Imagen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880" cy="55880"/>
                          </a:xfrm>
                          <a:prstGeom prst="rect">
                            <a:avLst/>
                          </a:prstGeom>
                          <a:noFill/>
                          <a:ln>
                            <a:noFill/>
                          </a:ln>
                        </pic:spPr>
                      </pic:pic>
                    </a:graphicData>
                  </a:graphic>
                </wp:inline>
              </w:drawing>
            </w:r>
            <w:r w:rsidRPr="00E5175E">
              <w:rPr>
                <w:rFonts w:ascii="Times New Roman" w:eastAsia="Times New Roman" w:hAnsi="Times New Roman"/>
                <w:sz w:val="10"/>
                <w:szCs w:val="10"/>
                <w:lang w:eastAsia="es-ES"/>
              </w:rPr>
              <w:t xml:space="preserve">  61.22%</w:t>
            </w:r>
          </w:p>
          <w:p w14:paraId="2D04A46D" w14:textId="77777777" w:rsidR="00E5175E" w:rsidRPr="00E5175E" w:rsidRDefault="00E5175E" w:rsidP="008D7BB4">
            <w:pPr>
              <w:spacing w:line="276" w:lineRule="auto"/>
              <w:contextualSpacing/>
              <w:jc w:val="center"/>
              <w:rPr>
                <w:rFonts w:ascii="Times New Roman" w:eastAsia="Times New Roman" w:hAnsi="Times New Roman"/>
                <w:sz w:val="10"/>
                <w:szCs w:val="10"/>
                <w:lang w:eastAsia="es-ES"/>
              </w:rPr>
            </w:pPr>
          </w:p>
        </w:tc>
      </w:tr>
    </w:tbl>
    <w:p w14:paraId="6673EA85" w14:textId="788BC8CC" w:rsidR="00E5175E" w:rsidRPr="008C3120" w:rsidRDefault="00E5175E" w:rsidP="008D7BB4">
      <w:pPr>
        <w:spacing w:line="276" w:lineRule="auto"/>
        <w:contextualSpacing/>
        <w:rPr>
          <w:rFonts w:ascii="Times New Roman" w:eastAsia="Times New Roman" w:hAnsi="Times New Roman" w:cs="Times New Roman"/>
          <w:sz w:val="18"/>
          <w:szCs w:val="18"/>
          <w:lang w:val="es-ES_tradnl" w:eastAsia="es-ES"/>
        </w:rPr>
      </w:pPr>
      <w:r w:rsidRPr="008C3120">
        <w:rPr>
          <w:rFonts w:ascii="Times New Roman" w:eastAsia="Times New Roman" w:hAnsi="Times New Roman" w:cs="Times New Roman"/>
          <w:sz w:val="18"/>
          <w:szCs w:val="18"/>
          <w:lang w:val="es-ES_tradnl" w:eastAsia="es-ES"/>
        </w:rPr>
        <w:t>Fuente: Dirección de Análisis y Política Fiscal con base a información de Banco Central de cada país, Consejo Monetario Centroamericano.</w:t>
      </w:r>
    </w:p>
    <w:p w14:paraId="25A32F26" w14:textId="1A8F9432" w:rsidR="00A02621" w:rsidRDefault="00A02621" w:rsidP="008D7BB4">
      <w:pPr>
        <w:spacing w:line="276" w:lineRule="auto"/>
        <w:contextualSpacing/>
        <w:rPr>
          <w:rFonts w:ascii="Times New Roman" w:eastAsia="Times New Roman" w:hAnsi="Times New Roman" w:cs="Times New Roman"/>
          <w:sz w:val="16"/>
          <w:lang w:val="es-ES_tradnl" w:eastAsia="es-ES"/>
        </w:rPr>
      </w:pPr>
    </w:p>
    <w:p w14:paraId="3AD9C28F" w14:textId="77777777" w:rsidR="006C7DA1" w:rsidRPr="002F6DED" w:rsidRDefault="006C7DA1" w:rsidP="006C7DA1">
      <w:pPr>
        <w:numPr>
          <w:ilvl w:val="0"/>
          <w:numId w:val="48"/>
        </w:numPr>
        <w:spacing w:line="276" w:lineRule="auto"/>
        <w:contextualSpacing/>
        <w:jc w:val="both"/>
        <w:rPr>
          <w:rFonts w:ascii="Calibri" w:eastAsia="Times New Roman" w:hAnsi="Calibri" w:cs="Times New Roman"/>
          <w:sz w:val="22"/>
          <w:szCs w:val="22"/>
        </w:rPr>
      </w:pPr>
      <w:r w:rsidRPr="00E5175E">
        <w:rPr>
          <w:rFonts w:ascii="Times New Roman" w:eastAsia="Times New Roman" w:hAnsi="Times New Roman" w:cs="Times New Roman"/>
          <w:sz w:val="22"/>
          <w:szCs w:val="22"/>
        </w:rPr>
        <w:t>Para México, el Banco Mundial estima un crecimiento del 2.6% para el 2022, lo que representa una reducción en 2.1 puntos porcentuales con respecto al año anterior, debido en gran medida por las condiciones monetarias restrictivas, la inflación persistentemente alta y la reducción en las exportaciones. La CEPAL en sus perspectivas de octubre 2022, esperaba que el grupo de países conformados por México y Centroamérica tuviera un crecimiento para 2022 de 1.7% y por su parte para los países del Caribe esperaba un crecimiento de 3.1%, sin incluir Guyana.</w:t>
      </w:r>
    </w:p>
    <w:p w14:paraId="11350A53" w14:textId="77777777" w:rsidR="006C7DA1" w:rsidRPr="006C7DA1" w:rsidRDefault="006C7DA1" w:rsidP="008D7BB4">
      <w:pPr>
        <w:spacing w:line="276" w:lineRule="auto"/>
        <w:contextualSpacing/>
        <w:rPr>
          <w:rFonts w:ascii="Times New Roman" w:eastAsia="Times New Roman" w:hAnsi="Times New Roman" w:cs="Times New Roman"/>
          <w:sz w:val="16"/>
          <w:lang w:eastAsia="es-ES"/>
        </w:rPr>
      </w:pPr>
    </w:p>
    <w:p w14:paraId="1579C195" w14:textId="44A63DC9" w:rsidR="00A02621" w:rsidRPr="00B72147" w:rsidRDefault="00A02621" w:rsidP="008D7BB4">
      <w:pPr>
        <w:pStyle w:val="Prrafodelista"/>
        <w:keepNext/>
        <w:keepLines/>
        <w:numPr>
          <w:ilvl w:val="2"/>
          <w:numId w:val="20"/>
        </w:numPr>
        <w:tabs>
          <w:tab w:val="left" w:pos="1134"/>
        </w:tabs>
        <w:spacing w:line="276" w:lineRule="auto"/>
        <w:jc w:val="both"/>
        <w:outlineLvl w:val="1"/>
        <w:rPr>
          <w:rFonts w:ascii="Times New Roman" w:eastAsiaTheme="majorEastAsia" w:hAnsi="Times New Roman" w:cs="Times New Roman"/>
          <w:b/>
          <w:bCs/>
        </w:rPr>
      </w:pPr>
      <w:bookmarkStart w:id="132" w:name="_Toc125723303"/>
      <w:r w:rsidRPr="00B72147">
        <w:rPr>
          <w:rFonts w:ascii="Times New Roman" w:eastAsiaTheme="majorEastAsia" w:hAnsi="Times New Roman" w:cs="Times New Roman"/>
          <w:b/>
          <w:bCs/>
        </w:rPr>
        <w:lastRenderedPageBreak/>
        <w:t>Entorno Interno</w:t>
      </w:r>
      <w:bookmarkEnd w:id="132"/>
      <w:r w:rsidRPr="00B72147">
        <w:rPr>
          <w:rFonts w:ascii="Times New Roman" w:eastAsiaTheme="majorEastAsia" w:hAnsi="Times New Roman" w:cs="Times New Roman"/>
          <w:b/>
          <w:bCs/>
        </w:rPr>
        <w:t xml:space="preserve"> </w:t>
      </w:r>
      <w:bookmarkStart w:id="133" w:name="_Toc94250376"/>
      <w:bookmarkStart w:id="134" w:name="_Toc94250438"/>
      <w:bookmarkStart w:id="135" w:name="_Toc94251078"/>
      <w:bookmarkStart w:id="136" w:name="_Toc94257739"/>
      <w:bookmarkStart w:id="137" w:name="_Toc94259655"/>
      <w:bookmarkStart w:id="138" w:name="_Toc125451220"/>
      <w:bookmarkStart w:id="139" w:name="_Toc125451333"/>
      <w:bookmarkStart w:id="140" w:name="_Toc94257740"/>
      <w:bookmarkStart w:id="141" w:name="_Toc94259656"/>
      <w:bookmarkStart w:id="142" w:name="_Toc125451221"/>
      <w:bookmarkStart w:id="143" w:name="_Toc125451334"/>
      <w:bookmarkStart w:id="144" w:name="_Toc94257743"/>
      <w:bookmarkStart w:id="145" w:name="_Toc94259659"/>
      <w:bookmarkStart w:id="146" w:name="_Toc125451224"/>
      <w:bookmarkStart w:id="147" w:name="_Toc125451337"/>
      <w:bookmarkStart w:id="148" w:name="_Toc93398036"/>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bookmarkEnd w:id="148"/>
    <w:p w14:paraId="7B042C8B" w14:textId="77777777" w:rsidR="00A02621" w:rsidRPr="00F63769" w:rsidRDefault="00A02621" w:rsidP="008D7BB4">
      <w:pPr>
        <w:keepNext/>
        <w:keepLines/>
        <w:spacing w:line="276" w:lineRule="auto"/>
        <w:ind w:left="360"/>
        <w:contextualSpacing/>
        <w:outlineLvl w:val="1"/>
        <w:rPr>
          <w:rFonts w:ascii="Times New Roman" w:eastAsia="Times New Roman" w:hAnsi="Times New Roman" w:cs="Times New Roman"/>
          <w:sz w:val="16"/>
          <w:szCs w:val="22"/>
        </w:rPr>
      </w:pPr>
    </w:p>
    <w:p w14:paraId="6A2DD245" w14:textId="77777777" w:rsidR="00A02621" w:rsidRPr="00F63769" w:rsidRDefault="00A02621" w:rsidP="008D7BB4">
      <w:pPr>
        <w:numPr>
          <w:ilvl w:val="0"/>
          <w:numId w:val="47"/>
        </w:numPr>
        <w:spacing w:line="276" w:lineRule="auto"/>
        <w:contextualSpacing/>
        <w:jc w:val="both"/>
        <w:rPr>
          <w:rFonts w:ascii="Times New Roman" w:eastAsia="Times New Roman" w:hAnsi="Times New Roman" w:cs="Times New Roman"/>
          <w:noProof/>
          <w:sz w:val="22"/>
          <w:szCs w:val="22"/>
          <w:lang w:eastAsia="es-GT"/>
        </w:rPr>
      </w:pPr>
      <w:r w:rsidRPr="00F63769">
        <w:rPr>
          <w:rFonts w:ascii="Times New Roman" w:eastAsia="Times New Roman" w:hAnsi="Times New Roman" w:cs="Times New Roman"/>
          <w:noProof/>
          <w:sz w:val="22"/>
          <w:szCs w:val="22"/>
          <w:lang w:eastAsia="es-GT"/>
        </w:rPr>
        <w:t xml:space="preserve">Con base al Banco de Guatemala la actividad económica registrada se estima en 4.3% en el primer semestre de 2022, debido, principalmente, al aumento en el consumo privado y al aumento en el volumen de las exportaciones. Por el lado de la oferta, el crecimiento de la producción refleja la expansión de todas las actividades productivas, excepto la de explotación de minas y canteras. Durante el segundo semestre del año, la economía se mantuvo estable, a pesar de los choques externos y el aumentó de las tasas de interés de los principales socios comerciales, en particular </w:t>
      </w:r>
      <w:r>
        <w:rPr>
          <w:rFonts w:ascii="Times New Roman" w:eastAsia="Times New Roman" w:hAnsi="Times New Roman" w:cs="Times New Roman"/>
          <w:noProof/>
          <w:sz w:val="22"/>
          <w:szCs w:val="22"/>
          <w:lang w:eastAsia="es-GT"/>
        </w:rPr>
        <w:t xml:space="preserve">de los </w:t>
      </w:r>
      <w:r w:rsidRPr="00F63769">
        <w:rPr>
          <w:rFonts w:ascii="Times New Roman" w:eastAsia="Times New Roman" w:hAnsi="Times New Roman" w:cs="Times New Roman"/>
          <w:noProof/>
          <w:sz w:val="22"/>
          <w:szCs w:val="22"/>
          <w:lang w:eastAsia="es-GT"/>
        </w:rPr>
        <w:t>Estados Unidos</w:t>
      </w:r>
      <w:r>
        <w:rPr>
          <w:rFonts w:ascii="Times New Roman" w:eastAsia="Times New Roman" w:hAnsi="Times New Roman" w:cs="Times New Roman"/>
          <w:noProof/>
          <w:sz w:val="22"/>
          <w:szCs w:val="22"/>
          <w:lang w:eastAsia="es-GT"/>
        </w:rPr>
        <w:t xml:space="preserve"> de América</w:t>
      </w:r>
      <w:r w:rsidRPr="00F63769">
        <w:rPr>
          <w:rFonts w:ascii="Times New Roman" w:eastAsia="Times New Roman" w:hAnsi="Times New Roman" w:cs="Times New Roman"/>
          <w:noProof/>
          <w:sz w:val="22"/>
          <w:szCs w:val="22"/>
          <w:lang w:eastAsia="es-GT"/>
        </w:rPr>
        <w:t>. Como consecuencia el Banco de Guatemala estimó que el Producto Interno Bruto (PIB) estaría creciendo 4.0% en 2022.</w:t>
      </w:r>
    </w:p>
    <w:p w14:paraId="7AE891FB" w14:textId="77777777" w:rsidR="00A02621" w:rsidRPr="00F63769" w:rsidRDefault="00A02621" w:rsidP="008D7BB4">
      <w:pPr>
        <w:spacing w:line="276" w:lineRule="auto"/>
        <w:ind w:left="720"/>
        <w:contextualSpacing/>
        <w:jc w:val="both"/>
        <w:rPr>
          <w:rFonts w:ascii="Times New Roman" w:eastAsia="Times New Roman" w:hAnsi="Times New Roman" w:cs="Times New Roman"/>
          <w:noProof/>
          <w:sz w:val="22"/>
          <w:szCs w:val="22"/>
          <w:lang w:eastAsia="es-GT"/>
        </w:rPr>
      </w:pPr>
    </w:p>
    <w:p w14:paraId="68A3EF89" w14:textId="7CD818F7" w:rsidR="00A02621" w:rsidRDefault="00A02621" w:rsidP="006C7DA1">
      <w:pPr>
        <w:numPr>
          <w:ilvl w:val="0"/>
          <w:numId w:val="47"/>
        </w:numPr>
        <w:spacing w:line="276" w:lineRule="auto"/>
        <w:contextualSpacing/>
        <w:jc w:val="both"/>
        <w:rPr>
          <w:rFonts w:ascii="Times New Roman" w:eastAsia="Times New Roman" w:hAnsi="Times New Roman" w:cs="Times New Roman"/>
          <w:noProof/>
          <w:sz w:val="22"/>
          <w:szCs w:val="22"/>
          <w:lang w:eastAsia="es-GT"/>
        </w:rPr>
      </w:pPr>
      <w:r w:rsidRPr="00F63769">
        <w:rPr>
          <w:rFonts w:ascii="Times New Roman" w:eastAsia="Times New Roman" w:hAnsi="Times New Roman" w:cs="Times New Roman"/>
          <w:noProof/>
          <w:sz w:val="22"/>
          <w:szCs w:val="22"/>
          <w:lang w:eastAsia="es-GT"/>
        </w:rPr>
        <w:t>El Índice Mensual de la Actividad Económica -IMAE- reportado por el Banco de Guatemala registró una tasa de crecimiento interanual de 3.8% para noviembre de 2022, menor al mostrado en el año anterior con un valor de 5.6%. En lo que respecta al índice de Confianza de la Actividad Económica -ICAE-, que mide la percepción de un panel de analistas privados sobre la situación económica actual, mostró una clara tendencia a la baja a partir de enero de  2022 y a partir de junio se a encontrado debajo de los 50 puntos porcentuales, y reportó un nivel 50.3 para diciembre de 2022, mostrando el deterioro de las expectativas de los agentes económicos.</w:t>
      </w:r>
    </w:p>
    <w:p w14:paraId="0942ACF3" w14:textId="77777777" w:rsidR="006C7DA1" w:rsidRPr="006C7DA1" w:rsidRDefault="006C7DA1" w:rsidP="006C7DA1">
      <w:pPr>
        <w:spacing w:line="276" w:lineRule="auto"/>
        <w:contextualSpacing/>
        <w:jc w:val="both"/>
        <w:rPr>
          <w:rFonts w:ascii="Times New Roman" w:eastAsia="Times New Roman" w:hAnsi="Times New Roman" w:cs="Times New Roman"/>
          <w:noProof/>
          <w:sz w:val="22"/>
          <w:szCs w:val="22"/>
          <w:lang w:eastAsia="es-GT"/>
        </w:rPr>
      </w:pPr>
    </w:p>
    <w:tbl>
      <w:tblPr>
        <w:tblStyle w:val="Tablaconcuadrcu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A02621" w:rsidRPr="00F63769" w14:paraId="2C0AE504" w14:textId="77777777" w:rsidTr="00C03B90">
        <w:tc>
          <w:tcPr>
            <w:tcW w:w="4420" w:type="dxa"/>
            <w:vAlign w:val="center"/>
          </w:tcPr>
          <w:p w14:paraId="74293D60" w14:textId="31C594FB" w:rsidR="00A02621" w:rsidRPr="00F63769" w:rsidRDefault="00A02621" w:rsidP="008D7BB4">
            <w:pPr>
              <w:spacing w:line="276" w:lineRule="auto"/>
              <w:contextualSpacing/>
              <w:jc w:val="center"/>
              <w:rPr>
                <w:rFonts w:ascii="Times New Roman" w:eastAsia="Times New Roman" w:hAnsi="Times New Roman"/>
                <w:b/>
                <w:bCs/>
              </w:rPr>
            </w:pPr>
            <w:bookmarkStart w:id="149" w:name="_Toc125733231"/>
            <w:r w:rsidRPr="009F246B">
              <w:rPr>
                <w:rFonts w:ascii="Times New Roman" w:eastAsia="Times New Roman" w:hAnsi="Times New Roman"/>
                <w:b/>
              </w:rPr>
              <w:t xml:space="preserve">Gráfico </w:t>
            </w:r>
            <w:r w:rsidRPr="009F246B">
              <w:rPr>
                <w:rFonts w:ascii="Times New Roman" w:eastAsia="Times New Roman" w:hAnsi="Times New Roman"/>
                <w:b/>
              </w:rPr>
              <w:fldChar w:fldCharType="begin"/>
            </w:r>
            <w:r w:rsidRPr="009F246B">
              <w:rPr>
                <w:rFonts w:ascii="Times New Roman" w:eastAsia="Times New Roman" w:hAnsi="Times New Roman"/>
                <w:b/>
              </w:rPr>
              <w:instrText xml:space="preserve"> SEQ Gráfico \* ARABIC </w:instrText>
            </w:r>
            <w:r w:rsidRPr="009F246B">
              <w:rPr>
                <w:rFonts w:ascii="Times New Roman" w:eastAsia="Times New Roman" w:hAnsi="Times New Roman"/>
                <w:b/>
              </w:rPr>
              <w:fldChar w:fldCharType="separate"/>
            </w:r>
            <w:r w:rsidR="006F4BE5">
              <w:rPr>
                <w:rFonts w:ascii="Times New Roman" w:eastAsia="Times New Roman" w:hAnsi="Times New Roman"/>
                <w:b/>
                <w:noProof/>
              </w:rPr>
              <w:t>35</w:t>
            </w:r>
            <w:r w:rsidRPr="009F246B">
              <w:rPr>
                <w:rFonts w:ascii="Times New Roman" w:eastAsia="Times New Roman" w:hAnsi="Times New Roman"/>
                <w:b/>
              </w:rPr>
              <w:fldChar w:fldCharType="end"/>
            </w:r>
            <w:r w:rsidRPr="009F246B">
              <w:rPr>
                <w:rFonts w:ascii="Times New Roman" w:eastAsia="Times New Roman" w:hAnsi="Times New Roman"/>
                <w:b/>
              </w:rPr>
              <w:t>.</w:t>
            </w:r>
            <w:r w:rsidRPr="009F246B">
              <w:rPr>
                <w:rFonts w:ascii="Times New Roman" w:eastAsiaTheme="majorEastAsia" w:hAnsi="Times New Roman" w:cs="Calibri"/>
                <w:b/>
                <w:bCs/>
              </w:rPr>
              <w:t xml:space="preserve"> </w:t>
            </w:r>
            <w:r w:rsidRPr="00F63769">
              <w:rPr>
                <w:rFonts w:ascii="Times New Roman" w:eastAsia="Times New Roman" w:hAnsi="Times New Roman"/>
                <w:b/>
                <w:bCs/>
              </w:rPr>
              <w:t>IMAE y demanda de energía</w:t>
            </w:r>
            <w:bookmarkEnd w:id="149"/>
          </w:p>
        </w:tc>
        <w:tc>
          <w:tcPr>
            <w:tcW w:w="4420" w:type="dxa"/>
            <w:vAlign w:val="center"/>
          </w:tcPr>
          <w:p w14:paraId="6D247E37" w14:textId="3615A496" w:rsidR="00A02621" w:rsidRPr="00F63769" w:rsidRDefault="00A02621" w:rsidP="008D7BB4">
            <w:pPr>
              <w:keepNext/>
              <w:spacing w:line="276" w:lineRule="auto"/>
              <w:contextualSpacing/>
              <w:jc w:val="center"/>
              <w:rPr>
                <w:rFonts w:ascii="Times New Roman" w:eastAsia="Times New Roman" w:hAnsi="Times New Roman"/>
                <w:b/>
                <w:bCs/>
                <w:color w:val="000000"/>
              </w:rPr>
            </w:pPr>
            <w:bookmarkStart w:id="150" w:name="_Toc125733232"/>
            <w:r w:rsidRPr="009F246B">
              <w:rPr>
                <w:rFonts w:ascii="Times New Roman" w:eastAsia="Times New Roman" w:hAnsi="Times New Roman"/>
                <w:b/>
              </w:rPr>
              <w:t xml:space="preserve">Gráfico </w:t>
            </w:r>
            <w:r w:rsidRPr="009F246B">
              <w:rPr>
                <w:rFonts w:ascii="Times New Roman" w:eastAsia="Times New Roman" w:hAnsi="Times New Roman"/>
                <w:b/>
              </w:rPr>
              <w:fldChar w:fldCharType="begin"/>
            </w:r>
            <w:r w:rsidRPr="009F246B">
              <w:rPr>
                <w:rFonts w:ascii="Times New Roman" w:eastAsia="Times New Roman" w:hAnsi="Times New Roman"/>
                <w:b/>
              </w:rPr>
              <w:instrText xml:space="preserve"> SEQ Gráfico \* ARABIC </w:instrText>
            </w:r>
            <w:r w:rsidRPr="009F246B">
              <w:rPr>
                <w:rFonts w:ascii="Times New Roman" w:eastAsia="Times New Roman" w:hAnsi="Times New Roman"/>
                <w:b/>
              </w:rPr>
              <w:fldChar w:fldCharType="separate"/>
            </w:r>
            <w:r w:rsidR="006F4BE5">
              <w:rPr>
                <w:rFonts w:ascii="Times New Roman" w:eastAsia="Times New Roman" w:hAnsi="Times New Roman"/>
                <w:b/>
                <w:noProof/>
              </w:rPr>
              <w:t>36</w:t>
            </w:r>
            <w:r w:rsidRPr="009F246B">
              <w:rPr>
                <w:rFonts w:ascii="Times New Roman" w:eastAsia="Times New Roman" w:hAnsi="Times New Roman"/>
                <w:b/>
              </w:rPr>
              <w:fldChar w:fldCharType="end"/>
            </w:r>
            <w:r w:rsidRPr="009F246B">
              <w:rPr>
                <w:rFonts w:ascii="Times New Roman" w:eastAsia="Times New Roman" w:hAnsi="Times New Roman"/>
                <w:b/>
              </w:rPr>
              <w:t>.</w:t>
            </w:r>
            <w:r>
              <w:rPr>
                <w:rFonts w:ascii="Times New Roman" w:eastAsia="Times New Roman" w:hAnsi="Times New Roman"/>
                <w:b/>
              </w:rPr>
              <w:t xml:space="preserve"> </w:t>
            </w:r>
            <w:r w:rsidRPr="00F63769">
              <w:rPr>
                <w:rFonts w:ascii="Times New Roman" w:eastAsia="Times New Roman" w:hAnsi="Times New Roman"/>
                <w:b/>
                <w:bCs/>
                <w:color w:val="000000"/>
              </w:rPr>
              <w:t>Ritmo inflacionario</w:t>
            </w:r>
            <w:bookmarkEnd w:id="150"/>
          </w:p>
        </w:tc>
      </w:tr>
      <w:tr w:rsidR="00A02621" w:rsidRPr="00F63769" w14:paraId="06AA1E10" w14:textId="77777777" w:rsidTr="00C03B90">
        <w:tc>
          <w:tcPr>
            <w:tcW w:w="4420" w:type="dxa"/>
          </w:tcPr>
          <w:p w14:paraId="3900869F" w14:textId="77777777" w:rsidR="00A02621" w:rsidRPr="00F63769" w:rsidRDefault="00A02621" w:rsidP="008D7BB4">
            <w:pPr>
              <w:spacing w:line="276" w:lineRule="auto"/>
              <w:ind w:right="49"/>
              <w:contextualSpacing/>
              <w:jc w:val="both"/>
              <w:rPr>
                <w:rFonts w:ascii="Calibri" w:eastAsia="Times New Roman" w:hAnsi="Calibri"/>
                <w:lang w:val="es-MX" w:eastAsia="es-ES"/>
              </w:rPr>
            </w:pPr>
            <w:r w:rsidRPr="00F63769">
              <w:rPr>
                <w:rFonts w:ascii="Calibri" w:eastAsia="Times New Roman" w:hAnsi="Calibri"/>
                <w:noProof/>
                <w:lang w:val="es-ES_tradnl" w:eastAsia="es-ES"/>
              </w:rPr>
              <w:drawing>
                <wp:inline distT="0" distB="0" distL="0" distR="0" wp14:anchorId="3CE7AF1C" wp14:editId="1F35A0A9">
                  <wp:extent cx="2703830" cy="2162175"/>
                  <wp:effectExtent l="0" t="0" r="1270" b="0"/>
                  <wp:docPr id="49" name="Gráfico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c>
          <w:tcPr>
            <w:tcW w:w="4420" w:type="dxa"/>
          </w:tcPr>
          <w:p w14:paraId="64395621" w14:textId="77777777" w:rsidR="00A02621" w:rsidRPr="00F63769" w:rsidRDefault="00A02621" w:rsidP="008D7BB4">
            <w:pPr>
              <w:spacing w:line="276" w:lineRule="auto"/>
              <w:ind w:right="49"/>
              <w:contextualSpacing/>
              <w:jc w:val="both"/>
              <w:rPr>
                <w:rFonts w:ascii="Calibri" w:eastAsia="Times New Roman" w:hAnsi="Calibri"/>
                <w:lang w:val="es-MX" w:eastAsia="es-ES"/>
              </w:rPr>
            </w:pPr>
            <w:r w:rsidRPr="00F63769">
              <w:rPr>
                <w:rFonts w:ascii="Calibri" w:eastAsia="Times New Roman" w:hAnsi="Calibri"/>
                <w:noProof/>
                <w:lang w:val="es-ES_tradnl" w:eastAsia="es-ES"/>
              </w:rPr>
              <w:drawing>
                <wp:inline distT="0" distB="0" distL="0" distR="0" wp14:anchorId="676144EA" wp14:editId="199DB6D4">
                  <wp:extent cx="2703830" cy="2162175"/>
                  <wp:effectExtent l="0" t="0" r="1270" b="0"/>
                  <wp:docPr id="48" name="Gráfico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r>
      <w:tr w:rsidR="00A02621" w:rsidRPr="00F63769" w14:paraId="620776CE" w14:textId="77777777" w:rsidTr="00C03B90">
        <w:tc>
          <w:tcPr>
            <w:tcW w:w="8840" w:type="dxa"/>
            <w:gridSpan w:val="2"/>
          </w:tcPr>
          <w:p w14:paraId="59DA7745" w14:textId="77777777" w:rsidR="00A02621" w:rsidRDefault="00A02621" w:rsidP="008D7BB4">
            <w:pPr>
              <w:spacing w:line="276" w:lineRule="auto"/>
              <w:ind w:right="49"/>
              <w:contextualSpacing/>
              <w:jc w:val="both"/>
              <w:rPr>
                <w:rFonts w:ascii="Times New Roman" w:eastAsia="Times New Roman" w:hAnsi="Times New Roman"/>
                <w:sz w:val="18"/>
                <w:szCs w:val="18"/>
                <w:lang w:val="es-ES_tradnl" w:eastAsia="es-ES"/>
              </w:rPr>
            </w:pPr>
            <w:r w:rsidRPr="00F63769">
              <w:rPr>
                <w:rFonts w:ascii="Times New Roman" w:eastAsia="Times New Roman" w:hAnsi="Times New Roman"/>
                <w:sz w:val="18"/>
                <w:szCs w:val="18"/>
                <w:lang w:val="es-ES_tradnl" w:eastAsia="es-ES"/>
              </w:rPr>
              <w:t xml:space="preserve">Fuente: Banco de Guatemala </w:t>
            </w:r>
          </w:p>
          <w:p w14:paraId="474FF8C5" w14:textId="3DD97140" w:rsidR="008C3120" w:rsidRPr="00F63769" w:rsidRDefault="008C3120" w:rsidP="008D7BB4">
            <w:pPr>
              <w:spacing w:line="276" w:lineRule="auto"/>
              <w:ind w:right="49"/>
              <w:contextualSpacing/>
              <w:jc w:val="both"/>
              <w:rPr>
                <w:rFonts w:ascii="Times New Roman" w:eastAsia="Times New Roman" w:hAnsi="Times New Roman"/>
                <w:sz w:val="18"/>
                <w:szCs w:val="18"/>
                <w:lang w:val="es-MX" w:eastAsia="es-ES"/>
              </w:rPr>
            </w:pPr>
          </w:p>
        </w:tc>
      </w:tr>
    </w:tbl>
    <w:p w14:paraId="3C70F439" w14:textId="77777777" w:rsidR="006C7DA1" w:rsidRPr="00F63769" w:rsidRDefault="00A02621" w:rsidP="006C7DA1">
      <w:pPr>
        <w:numPr>
          <w:ilvl w:val="0"/>
          <w:numId w:val="47"/>
        </w:numPr>
        <w:spacing w:line="276" w:lineRule="auto"/>
        <w:contextualSpacing/>
        <w:jc w:val="both"/>
        <w:rPr>
          <w:rFonts w:ascii="Times New Roman" w:eastAsia="Times New Roman" w:hAnsi="Times New Roman" w:cs="Times New Roman"/>
          <w:noProof/>
          <w:color w:val="FF0000"/>
          <w:sz w:val="22"/>
          <w:szCs w:val="22"/>
          <w:lang w:eastAsia="es-GT"/>
        </w:rPr>
      </w:pPr>
      <w:r w:rsidRPr="00F63769">
        <w:rPr>
          <w:rFonts w:ascii="Times New Roman" w:eastAsia="Times New Roman" w:hAnsi="Times New Roman" w:cs="Times New Roman"/>
          <w:noProof/>
          <w:sz w:val="22"/>
          <w:szCs w:val="22"/>
          <w:lang w:val="es-ES_tradnl" w:eastAsia="es-GT"/>
        </w:rPr>
        <w:t xml:space="preserve">  </w:t>
      </w:r>
      <w:r w:rsidR="006C7DA1" w:rsidRPr="00F63769">
        <w:rPr>
          <w:rFonts w:ascii="Times New Roman" w:eastAsia="Times New Roman" w:hAnsi="Times New Roman" w:cs="Times New Roman"/>
          <w:noProof/>
          <w:sz w:val="22"/>
          <w:szCs w:val="22"/>
          <w:lang w:eastAsia="es-GT"/>
        </w:rPr>
        <w:t>El ritmo inflacionaro en Guatemala registró a diciembre de 2022 un incremento interanual de 9.24%, como consecuencia principalmente de la inflación externa importada ocasionada por la afectación de la cadena de suministros, el aumento de precios de las materias prima por la Guerra de Rusia y Ucrania, entre otros. A diciembre de 2022, el precio de la canasta básica alimentaria se situó en Q3,634.18.</w:t>
      </w:r>
    </w:p>
    <w:p w14:paraId="5365A37D" w14:textId="54560759" w:rsidR="00A02621" w:rsidRPr="006C7DA1" w:rsidRDefault="00A02621" w:rsidP="008D7BB4">
      <w:pPr>
        <w:spacing w:line="276" w:lineRule="auto"/>
        <w:contextualSpacing/>
        <w:jc w:val="both"/>
        <w:rPr>
          <w:rFonts w:ascii="Times New Roman" w:eastAsia="Times New Roman" w:hAnsi="Times New Roman" w:cs="Times New Roman"/>
          <w:noProof/>
          <w:sz w:val="22"/>
          <w:szCs w:val="22"/>
          <w:lang w:eastAsia="es-GT"/>
        </w:rPr>
      </w:pPr>
    </w:p>
    <w:p w14:paraId="7D3DC667" w14:textId="77777777" w:rsidR="00A02621" w:rsidRPr="00F63769" w:rsidRDefault="00A02621" w:rsidP="008D7BB4">
      <w:pPr>
        <w:numPr>
          <w:ilvl w:val="0"/>
          <w:numId w:val="47"/>
        </w:numPr>
        <w:spacing w:line="276" w:lineRule="auto"/>
        <w:contextualSpacing/>
        <w:jc w:val="both"/>
        <w:rPr>
          <w:rFonts w:ascii="Times New Roman" w:eastAsia="Times New Roman" w:hAnsi="Times New Roman" w:cs="Times New Roman"/>
          <w:noProof/>
          <w:sz w:val="22"/>
          <w:szCs w:val="22"/>
          <w:lang w:eastAsia="es-GT"/>
        </w:rPr>
      </w:pPr>
      <w:r w:rsidRPr="00F63769">
        <w:rPr>
          <w:rFonts w:ascii="Times New Roman" w:eastAsia="Times New Roman" w:hAnsi="Times New Roman" w:cs="Times New Roman"/>
          <w:noProof/>
          <w:sz w:val="22"/>
          <w:szCs w:val="22"/>
          <w:lang w:eastAsia="es-GT"/>
        </w:rPr>
        <w:lastRenderedPageBreak/>
        <w:t>A noviembre de 2022, el comercio exterior reporta un valor FOB de exportaciones de US$14,429.2 millones, lo que representa un 17.2% al monto registrado a noviembre 2021. Los productos más importantes según su participación en el valor total de exportaciones han sido: los artículos de vestuario con 11.8%; café con 7.6%; seguido de grasas y aceites comestibles 7.5%; as</w:t>
      </w:r>
      <w:r w:rsidRPr="00F63769">
        <w:rPr>
          <w:rFonts w:ascii="Times New Roman" w:eastAsia="Times New Roman" w:hAnsi="Times New Roman" w:cs="Times New Roman"/>
          <w:noProof/>
          <w:sz w:val="22"/>
          <w:szCs w:val="22"/>
          <w:lang w:val="es-MX" w:eastAsia="es-GT"/>
        </w:rPr>
        <w:t>í</w:t>
      </w:r>
      <w:r w:rsidRPr="00F63769">
        <w:rPr>
          <w:rFonts w:ascii="Times New Roman" w:eastAsia="Times New Roman" w:hAnsi="Times New Roman" w:cs="Times New Roman"/>
          <w:noProof/>
          <w:sz w:val="22"/>
          <w:szCs w:val="22"/>
          <w:lang w:eastAsia="es-GT"/>
        </w:rPr>
        <w:t xml:space="preserve"> como banano 6.1% y azúcar con 4.8%. Estos productos representaron el 37.8% del total exportado. Por otro lado, los principales socios comerciales de las exportaciones son: Centroamérica  (33.5%); Estados Unidos de América 31.4%; la zona del Euro 9.6%; México 4.3%; y Republica Popular China 2.9%; que en conjunto representaron el 81.7% del total de las exportaciones.</w:t>
      </w:r>
    </w:p>
    <w:p w14:paraId="45F14F02" w14:textId="77777777" w:rsidR="00A02621" w:rsidRPr="00F63769" w:rsidRDefault="00A02621" w:rsidP="008D7BB4">
      <w:pPr>
        <w:spacing w:line="276" w:lineRule="auto"/>
        <w:contextualSpacing/>
        <w:jc w:val="both"/>
        <w:rPr>
          <w:rFonts w:ascii="Times New Roman" w:eastAsia="Times New Roman" w:hAnsi="Times New Roman" w:cs="Times New Roman"/>
          <w:noProof/>
          <w:sz w:val="22"/>
          <w:szCs w:val="22"/>
          <w:lang w:eastAsia="es-GT"/>
        </w:rPr>
      </w:pPr>
    </w:p>
    <w:p w14:paraId="5570E7A7" w14:textId="77777777" w:rsidR="00A02621" w:rsidRPr="00F63769" w:rsidRDefault="00A02621" w:rsidP="008D7BB4">
      <w:pPr>
        <w:numPr>
          <w:ilvl w:val="0"/>
          <w:numId w:val="47"/>
        </w:numPr>
        <w:spacing w:line="276" w:lineRule="auto"/>
        <w:contextualSpacing/>
        <w:jc w:val="both"/>
        <w:rPr>
          <w:rFonts w:ascii="Times New Roman" w:eastAsia="Times New Roman" w:hAnsi="Times New Roman" w:cs="Times New Roman"/>
          <w:noProof/>
          <w:sz w:val="22"/>
          <w:szCs w:val="22"/>
          <w:lang w:eastAsia="es-GT"/>
        </w:rPr>
      </w:pPr>
      <w:r w:rsidRPr="00F63769">
        <w:rPr>
          <w:rFonts w:ascii="Times New Roman" w:eastAsia="Times New Roman" w:hAnsi="Times New Roman" w:cs="Times New Roman"/>
          <w:noProof/>
          <w:sz w:val="22"/>
          <w:szCs w:val="22"/>
          <w:lang w:eastAsia="es-GT"/>
        </w:rPr>
        <w:t>El monto total de las importaciones realizadas se situó en 23.5% por encima de lo registrado a noviembre 2021. El aumento en las importaciones estuvo influenciado principalmente por los incrementos observados en combustibles y lubricantes con un aumento 51.0%, así como en Materias primas y productos intermedios para la industria con 21.7%. Asímismo, los principales socios comerciales de las importaciones han sido Estados Unidos de América 35.1%; República Popular China 13.6%; Centroamérica 11.2%; México 10.6%; y la zona del Euro 6.5%. En conjunto representaron el 77.0% del total.</w:t>
      </w:r>
    </w:p>
    <w:p w14:paraId="35E8A98E" w14:textId="77777777" w:rsidR="00A02621" w:rsidRPr="00F63769" w:rsidRDefault="00A02621" w:rsidP="006C7DA1">
      <w:pPr>
        <w:spacing w:line="276" w:lineRule="auto"/>
        <w:contextualSpacing/>
        <w:rPr>
          <w:rFonts w:ascii="Times New Roman" w:eastAsia="Times New Roman" w:hAnsi="Times New Roman" w:cs="Times New Roman"/>
          <w:noProof/>
          <w:sz w:val="22"/>
          <w:szCs w:val="22"/>
          <w:lang w:eastAsia="es-GT"/>
        </w:rPr>
      </w:pPr>
    </w:p>
    <w:tbl>
      <w:tblPr>
        <w:tblStyle w:val="Tablaconcuadrcu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A02621" w:rsidRPr="00F63769" w14:paraId="2C303472" w14:textId="77777777" w:rsidTr="00C03B90">
        <w:tc>
          <w:tcPr>
            <w:tcW w:w="4525" w:type="dxa"/>
            <w:vAlign w:val="center"/>
          </w:tcPr>
          <w:p w14:paraId="39BD6E73" w14:textId="2D390B60" w:rsidR="00A02621" w:rsidRPr="00F63769" w:rsidRDefault="00A02621" w:rsidP="008D7BB4">
            <w:pPr>
              <w:spacing w:line="276" w:lineRule="auto"/>
              <w:contextualSpacing/>
              <w:jc w:val="center"/>
              <w:rPr>
                <w:rFonts w:ascii="Times New Roman" w:eastAsia="Times New Roman" w:hAnsi="Times New Roman"/>
                <w:b/>
                <w:bCs/>
              </w:rPr>
            </w:pPr>
            <w:bookmarkStart w:id="151" w:name="_Toc125733233"/>
            <w:r w:rsidRPr="009F246B">
              <w:rPr>
                <w:rFonts w:ascii="Times New Roman" w:eastAsia="Times New Roman" w:hAnsi="Times New Roman"/>
                <w:b/>
              </w:rPr>
              <w:t xml:space="preserve">Gráfico </w:t>
            </w:r>
            <w:r w:rsidRPr="009F246B">
              <w:rPr>
                <w:rFonts w:ascii="Times New Roman" w:eastAsia="Times New Roman" w:hAnsi="Times New Roman"/>
                <w:b/>
              </w:rPr>
              <w:fldChar w:fldCharType="begin"/>
            </w:r>
            <w:r w:rsidRPr="009F246B">
              <w:rPr>
                <w:rFonts w:ascii="Times New Roman" w:eastAsia="Times New Roman" w:hAnsi="Times New Roman"/>
                <w:b/>
              </w:rPr>
              <w:instrText xml:space="preserve"> SEQ Gráfico \* ARABIC </w:instrText>
            </w:r>
            <w:r w:rsidRPr="009F246B">
              <w:rPr>
                <w:rFonts w:ascii="Times New Roman" w:eastAsia="Times New Roman" w:hAnsi="Times New Roman"/>
                <w:b/>
              </w:rPr>
              <w:fldChar w:fldCharType="separate"/>
            </w:r>
            <w:r w:rsidR="006F4BE5">
              <w:rPr>
                <w:rFonts w:ascii="Times New Roman" w:eastAsia="Times New Roman" w:hAnsi="Times New Roman"/>
                <w:b/>
                <w:noProof/>
              </w:rPr>
              <w:t>37</w:t>
            </w:r>
            <w:r w:rsidRPr="009F246B">
              <w:rPr>
                <w:rFonts w:ascii="Times New Roman" w:eastAsia="Times New Roman" w:hAnsi="Times New Roman"/>
                <w:b/>
              </w:rPr>
              <w:fldChar w:fldCharType="end"/>
            </w:r>
            <w:r w:rsidRPr="009F246B">
              <w:rPr>
                <w:rFonts w:ascii="Times New Roman" w:eastAsia="Times New Roman" w:hAnsi="Times New Roman"/>
                <w:b/>
              </w:rPr>
              <w:t>.</w:t>
            </w:r>
            <w:r>
              <w:rPr>
                <w:rFonts w:ascii="Times New Roman" w:eastAsia="Times New Roman" w:hAnsi="Times New Roman"/>
                <w:b/>
              </w:rPr>
              <w:t xml:space="preserve"> </w:t>
            </w:r>
            <w:r w:rsidRPr="00F63769">
              <w:rPr>
                <w:rFonts w:ascii="Times New Roman" w:eastAsia="Times New Roman" w:hAnsi="Times New Roman"/>
                <w:b/>
                <w:bCs/>
                <w:lang w:val="es-MX" w:eastAsia="es-ES"/>
              </w:rPr>
              <w:t>Importaciones CIF y Exportaciones FOB</w:t>
            </w:r>
            <w:bookmarkEnd w:id="151"/>
          </w:p>
        </w:tc>
        <w:tc>
          <w:tcPr>
            <w:tcW w:w="4525" w:type="dxa"/>
          </w:tcPr>
          <w:p w14:paraId="3342FEA8" w14:textId="1427037B" w:rsidR="00A02621" w:rsidRPr="00F63769" w:rsidRDefault="00A02621" w:rsidP="008D7BB4">
            <w:pPr>
              <w:spacing w:line="276" w:lineRule="auto"/>
              <w:contextualSpacing/>
              <w:jc w:val="center"/>
              <w:rPr>
                <w:rFonts w:ascii="Times New Roman" w:eastAsia="Times New Roman" w:hAnsi="Times New Roman"/>
                <w:b/>
                <w:bCs/>
                <w:lang w:val="es-MX" w:eastAsia="es-ES"/>
              </w:rPr>
            </w:pPr>
            <w:bookmarkStart w:id="152" w:name="_Toc125733234"/>
            <w:r w:rsidRPr="009F246B">
              <w:rPr>
                <w:rFonts w:ascii="Times New Roman" w:eastAsia="Times New Roman" w:hAnsi="Times New Roman"/>
                <w:b/>
              </w:rPr>
              <w:t xml:space="preserve">Gráfico </w:t>
            </w:r>
            <w:r w:rsidRPr="009F246B">
              <w:rPr>
                <w:rFonts w:ascii="Times New Roman" w:eastAsia="Times New Roman" w:hAnsi="Times New Roman"/>
                <w:b/>
              </w:rPr>
              <w:fldChar w:fldCharType="begin"/>
            </w:r>
            <w:r w:rsidRPr="009F246B">
              <w:rPr>
                <w:rFonts w:ascii="Times New Roman" w:eastAsia="Times New Roman" w:hAnsi="Times New Roman"/>
                <w:b/>
              </w:rPr>
              <w:instrText xml:space="preserve"> SEQ Gráfico \* ARABIC </w:instrText>
            </w:r>
            <w:r w:rsidRPr="009F246B">
              <w:rPr>
                <w:rFonts w:ascii="Times New Roman" w:eastAsia="Times New Roman" w:hAnsi="Times New Roman"/>
                <w:b/>
              </w:rPr>
              <w:fldChar w:fldCharType="separate"/>
            </w:r>
            <w:r w:rsidR="006F4BE5">
              <w:rPr>
                <w:rFonts w:ascii="Times New Roman" w:eastAsia="Times New Roman" w:hAnsi="Times New Roman"/>
                <w:b/>
                <w:noProof/>
              </w:rPr>
              <w:t>38</w:t>
            </w:r>
            <w:r w:rsidRPr="009F246B">
              <w:rPr>
                <w:rFonts w:ascii="Times New Roman" w:eastAsia="Times New Roman" w:hAnsi="Times New Roman"/>
                <w:b/>
              </w:rPr>
              <w:fldChar w:fldCharType="end"/>
            </w:r>
            <w:r w:rsidRPr="009F246B">
              <w:rPr>
                <w:rFonts w:ascii="Times New Roman" w:eastAsia="Times New Roman" w:hAnsi="Times New Roman"/>
                <w:b/>
              </w:rPr>
              <w:t>.</w:t>
            </w:r>
            <w:r>
              <w:rPr>
                <w:rFonts w:ascii="Times New Roman" w:eastAsia="Times New Roman" w:hAnsi="Times New Roman"/>
                <w:b/>
              </w:rPr>
              <w:t xml:space="preserve"> </w:t>
            </w:r>
            <w:r w:rsidRPr="00F63769">
              <w:rPr>
                <w:rFonts w:ascii="Times New Roman" w:eastAsia="Times New Roman" w:hAnsi="Times New Roman"/>
                <w:b/>
                <w:bCs/>
                <w:lang w:val="es-MX" w:eastAsia="es-ES"/>
              </w:rPr>
              <w:t>Remesas Familiares</w:t>
            </w:r>
            <w:bookmarkEnd w:id="152"/>
          </w:p>
        </w:tc>
      </w:tr>
      <w:tr w:rsidR="00A02621" w:rsidRPr="00F63769" w14:paraId="0BCBD1DB" w14:textId="77777777" w:rsidTr="00C03B90">
        <w:tc>
          <w:tcPr>
            <w:tcW w:w="4525" w:type="dxa"/>
          </w:tcPr>
          <w:p w14:paraId="5058C2D8" w14:textId="77777777" w:rsidR="00A02621" w:rsidRPr="00F63769" w:rsidRDefault="00A02621" w:rsidP="008D7BB4">
            <w:pPr>
              <w:spacing w:line="276" w:lineRule="auto"/>
              <w:ind w:right="49"/>
              <w:contextualSpacing/>
              <w:jc w:val="both"/>
              <w:rPr>
                <w:rFonts w:ascii="Calibri" w:eastAsia="Times New Roman" w:hAnsi="Calibri"/>
                <w:lang w:val="es-MX" w:eastAsia="es-ES"/>
              </w:rPr>
            </w:pPr>
            <w:r w:rsidRPr="00F63769">
              <w:rPr>
                <w:rFonts w:ascii="Calibri" w:eastAsia="Times New Roman" w:hAnsi="Calibri"/>
                <w:noProof/>
                <w:lang w:val="es-ES_tradnl" w:eastAsia="es-ES"/>
              </w:rPr>
              <w:drawing>
                <wp:inline distT="0" distB="0" distL="0" distR="0" wp14:anchorId="527B931E" wp14:editId="69C7D743">
                  <wp:extent cx="2703830" cy="2162175"/>
                  <wp:effectExtent l="0" t="0" r="1270" b="0"/>
                  <wp:docPr id="47" name="Gráfico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c>
          <w:tcPr>
            <w:tcW w:w="4525" w:type="dxa"/>
          </w:tcPr>
          <w:p w14:paraId="7837B29B" w14:textId="77777777" w:rsidR="00A02621" w:rsidRPr="00F63769" w:rsidRDefault="00A02621" w:rsidP="008D7BB4">
            <w:pPr>
              <w:spacing w:line="276" w:lineRule="auto"/>
              <w:ind w:right="49"/>
              <w:contextualSpacing/>
              <w:jc w:val="both"/>
              <w:rPr>
                <w:rFonts w:ascii="Calibri" w:eastAsia="Times New Roman" w:hAnsi="Calibri"/>
                <w:lang w:val="es-MX" w:eastAsia="es-ES"/>
              </w:rPr>
            </w:pPr>
            <w:r w:rsidRPr="00F63769">
              <w:rPr>
                <w:rFonts w:ascii="Calibri" w:eastAsia="Times New Roman" w:hAnsi="Calibri"/>
                <w:noProof/>
                <w:lang w:val="es-ES_tradnl" w:eastAsia="es-ES"/>
              </w:rPr>
              <w:drawing>
                <wp:inline distT="0" distB="0" distL="0" distR="0" wp14:anchorId="329A1EBA" wp14:editId="5D9982EF">
                  <wp:extent cx="2703830" cy="2162175"/>
                  <wp:effectExtent l="0" t="0" r="1270" b="0"/>
                  <wp:docPr id="46" name="Gráfico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r>
      <w:tr w:rsidR="00A02621" w:rsidRPr="00F63769" w14:paraId="6AE56FB1" w14:textId="77777777" w:rsidTr="00C03B90">
        <w:tc>
          <w:tcPr>
            <w:tcW w:w="9050" w:type="dxa"/>
            <w:gridSpan w:val="2"/>
          </w:tcPr>
          <w:p w14:paraId="253E879E" w14:textId="77777777" w:rsidR="00A02621" w:rsidRPr="008C3120" w:rsidRDefault="00A02621" w:rsidP="008D7BB4">
            <w:pPr>
              <w:spacing w:line="276" w:lineRule="auto"/>
              <w:ind w:right="49"/>
              <w:contextualSpacing/>
              <w:jc w:val="both"/>
              <w:rPr>
                <w:rFonts w:ascii="Times New Roman" w:eastAsia="Times New Roman" w:hAnsi="Times New Roman"/>
                <w:sz w:val="18"/>
                <w:szCs w:val="18"/>
                <w:lang w:val="es-MX" w:eastAsia="es-ES"/>
              </w:rPr>
            </w:pPr>
            <w:r w:rsidRPr="008C3120">
              <w:rPr>
                <w:rFonts w:ascii="Times New Roman" w:eastAsia="Times New Roman" w:hAnsi="Times New Roman"/>
                <w:sz w:val="18"/>
                <w:szCs w:val="18"/>
                <w:lang w:val="es-ES_tradnl" w:eastAsia="es-ES"/>
              </w:rPr>
              <w:t>Fuente: Banco de Guatemala y Administrador del Mercado Mayorista</w:t>
            </w:r>
          </w:p>
        </w:tc>
      </w:tr>
    </w:tbl>
    <w:p w14:paraId="7EFADB73" w14:textId="77777777" w:rsidR="00A02621" w:rsidRPr="00F63769" w:rsidRDefault="00A02621" w:rsidP="008D7BB4">
      <w:pPr>
        <w:spacing w:line="276" w:lineRule="auto"/>
        <w:contextualSpacing/>
        <w:jc w:val="both"/>
        <w:rPr>
          <w:rFonts w:ascii="Times New Roman" w:eastAsia="Times New Roman" w:hAnsi="Times New Roman" w:cs="Times New Roman"/>
          <w:noProof/>
          <w:sz w:val="22"/>
          <w:szCs w:val="22"/>
          <w:lang w:val="es-ES_tradnl" w:eastAsia="es-GT"/>
        </w:rPr>
      </w:pPr>
    </w:p>
    <w:p w14:paraId="1927C318" w14:textId="77777777" w:rsidR="006C7DA1" w:rsidRDefault="006C7DA1" w:rsidP="006C7DA1">
      <w:pPr>
        <w:spacing w:line="276" w:lineRule="auto"/>
        <w:contextualSpacing/>
        <w:jc w:val="both"/>
        <w:rPr>
          <w:rFonts w:ascii="Times New Roman" w:eastAsia="Times New Roman" w:hAnsi="Times New Roman" w:cs="Times New Roman"/>
          <w:noProof/>
          <w:sz w:val="22"/>
          <w:szCs w:val="22"/>
          <w:lang w:eastAsia="es-GT"/>
        </w:rPr>
      </w:pPr>
    </w:p>
    <w:p w14:paraId="25742718" w14:textId="740C801C" w:rsidR="006C7DA1" w:rsidRDefault="006C7DA1" w:rsidP="006C7DA1">
      <w:pPr>
        <w:numPr>
          <w:ilvl w:val="0"/>
          <w:numId w:val="47"/>
        </w:numPr>
        <w:spacing w:line="276" w:lineRule="auto"/>
        <w:contextualSpacing/>
        <w:jc w:val="both"/>
        <w:rPr>
          <w:rFonts w:ascii="Times New Roman" w:eastAsia="Times New Roman" w:hAnsi="Times New Roman" w:cs="Times New Roman"/>
          <w:noProof/>
          <w:sz w:val="22"/>
          <w:szCs w:val="22"/>
          <w:lang w:eastAsia="es-GT"/>
        </w:rPr>
      </w:pPr>
      <w:r w:rsidRPr="00F63769">
        <w:rPr>
          <w:rFonts w:ascii="Times New Roman" w:eastAsia="Times New Roman" w:hAnsi="Times New Roman" w:cs="Times New Roman"/>
          <w:noProof/>
          <w:sz w:val="22"/>
          <w:szCs w:val="22"/>
          <w:lang w:eastAsia="es-GT"/>
        </w:rPr>
        <w:t xml:space="preserve">Al 31 diciembre de 2022, el ingreso de divisas por remesas familiares acumulados alcanzó un monto de US$ 18,040.3 millones, superior en 17.9% respecto del monto observado en igual periodo del año previo, respaldado, </w:t>
      </w:r>
      <w:r>
        <w:rPr>
          <w:rFonts w:ascii="Times New Roman" w:eastAsia="Times New Roman" w:hAnsi="Times New Roman" w:cs="Times New Roman"/>
          <w:noProof/>
          <w:sz w:val="22"/>
          <w:szCs w:val="22"/>
          <w:lang w:eastAsia="es-GT"/>
        </w:rPr>
        <w:t>en</w:t>
      </w:r>
      <w:r w:rsidRPr="00F63769">
        <w:rPr>
          <w:rFonts w:ascii="Times New Roman" w:eastAsia="Times New Roman" w:hAnsi="Times New Roman" w:cs="Times New Roman"/>
          <w:noProof/>
          <w:sz w:val="22"/>
          <w:szCs w:val="22"/>
          <w:lang w:eastAsia="es-GT"/>
        </w:rPr>
        <w:t xml:space="preserve"> la solidez del mercado laboral estadounidense, particularmente en el segmento del empleo hispano.  </w:t>
      </w:r>
    </w:p>
    <w:p w14:paraId="1E9B9B73" w14:textId="77777777" w:rsidR="006C7DA1" w:rsidRPr="00F63769" w:rsidRDefault="006C7DA1" w:rsidP="006C7DA1">
      <w:pPr>
        <w:spacing w:line="276" w:lineRule="auto"/>
        <w:ind w:left="720"/>
        <w:contextualSpacing/>
        <w:jc w:val="both"/>
        <w:rPr>
          <w:rFonts w:ascii="Times New Roman" w:eastAsia="Times New Roman" w:hAnsi="Times New Roman" w:cs="Times New Roman"/>
          <w:noProof/>
          <w:sz w:val="22"/>
          <w:szCs w:val="22"/>
          <w:lang w:eastAsia="es-GT"/>
        </w:rPr>
      </w:pPr>
    </w:p>
    <w:p w14:paraId="78C1B83F" w14:textId="49BE008B" w:rsidR="00A02621" w:rsidRPr="00F63769" w:rsidRDefault="00A02621" w:rsidP="008D7BB4">
      <w:pPr>
        <w:numPr>
          <w:ilvl w:val="0"/>
          <w:numId w:val="47"/>
        </w:numPr>
        <w:spacing w:line="276" w:lineRule="auto"/>
        <w:contextualSpacing/>
        <w:jc w:val="both"/>
        <w:rPr>
          <w:rFonts w:ascii="Times New Roman" w:eastAsia="Times New Roman" w:hAnsi="Times New Roman" w:cs="Times New Roman"/>
          <w:noProof/>
          <w:sz w:val="22"/>
          <w:szCs w:val="22"/>
          <w:lang w:eastAsia="es-GT"/>
        </w:rPr>
      </w:pPr>
      <w:r w:rsidRPr="00F63769">
        <w:rPr>
          <w:rFonts w:ascii="Times New Roman" w:eastAsia="Times New Roman" w:hAnsi="Times New Roman" w:cs="Times New Roman"/>
          <w:noProof/>
          <w:sz w:val="22"/>
          <w:szCs w:val="22"/>
          <w:lang w:eastAsia="es-GT"/>
        </w:rPr>
        <w:t xml:space="preserve">El nivel de Reservas Internacionales Netas (RIN), al 31 de diciembre de 2022, fue de US$20,019.8 millones, menor en US$919.8 millones al registrado en 2021. Según el Banco </w:t>
      </w:r>
      <w:r w:rsidRPr="00F63769">
        <w:rPr>
          <w:rFonts w:ascii="Times New Roman" w:eastAsia="Times New Roman" w:hAnsi="Times New Roman" w:cs="Times New Roman"/>
          <w:noProof/>
          <w:sz w:val="22"/>
          <w:szCs w:val="22"/>
          <w:lang w:eastAsia="es-GT"/>
        </w:rPr>
        <w:lastRenderedPageBreak/>
        <w:t xml:space="preserve">de Guatemala esto fue resultado, principalmente, de los pagos netos por deuda externa del sector público y de la disminución de los depósitos en moneda extranjera de los bancos del sistema en el Banco de Guatemala, lo que compensó las compras netas por activación de la regla cambiaria y por el mecanismo de acumulación de reservas internacionales. </w:t>
      </w:r>
    </w:p>
    <w:p w14:paraId="3AC63143" w14:textId="77777777" w:rsidR="00A02621" w:rsidRPr="00F63769" w:rsidRDefault="00A02621" w:rsidP="008D7BB4">
      <w:pPr>
        <w:spacing w:line="276" w:lineRule="auto"/>
        <w:contextualSpacing/>
        <w:jc w:val="both"/>
        <w:rPr>
          <w:rFonts w:ascii="Times New Roman" w:eastAsia="Times New Roman" w:hAnsi="Times New Roman" w:cs="Times New Roman"/>
          <w:noProof/>
          <w:lang w:val="es-ES_tradnl" w:eastAsia="es-GT"/>
        </w:rPr>
      </w:pPr>
    </w:p>
    <w:p w14:paraId="605CB23A" w14:textId="77777777" w:rsidR="00A02621" w:rsidRPr="00F63769" w:rsidRDefault="00A02621" w:rsidP="008D7BB4">
      <w:pPr>
        <w:numPr>
          <w:ilvl w:val="0"/>
          <w:numId w:val="47"/>
        </w:numPr>
        <w:spacing w:line="276" w:lineRule="auto"/>
        <w:contextualSpacing/>
        <w:jc w:val="both"/>
        <w:rPr>
          <w:rFonts w:ascii="Times New Roman" w:eastAsia="Times New Roman" w:hAnsi="Times New Roman" w:cs="Times New Roman"/>
          <w:noProof/>
          <w:sz w:val="22"/>
          <w:szCs w:val="22"/>
          <w:lang w:eastAsia="es-GT"/>
        </w:rPr>
      </w:pPr>
      <w:r w:rsidRPr="00F63769">
        <w:rPr>
          <w:rFonts w:ascii="Times New Roman" w:eastAsia="Times New Roman" w:hAnsi="Times New Roman" w:cs="Times New Roman"/>
          <w:noProof/>
          <w:sz w:val="22"/>
          <w:szCs w:val="22"/>
          <w:lang w:eastAsia="es-GT"/>
        </w:rPr>
        <w:t>El tipo de cambio nominal registró, a diciembre de 2022, una depreciación interanual de 1.7%. En el año existieron presiones hacia la depreciación del tipo de cambio por distintas razones, entre las cuales destacan la incertidumbre de los agentes económicos que los induce disminuir sus inversiones en paises emergentes, el aumento constante de las importaciones mayor al de las exportaciones en los últimos años, el aumento de la tasas de interés de la mayoría de economías y la extracción de divisas por el mecanismo de acumulación de Reservas Monetarias Internacionales, que a finales de año se adquirieron US$1,472.2 millones. Por su parte, el crecimiento robusto de las remesas familiares compensó parte de dichas presiones al tipo de cambio.</w:t>
      </w:r>
    </w:p>
    <w:p w14:paraId="5F2E4192" w14:textId="77777777" w:rsidR="00A02621" w:rsidRPr="00F63769" w:rsidRDefault="00A02621" w:rsidP="008D7BB4">
      <w:pPr>
        <w:spacing w:line="276" w:lineRule="auto"/>
        <w:contextualSpacing/>
        <w:jc w:val="both"/>
        <w:rPr>
          <w:rFonts w:ascii="Times New Roman" w:eastAsia="Times New Roman" w:hAnsi="Times New Roman" w:cs="Times New Roman"/>
          <w:noProof/>
          <w:lang w:val="es-ES_tradnl" w:eastAsia="es-GT"/>
        </w:rPr>
      </w:pPr>
    </w:p>
    <w:p w14:paraId="36256D48" w14:textId="7F2F4DC2" w:rsidR="00A02621" w:rsidRDefault="00A02621" w:rsidP="008D7BB4">
      <w:pPr>
        <w:numPr>
          <w:ilvl w:val="0"/>
          <w:numId w:val="47"/>
        </w:numPr>
        <w:spacing w:line="276" w:lineRule="auto"/>
        <w:contextualSpacing/>
        <w:jc w:val="both"/>
        <w:rPr>
          <w:rFonts w:ascii="Times New Roman" w:eastAsia="Times New Roman" w:hAnsi="Times New Roman" w:cs="Times New Roman"/>
          <w:noProof/>
          <w:sz w:val="22"/>
          <w:szCs w:val="22"/>
          <w:lang w:eastAsia="es-GT"/>
        </w:rPr>
      </w:pPr>
      <w:r w:rsidRPr="00F63769">
        <w:rPr>
          <w:rFonts w:ascii="Times New Roman" w:eastAsia="Times New Roman" w:hAnsi="Times New Roman" w:cs="Times New Roman"/>
          <w:noProof/>
          <w:sz w:val="22"/>
          <w:szCs w:val="22"/>
          <w:lang w:eastAsia="es-GT"/>
        </w:rPr>
        <w:t>En lo que respecta a la tasa de interés líder de política monetaria, la Junta Monetaria aumentó en 200 puntos básicos, dejando la tasa en 3.75% a diciembre. Actualmente tiene como objetivo frenar la inflación y proteger la moneda, lo cual es congruente con períodos inusuales de inflación en la economía guatemalteca en el segundo semestre del año.</w:t>
      </w:r>
    </w:p>
    <w:p w14:paraId="54C70C94" w14:textId="77777777" w:rsidR="00564342" w:rsidRPr="006C7DA1" w:rsidRDefault="00564342" w:rsidP="00564342">
      <w:pPr>
        <w:spacing w:line="276" w:lineRule="auto"/>
        <w:contextualSpacing/>
        <w:jc w:val="both"/>
        <w:rPr>
          <w:rFonts w:ascii="Times New Roman" w:eastAsia="Times New Roman" w:hAnsi="Times New Roman" w:cs="Times New Roman"/>
          <w:noProof/>
          <w:sz w:val="22"/>
          <w:szCs w:val="22"/>
          <w:lang w:eastAsia="es-GT"/>
        </w:rPr>
      </w:pPr>
    </w:p>
    <w:tbl>
      <w:tblPr>
        <w:tblStyle w:val="Tablaconcuadrcu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A02621" w:rsidRPr="00F63769" w14:paraId="59AF0961" w14:textId="77777777" w:rsidTr="00C03B90">
        <w:tc>
          <w:tcPr>
            <w:tcW w:w="4525" w:type="dxa"/>
            <w:vAlign w:val="center"/>
          </w:tcPr>
          <w:p w14:paraId="54DE4366" w14:textId="1650AA37" w:rsidR="00A02621" w:rsidRPr="00F63769" w:rsidRDefault="00A02621" w:rsidP="008D7BB4">
            <w:pPr>
              <w:spacing w:line="276" w:lineRule="auto"/>
              <w:contextualSpacing/>
              <w:jc w:val="center"/>
              <w:rPr>
                <w:rFonts w:ascii="Times New Roman" w:eastAsia="Times New Roman" w:hAnsi="Times New Roman"/>
                <w:b/>
                <w:bCs/>
              </w:rPr>
            </w:pPr>
            <w:bookmarkStart w:id="153" w:name="_Toc125733235"/>
            <w:r w:rsidRPr="009F246B">
              <w:rPr>
                <w:rFonts w:ascii="Times New Roman" w:eastAsia="Times New Roman" w:hAnsi="Times New Roman"/>
                <w:b/>
              </w:rPr>
              <w:t xml:space="preserve">Gráfico </w:t>
            </w:r>
            <w:r w:rsidRPr="009F246B">
              <w:rPr>
                <w:rFonts w:ascii="Times New Roman" w:eastAsia="Times New Roman" w:hAnsi="Times New Roman"/>
                <w:b/>
              </w:rPr>
              <w:fldChar w:fldCharType="begin"/>
            </w:r>
            <w:r w:rsidRPr="009F246B">
              <w:rPr>
                <w:rFonts w:ascii="Times New Roman" w:eastAsia="Times New Roman" w:hAnsi="Times New Roman"/>
                <w:b/>
              </w:rPr>
              <w:instrText xml:space="preserve"> SEQ Gráfico \* ARABIC </w:instrText>
            </w:r>
            <w:r w:rsidRPr="009F246B">
              <w:rPr>
                <w:rFonts w:ascii="Times New Roman" w:eastAsia="Times New Roman" w:hAnsi="Times New Roman"/>
                <w:b/>
              </w:rPr>
              <w:fldChar w:fldCharType="separate"/>
            </w:r>
            <w:r w:rsidR="006F4BE5">
              <w:rPr>
                <w:rFonts w:ascii="Times New Roman" w:eastAsia="Times New Roman" w:hAnsi="Times New Roman"/>
                <w:b/>
                <w:noProof/>
              </w:rPr>
              <w:t>39</w:t>
            </w:r>
            <w:r w:rsidRPr="009F246B">
              <w:rPr>
                <w:rFonts w:ascii="Times New Roman" w:eastAsia="Times New Roman" w:hAnsi="Times New Roman"/>
                <w:b/>
              </w:rPr>
              <w:fldChar w:fldCharType="end"/>
            </w:r>
            <w:r w:rsidRPr="00F63769">
              <w:rPr>
                <w:rFonts w:ascii="Times New Roman" w:eastAsia="Times New Roman" w:hAnsi="Times New Roman"/>
                <w:b/>
                <w:bCs/>
              </w:rPr>
              <w:t xml:space="preserve">. </w:t>
            </w:r>
            <w:r w:rsidRPr="00F63769">
              <w:rPr>
                <w:rFonts w:ascii="Times New Roman" w:eastAsia="Times New Roman" w:hAnsi="Times New Roman"/>
                <w:b/>
                <w:bCs/>
                <w:lang w:val="es-MX" w:eastAsia="es-ES"/>
              </w:rPr>
              <w:t>Tipo de cambio de referencia</w:t>
            </w:r>
            <w:bookmarkEnd w:id="153"/>
          </w:p>
        </w:tc>
        <w:tc>
          <w:tcPr>
            <w:tcW w:w="4525" w:type="dxa"/>
            <w:vAlign w:val="center"/>
          </w:tcPr>
          <w:p w14:paraId="6DCC8249" w14:textId="2133250E" w:rsidR="00A02621" w:rsidRPr="00F63769" w:rsidRDefault="00A02621" w:rsidP="008D7BB4">
            <w:pPr>
              <w:spacing w:line="276" w:lineRule="auto"/>
              <w:contextualSpacing/>
              <w:jc w:val="center"/>
              <w:rPr>
                <w:rFonts w:ascii="Times New Roman" w:eastAsia="Times New Roman" w:hAnsi="Times New Roman"/>
                <w:b/>
                <w:bCs/>
                <w:lang w:val="es-MX" w:eastAsia="es-ES"/>
              </w:rPr>
            </w:pPr>
            <w:bookmarkStart w:id="154" w:name="_Toc125733236"/>
            <w:r w:rsidRPr="009F246B">
              <w:rPr>
                <w:rFonts w:ascii="Times New Roman" w:eastAsia="Times New Roman" w:hAnsi="Times New Roman"/>
                <w:b/>
              </w:rPr>
              <w:t xml:space="preserve">Gráfico </w:t>
            </w:r>
            <w:r w:rsidRPr="009F246B">
              <w:rPr>
                <w:rFonts w:ascii="Times New Roman" w:eastAsia="Times New Roman" w:hAnsi="Times New Roman"/>
                <w:b/>
              </w:rPr>
              <w:fldChar w:fldCharType="begin"/>
            </w:r>
            <w:r w:rsidRPr="009F246B">
              <w:rPr>
                <w:rFonts w:ascii="Times New Roman" w:eastAsia="Times New Roman" w:hAnsi="Times New Roman"/>
                <w:b/>
              </w:rPr>
              <w:instrText xml:space="preserve"> SEQ Gráfico \* ARABIC </w:instrText>
            </w:r>
            <w:r w:rsidRPr="009F246B">
              <w:rPr>
                <w:rFonts w:ascii="Times New Roman" w:eastAsia="Times New Roman" w:hAnsi="Times New Roman"/>
                <w:b/>
              </w:rPr>
              <w:fldChar w:fldCharType="separate"/>
            </w:r>
            <w:r w:rsidR="006F4BE5">
              <w:rPr>
                <w:rFonts w:ascii="Times New Roman" w:eastAsia="Times New Roman" w:hAnsi="Times New Roman"/>
                <w:b/>
                <w:noProof/>
              </w:rPr>
              <w:t>40</w:t>
            </w:r>
            <w:r w:rsidRPr="009F246B">
              <w:rPr>
                <w:rFonts w:ascii="Times New Roman" w:eastAsia="Times New Roman" w:hAnsi="Times New Roman"/>
                <w:b/>
              </w:rPr>
              <w:fldChar w:fldCharType="end"/>
            </w:r>
            <w:r w:rsidRPr="009F246B">
              <w:rPr>
                <w:rFonts w:ascii="Times New Roman" w:eastAsia="Times New Roman" w:hAnsi="Times New Roman"/>
                <w:b/>
              </w:rPr>
              <w:t>.</w:t>
            </w:r>
            <w:r w:rsidRPr="00F63769">
              <w:rPr>
                <w:rFonts w:ascii="Times New Roman" w:eastAsia="Times New Roman" w:hAnsi="Times New Roman"/>
                <w:b/>
                <w:bCs/>
                <w:lang w:val="es-MX" w:eastAsia="es-ES"/>
              </w:rPr>
              <w:t xml:space="preserve"> Tasa líder</w:t>
            </w:r>
            <w:bookmarkEnd w:id="154"/>
          </w:p>
        </w:tc>
      </w:tr>
      <w:tr w:rsidR="00A02621" w:rsidRPr="00F63769" w14:paraId="735A02C3" w14:textId="77777777" w:rsidTr="00C03B90">
        <w:tc>
          <w:tcPr>
            <w:tcW w:w="4525" w:type="dxa"/>
          </w:tcPr>
          <w:p w14:paraId="2B07A695" w14:textId="77777777" w:rsidR="00A02621" w:rsidRPr="00F63769" w:rsidRDefault="00A02621" w:rsidP="008D7BB4">
            <w:pPr>
              <w:spacing w:line="276" w:lineRule="auto"/>
              <w:ind w:right="49"/>
              <w:contextualSpacing/>
              <w:jc w:val="both"/>
              <w:rPr>
                <w:rFonts w:ascii="Calibri" w:eastAsia="Times New Roman" w:hAnsi="Calibri"/>
                <w:lang w:val="es-MX" w:eastAsia="es-ES"/>
              </w:rPr>
            </w:pPr>
            <w:r w:rsidRPr="00F63769">
              <w:rPr>
                <w:rFonts w:ascii="Calibri" w:eastAsia="Times New Roman" w:hAnsi="Calibri"/>
                <w:noProof/>
                <w:lang w:val="es-ES_tradnl" w:eastAsia="es-ES"/>
              </w:rPr>
              <w:drawing>
                <wp:inline distT="0" distB="0" distL="0" distR="0" wp14:anchorId="654101F5" wp14:editId="09F50CDE">
                  <wp:extent cx="2703830" cy="2162175"/>
                  <wp:effectExtent l="0" t="0" r="1270" b="0"/>
                  <wp:docPr id="45" name="Gráfico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c>
          <w:tcPr>
            <w:tcW w:w="4525" w:type="dxa"/>
          </w:tcPr>
          <w:p w14:paraId="5F8E5B86" w14:textId="77777777" w:rsidR="00A02621" w:rsidRPr="00F63769" w:rsidRDefault="00A02621" w:rsidP="008D7BB4">
            <w:pPr>
              <w:spacing w:line="276" w:lineRule="auto"/>
              <w:ind w:right="49"/>
              <w:contextualSpacing/>
              <w:jc w:val="both"/>
              <w:rPr>
                <w:rFonts w:ascii="Calibri" w:eastAsia="Times New Roman" w:hAnsi="Calibri"/>
                <w:lang w:val="es-MX" w:eastAsia="es-ES"/>
              </w:rPr>
            </w:pPr>
            <w:r w:rsidRPr="00F63769">
              <w:rPr>
                <w:rFonts w:ascii="Calibri" w:eastAsia="Times New Roman" w:hAnsi="Calibri"/>
                <w:noProof/>
                <w:lang w:val="es-ES_tradnl" w:eastAsia="es-ES"/>
              </w:rPr>
              <w:drawing>
                <wp:inline distT="0" distB="0" distL="0" distR="0" wp14:anchorId="18FB539A" wp14:editId="7CC30233">
                  <wp:extent cx="2703830" cy="2162175"/>
                  <wp:effectExtent l="0" t="0" r="1270" b="0"/>
                  <wp:docPr id="44" name="Gráfico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r>
      <w:tr w:rsidR="00A02621" w:rsidRPr="00F63769" w14:paraId="3E23BFA5" w14:textId="77777777" w:rsidTr="00C03B90">
        <w:tc>
          <w:tcPr>
            <w:tcW w:w="9050" w:type="dxa"/>
            <w:gridSpan w:val="2"/>
          </w:tcPr>
          <w:p w14:paraId="5F28DFEF" w14:textId="77777777" w:rsidR="00A02621" w:rsidRPr="00F63769" w:rsidRDefault="00A02621" w:rsidP="008D7BB4">
            <w:pPr>
              <w:spacing w:line="276" w:lineRule="auto"/>
              <w:ind w:right="49"/>
              <w:contextualSpacing/>
              <w:jc w:val="both"/>
              <w:rPr>
                <w:rFonts w:ascii="Times New Roman" w:eastAsia="Times New Roman" w:hAnsi="Times New Roman"/>
                <w:sz w:val="18"/>
                <w:szCs w:val="18"/>
                <w:lang w:val="es-MX" w:eastAsia="es-ES"/>
              </w:rPr>
            </w:pPr>
            <w:r w:rsidRPr="00F63769">
              <w:rPr>
                <w:rFonts w:ascii="Times New Roman" w:eastAsia="Times New Roman" w:hAnsi="Times New Roman"/>
                <w:sz w:val="18"/>
                <w:szCs w:val="18"/>
                <w:lang w:val="es-ES_tradnl" w:eastAsia="es-ES"/>
              </w:rPr>
              <w:t xml:space="preserve">Fuente: Banco de Guatemala </w:t>
            </w:r>
          </w:p>
        </w:tc>
      </w:tr>
    </w:tbl>
    <w:p w14:paraId="7C7C0563" w14:textId="627CC8F4" w:rsidR="00A02621" w:rsidRDefault="00A02621" w:rsidP="008D7BB4">
      <w:pPr>
        <w:spacing w:line="276" w:lineRule="auto"/>
        <w:contextualSpacing/>
        <w:jc w:val="both"/>
        <w:rPr>
          <w:rFonts w:ascii="Times New Roman" w:eastAsia="Times New Roman" w:hAnsi="Times New Roman" w:cs="Times New Roman"/>
          <w:noProof/>
          <w:color w:val="FF0000"/>
          <w:lang w:val="es-ES_tradnl" w:eastAsia="es-GT"/>
        </w:rPr>
      </w:pPr>
    </w:p>
    <w:p w14:paraId="68362CC7" w14:textId="32BFCA3F" w:rsidR="006C7DA1" w:rsidRPr="00D90EB4" w:rsidRDefault="006C7DA1" w:rsidP="003978D2">
      <w:pPr>
        <w:numPr>
          <w:ilvl w:val="0"/>
          <w:numId w:val="47"/>
        </w:numPr>
        <w:spacing w:line="276" w:lineRule="auto"/>
        <w:contextualSpacing/>
        <w:jc w:val="both"/>
        <w:rPr>
          <w:rFonts w:ascii="Times New Roman" w:eastAsia="Times New Roman" w:hAnsi="Times New Roman" w:cs="Times New Roman"/>
          <w:noProof/>
          <w:color w:val="FF0000"/>
          <w:lang w:eastAsia="es-GT"/>
        </w:rPr>
      </w:pPr>
      <w:r w:rsidRPr="00D90EB4">
        <w:rPr>
          <w:rFonts w:ascii="Times New Roman" w:eastAsia="Times New Roman" w:hAnsi="Times New Roman" w:cs="Times New Roman"/>
          <w:noProof/>
          <w:sz w:val="22"/>
          <w:szCs w:val="22"/>
          <w:lang w:eastAsia="es-GT"/>
        </w:rPr>
        <w:t>En el sector monetario, el crédito bancario al sector privado que influye de forma directa en la producción y el consumo nacional, a diciembre de 2022 muestra un crecimiento de 15.8%. Además, la tasa activa promedio ponderada de moneda nacional para diciembre de 2022 motró un valor de 11.8%, manteniéndose levemente inferior al valor de cierre del 2021. Por su lado, la tasa pasiva fue de 4.0% para la misma fecha, ambas tasas aún no reflejan un incremento por la transmisión de la política monetaria.</w:t>
      </w:r>
    </w:p>
    <w:p w14:paraId="7154E54B" w14:textId="3A6234EC" w:rsidR="00156651" w:rsidRPr="00D31116" w:rsidRDefault="00156651" w:rsidP="005E5028">
      <w:pPr>
        <w:pStyle w:val="Prrafodelista"/>
        <w:keepNext/>
        <w:keepLines/>
        <w:numPr>
          <w:ilvl w:val="1"/>
          <w:numId w:val="20"/>
        </w:numPr>
        <w:tabs>
          <w:tab w:val="left" w:pos="1134"/>
        </w:tabs>
        <w:spacing w:line="276" w:lineRule="auto"/>
        <w:jc w:val="both"/>
        <w:outlineLvl w:val="1"/>
        <w:rPr>
          <w:rFonts w:ascii="Times New Roman" w:eastAsiaTheme="majorEastAsia" w:hAnsi="Times New Roman" w:cs="Times New Roman"/>
          <w:b/>
          <w:bCs/>
        </w:rPr>
      </w:pPr>
      <w:r>
        <w:rPr>
          <w:rFonts w:ascii="Times New Roman" w:eastAsiaTheme="majorEastAsia" w:hAnsi="Times New Roman" w:cs="Times New Roman"/>
          <w:b/>
          <w:bCs/>
          <w:sz w:val="26"/>
          <w:szCs w:val="26"/>
          <w:lang w:val="es-ES_tradnl" w:eastAsia="es-ES"/>
        </w:rPr>
        <w:br w:type="page"/>
      </w:r>
      <w:bookmarkStart w:id="155" w:name="_Toc125723304"/>
      <w:r w:rsidR="005F6612" w:rsidRPr="00D31116">
        <w:rPr>
          <w:rFonts w:ascii="Times New Roman" w:eastAsiaTheme="majorEastAsia" w:hAnsi="Times New Roman" w:cs="Times New Roman"/>
          <w:b/>
          <w:bCs/>
        </w:rPr>
        <w:lastRenderedPageBreak/>
        <w:t>Estadísticas</w:t>
      </w:r>
      <w:r w:rsidRPr="00D31116">
        <w:rPr>
          <w:rFonts w:ascii="Times New Roman" w:eastAsiaTheme="majorEastAsia" w:hAnsi="Times New Roman" w:cs="Times New Roman"/>
          <w:b/>
          <w:bCs/>
        </w:rPr>
        <w:t xml:space="preserve"> de las Finanzas Públicas (estándar internacional del FMI)</w:t>
      </w:r>
      <w:bookmarkEnd w:id="155"/>
    </w:p>
    <w:p w14:paraId="6E864ED6" w14:textId="076C4A0B" w:rsidR="00E5175E" w:rsidRDefault="00E5175E" w:rsidP="008D7BB4">
      <w:pPr>
        <w:tabs>
          <w:tab w:val="left" w:pos="2430"/>
        </w:tabs>
        <w:spacing w:line="276" w:lineRule="auto"/>
        <w:contextualSpacing/>
        <w:rPr>
          <w:rFonts w:ascii="Montserrat" w:hAnsi="Montserrat"/>
          <w:sz w:val="21"/>
          <w:szCs w:val="21"/>
        </w:rPr>
      </w:pPr>
    </w:p>
    <w:p w14:paraId="69759323" w14:textId="1BC61532" w:rsidR="00156651" w:rsidRPr="00156651" w:rsidRDefault="00156651" w:rsidP="008D7BB4">
      <w:pPr>
        <w:spacing w:line="276" w:lineRule="auto"/>
        <w:contextualSpacing/>
        <w:jc w:val="both"/>
        <w:rPr>
          <w:rFonts w:ascii="Times New Roman" w:hAnsi="Times New Roman" w:cs="Times New Roman"/>
          <w:sz w:val="22"/>
          <w:szCs w:val="22"/>
          <w:lang w:val="es-MX"/>
        </w:rPr>
      </w:pPr>
      <w:r w:rsidRPr="00156651">
        <w:rPr>
          <w:rFonts w:ascii="Times New Roman" w:hAnsi="Times New Roman" w:cs="Times New Roman"/>
          <w:sz w:val="22"/>
          <w:szCs w:val="22"/>
          <w:lang w:val="es-MX"/>
        </w:rPr>
        <w:t>A continuación, se presenta la información de las Estadísticas de Finanza Publica (EFP) siguiendo la metodología internacional que es establecida por el Fondo Monetario Internacional (FMI) en su Manual de Estadísticas de Finanzas Públicas (MEFP)</w:t>
      </w:r>
      <w:r w:rsidR="00CC159D">
        <w:rPr>
          <w:rFonts w:ascii="Times New Roman" w:hAnsi="Times New Roman" w:cs="Times New Roman"/>
          <w:sz w:val="22"/>
          <w:szCs w:val="22"/>
          <w:lang w:val="es-MX"/>
        </w:rPr>
        <w:t xml:space="preserve"> versión</w:t>
      </w:r>
      <w:r w:rsidRPr="00156651">
        <w:rPr>
          <w:rFonts w:ascii="Times New Roman" w:hAnsi="Times New Roman" w:cs="Times New Roman"/>
          <w:sz w:val="22"/>
          <w:szCs w:val="22"/>
          <w:lang w:val="es-MX"/>
        </w:rPr>
        <w:t xml:space="preserve"> 2014. La información corresponde a tres niveles de cobertura del sector público, siendo el primero de estos lo que se conoce como el gobierno central presupuestario (conformado por las entidades que dependen de la aprobación de un Presupuesto General)</w:t>
      </w:r>
      <w:r w:rsidR="001150DD">
        <w:rPr>
          <w:rFonts w:ascii="Times New Roman" w:hAnsi="Times New Roman" w:cs="Times New Roman"/>
          <w:sz w:val="22"/>
          <w:szCs w:val="22"/>
          <w:lang w:val="es-MX"/>
        </w:rPr>
        <w:t>;</w:t>
      </w:r>
      <w:r w:rsidRPr="00156651">
        <w:rPr>
          <w:rFonts w:ascii="Times New Roman" w:hAnsi="Times New Roman" w:cs="Times New Roman"/>
          <w:sz w:val="22"/>
          <w:szCs w:val="22"/>
          <w:lang w:val="es-MX"/>
        </w:rPr>
        <w:t xml:space="preserve"> seguido del Gobierno General </w:t>
      </w:r>
      <w:r w:rsidR="00CC159D">
        <w:rPr>
          <w:rFonts w:ascii="Times New Roman" w:hAnsi="Times New Roman" w:cs="Times New Roman"/>
          <w:sz w:val="22"/>
          <w:szCs w:val="22"/>
          <w:lang w:val="es-MX"/>
        </w:rPr>
        <w:t>c</w:t>
      </w:r>
      <w:r w:rsidRPr="00156651">
        <w:rPr>
          <w:rFonts w:ascii="Times New Roman" w:hAnsi="Times New Roman" w:cs="Times New Roman"/>
          <w:sz w:val="22"/>
          <w:szCs w:val="22"/>
          <w:lang w:val="es-MX"/>
        </w:rPr>
        <w:t>onsolidado (que se conforma por las entidades contenidas en el Gobierno Central, los Fondos de Seguridad Social y los Gobiernos Locales, sin tomar en cuenta las transacciones recíprocas entre estas entidades)</w:t>
      </w:r>
      <w:r w:rsidR="001150DD">
        <w:rPr>
          <w:rFonts w:ascii="Times New Roman" w:hAnsi="Times New Roman" w:cs="Times New Roman"/>
          <w:sz w:val="22"/>
          <w:szCs w:val="22"/>
          <w:lang w:val="es-MX"/>
        </w:rPr>
        <w:t>;</w:t>
      </w:r>
      <w:r w:rsidRPr="00156651">
        <w:rPr>
          <w:rFonts w:ascii="Times New Roman" w:hAnsi="Times New Roman" w:cs="Times New Roman"/>
          <w:sz w:val="22"/>
          <w:szCs w:val="22"/>
          <w:lang w:val="es-MX"/>
        </w:rPr>
        <w:t xml:space="preserve"> y</w:t>
      </w:r>
      <w:r w:rsidR="001150DD">
        <w:rPr>
          <w:rFonts w:ascii="Times New Roman" w:hAnsi="Times New Roman" w:cs="Times New Roman"/>
          <w:sz w:val="22"/>
          <w:szCs w:val="22"/>
          <w:lang w:val="es-MX"/>
        </w:rPr>
        <w:t>,</w:t>
      </w:r>
      <w:r w:rsidRPr="00156651">
        <w:rPr>
          <w:rFonts w:ascii="Times New Roman" w:hAnsi="Times New Roman" w:cs="Times New Roman"/>
          <w:sz w:val="22"/>
          <w:szCs w:val="22"/>
          <w:lang w:val="es-MX"/>
        </w:rPr>
        <w:t xml:space="preserve"> por último, se incluye al Sector Público No Financiero consolidado (</w:t>
      </w:r>
      <w:r w:rsidR="00CC159D">
        <w:rPr>
          <w:rFonts w:ascii="Times New Roman" w:hAnsi="Times New Roman" w:cs="Times New Roman"/>
          <w:sz w:val="22"/>
          <w:szCs w:val="22"/>
          <w:lang w:val="es-MX"/>
        </w:rPr>
        <w:t>que incluye al</w:t>
      </w:r>
      <w:r w:rsidRPr="00156651">
        <w:rPr>
          <w:rFonts w:ascii="Times New Roman" w:hAnsi="Times New Roman" w:cs="Times New Roman"/>
          <w:sz w:val="22"/>
          <w:szCs w:val="22"/>
          <w:lang w:val="es-MX"/>
        </w:rPr>
        <w:t xml:space="preserve"> Gobierno General y las Sociedades Públicas No Financieras).</w:t>
      </w:r>
    </w:p>
    <w:p w14:paraId="73C42BBC" w14:textId="77777777" w:rsidR="00156651" w:rsidRPr="00156651" w:rsidRDefault="00156651" w:rsidP="008D7BB4">
      <w:pPr>
        <w:spacing w:line="276" w:lineRule="auto"/>
        <w:ind w:left="360"/>
        <w:contextualSpacing/>
        <w:jc w:val="both"/>
        <w:rPr>
          <w:rFonts w:ascii="Times New Roman" w:hAnsi="Times New Roman" w:cs="Times New Roman"/>
          <w:sz w:val="22"/>
          <w:szCs w:val="22"/>
          <w:lang w:val="es-MX"/>
        </w:rPr>
      </w:pPr>
    </w:p>
    <w:p w14:paraId="6DCDC34C" w14:textId="5FC7BA70" w:rsidR="001567F3" w:rsidRDefault="001567F3" w:rsidP="008D7BB4">
      <w:pPr>
        <w:spacing w:line="276" w:lineRule="auto"/>
        <w:contextualSpacing/>
        <w:jc w:val="center"/>
        <w:rPr>
          <w:rFonts w:ascii="Times New Roman" w:hAnsi="Times New Roman" w:cs="Times New Roman"/>
          <w:b/>
          <w:bCs/>
          <w:sz w:val="22"/>
          <w:szCs w:val="22"/>
          <w:lang w:val="es-MX"/>
        </w:rPr>
      </w:pPr>
      <w:bookmarkStart w:id="156" w:name="_Toc125733237"/>
      <w:r w:rsidRPr="009F246B">
        <w:rPr>
          <w:rFonts w:ascii="Times New Roman" w:eastAsia="Times New Roman" w:hAnsi="Times New Roman"/>
          <w:b/>
        </w:rPr>
        <w:t xml:space="preserve">Gráfico </w:t>
      </w:r>
      <w:r w:rsidRPr="009F246B">
        <w:rPr>
          <w:rFonts w:ascii="Times New Roman" w:eastAsia="Times New Roman" w:hAnsi="Times New Roman"/>
          <w:b/>
        </w:rPr>
        <w:fldChar w:fldCharType="begin"/>
      </w:r>
      <w:r w:rsidRPr="009F246B">
        <w:rPr>
          <w:rFonts w:ascii="Times New Roman" w:eastAsia="Times New Roman" w:hAnsi="Times New Roman"/>
          <w:b/>
        </w:rPr>
        <w:instrText xml:space="preserve"> SEQ Gráfico \* ARABIC </w:instrText>
      </w:r>
      <w:r w:rsidRPr="009F246B">
        <w:rPr>
          <w:rFonts w:ascii="Times New Roman" w:eastAsia="Times New Roman" w:hAnsi="Times New Roman"/>
          <w:b/>
        </w:rPr>
        <w:fldChar w:fldCharType="separate"/>
      </w:r>
      <w:r w:rsidR="006F4BE5">
        <w:rPr>
          <w:rFonts w:ascii="Times New Roman" w:eastAsia="Times New Roman" w:hAnsi="Times New Roman"/>
          <w:b/>
          <w:noProof/>
        </w:rPr>
        <w:t>41</w:t>
      </w:r>
      <w:r w:rsidRPr="009F246B">
        <w:rPr>
          <w:rFonts w:ascii="Times New Roman" w:eastAsia="Times New Roman" w:hAnsi="Times New Roman"/>
          <w:b/>
        </w:rPr>
        <w:fldChar w:fldCharType="end"/>
      </w:r>
      <w:r w:rsidRPr="009F246B">
        <w:rPr>
          <w:rFonts w:ascii="Times New Roman" w:eastAsia="Times New Roman" w:hAnsi="Times New Roman"/>
          <w:b/>
        </w:rPr>
        <w:t>.</w:t>
      </w:r>
      <w:r w:rsidRPr="00F63769">
        <w:rPr>
          <w:rFonts w:ascii="Times New Roman" w:eastAsia="Times New Roman" w:hAnsi="Times New Roman"/>
          <w:b/>
          <w:bCs/>
          <w:lang w:val="es-MX" w:eastAsia="es-ES"/>
        </w:rPr>
        <w:t xml:space="preserve"> </w:t>
      </w:r>
      <w:r w:rsidR="00156651" w:rsidRPr="00156651">
        <w:rPr>
          <w:rFonts w:ascii="Times New Roman" w:hAnsi="Times New Roman" w:cs="Times New Roman"/>
          <w:b/>
          <w:bCs/>
          <w:sz w:val="22"/>
          <w:szCs w:val="22"/>
          <w:lang w:val="es-MX"/>
        </w:rPr>
        <w:t>Cobertura de los estados de operaciones conforme al MEFP 2014</w:t>
      </w:r>
      <w:bookmarkEnd w:id="156"/>
    </w:p>
    <w:p w14:paraId="2ED48896" w14:textId="77777777" w:rsidR="001567F3" w:rsidRDefault="001567F3" w:rsidP="008D7BB4">
      <w:pPr>
        <w:spacing w:line="276" w:lineRule="auto"/>
        <w:contextualSpacing/>
        <w:jc w:val="center"/>
        <w:rPr>
          <w:rFonts w:ascii="Times New Roman" w:hAnsi="Times New Roman" w:cs="Times New Roman"/>
          <w:b/>
          <w:bCs/>
          <w:sz w:val="22"/>
          <w:szCs w:val="22"/>
          <w:lang w:val="es-MX"/>
        </w:rPr>
      </w:pPr>
    </w:p>
    <w:p w14:paraId="5E9A8399" w14:textId="09CA3EB6" w:rsidR="00156651" w:rsidRPr="00156651" w:rsidRDefault="00156651" w:rsidP="008D7BB4">
      <w:pPr>
        <w:spacing w:line="276" w:lineRule="auto"/>
        <w:contextualSpacing/>
        <w:jc w:val="center"/>
        <w:rPr>
          <w:rFonts w:ascii="Times New Roman" w:hAnsi="Times New Roman" w:cs="Times New Roman"/>
          <w:b/>
          <w:bCs/>
          <w:sz w:val="22"/>
          <w:szCs w:val="22"/>
          <w:lang w:val="es-MX"/>
        </w:rPr>
      </w:pPr>
      <w:r w:rsidRPr="00156651">
        <w:rPr>
          <w:rFonts w:ascii="Times New Roman" w:hAnsi="Times New Roman" w:cs="Times New Roman"/>
          <w:noProof/>
          <w:sz w:val="22"/>
          <w:szCs w:val="22"/>
        </w:rPr>
        <w:drawing>
          <wp:inline distT="0" distB="0" distL="0" distR="0" wp14:anchorId="0F27DEEE" wp14:editId="4EFD9A80">
            <wp:extent cx="5667375" cy="3034323"/>
            <wp:effectExtent l="0" t="76200" r="0" b="52070"/>
            <wp:docPr id="1724971189" name="Diagrama 1724971189">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14:paraId="68B77546" w14:textId="77777777" w:rsidR="00156651" w:rsidRPr="008C3120" w:rsidRDefault="00156651" w:rsidP="008D7BB4">
      <w:pPr>
        <w:spacing w:line="276" w:lineRule="auto"/>
        <w:contextualSpacing/>
        <w:rPr>
          <w:rFonts w:ascii="Times New Roman" w:hAnsi="Times New Roman" w:cs="Times New Roman"/>
          <w:sz w:val="18"/>
          <w:szCs w:val="18"/>
          <w:lang w:val="es-MX"/>
        </w:rPr>
      </w:pPr>
      <w:r w:rsidRPr="008C3120">
        <w:rPr>
          <w:rFonts w:ascii="Times New Roman" w:hAnsi="Times New Roman" w:cs="Times New Roman"/>
          <w:sz w:val="18"/>
          <w:szCs w:val="18"/>
          <w:lang w:val="es-MX"/>
        </w:rPr>
        <w:t>Fuente: MINFIN</w:t>
      </w:r>
    </w:p>
    <w:p w14:paraId="6FECC2BC" w14:textId="77777777" w:rsidR="00156651" w:rsidRPr="00156651" w:rsidRDefault="00156651" w:rsidP="008D7BB4">
      <w:pPr>
        <w:spacing w:line="276" w:lineRule="auto"/>
        <w:contextualSpacing/>
        <w:rPr>
          <w:rFonts w:ascii="Times New Roman" w:hAnsi="Times New Roman" w:cs="Times New Roman"/>
          <w:b/>
          <w:bCs/>
          <w:sz w:val="22"/>
          <w:szCs w:val="22"/>
          <w:lang w:val="es-MX"/>
        </w:rPr>
      </w:pPr>
    </w:p>
    <w:p w14:paraId="611ADF76" w14:textId="3344D31C" w:rsidR="00156651" w:rsidRPr="00D31116" w:rsidRDefault="00156651" w:rsidP="008D7BB4">
      <w:pPr>
        <w:pStyle w:val="Prrafodelista"/>
        <w:keepNext/>
        <w:keepLines/>
        <w:numPr>
          <w:ilvl w:val="2"/>
          <w:numId w:val="20"/>
        </w:numPr>
        <w:tabs>
          <w:tab w:val="left" w:pos="1134"/>
        </w:tabs>
        <w:spacing w:line="276" w:lineRule="auto"/>
        <w:jc w:val="both"/>
        <w:outlineLvl w:val="1"/>
        <w:rPr>
          <w:rFonts w:ascii="Times New Roman" w:eastAsiaTheme="majorEastAsia" w:hAnsi="Times New Roman" w:cs="Times New Roman"/>
          <w:b/>
          <w:bCs/>
        </w:rPr>
      </w:pPr>
      <w:bookmarkStart w:id="157" w:name="_Toc125723305"/>
      <w:r w:rsidRPr="00D31116">
        <w:rPr>
          <w:rFonts w:ascii="Times New Roman" w:eastAsiaTheme="majorEastAsia" w:hAnsi="Times New Roman" w:cs="Times New Roman"/>
          <w:b/>
          <w:bCs/>
        </w:rPr>
        <w:t xml:space="preserve">Estado de </w:t>
      </w:r>
      <w:r w:rsidR="00CC159D" w:rsidRPr="00D31116">
        <w:rPr>
          <w:rFonts w:ascii="Times New Roman" w:eastAsiaTheme="majorEastAsia" w:hAnsi="Times New Roman" w:cs="Times New Roman"/>
          <w:b/>
          <w:bCs/>
        </w:rPr>
        <w:t>O</w:t>
      </w:r>
      <w:r w:rsidRPr="00D31116">
        <w:rPr>
          <w:rFonts w:ascii="Times New Roman" w:eastAsiaTheme="majorEastAsia" w:hAnsi="Times New Roman" w:cs="Times New Roman"/>
          <w:b/>
          <w:bCs/>
        </w:rPr>
        <w:t>peraciones del Gobierno Central Presupuestario</w:t>
      </w:r>
      <w:bookmarkEnd w:id="157"/>
    </w:p>
    <w:p w14:paraId="2745B945" w14:textId="77777777" w:rsidR="00156651" w:rsidRPr="00156651" w:rsidRDefault="00156651" w:rsidP="008D7BB4">
      <w:pPr>
        <w:pStyle w:val="Prrafodelista"/>
        <w:keepNext/>
        <w:keepLines/>
        <w:tabs>
          <w:tab w:val="left" w:pos="1134"/>
        </w:tabs>
        <w:spacing w:line="276" w:lineRule="auto"/>
        <w:ind w:left="360"/>
        <w:jc w:val="both"/>
        <w:outlineLvl w:val="1"/>
        <w:rPr>
          <w:rFonts w:ascii="Times New Roman" w:hAnsi="Times New Roman" w:cs="Times New Roman"/>
          <w:lang w:val="es-MX"/>
        </w:rPr>
      </w:pPr>
    </w:p>
    <w:p w14:paraId="5EFB9452" w14:textId="411E937C" w:rsidR="00156651" w:rsidRDefault="00156651" w:rsidP="008D7BB4">
      <w:pPr>
        <w:spacing w:line="276" w:lineRule="auto"/>
        <w:contextualSpacing/>
        <w:jc w:val="both"/>
        <w:rPr>
          <w:rFonts w:ascii="Times New Roman" w:hAnsi="Times New Roman" w:cs="Times New Roman"/>
          <w:sz w:val="22"/>
          <w:szCs w:val="22"/>
          <w:lang w:val="es-MX"/>
        </w:rPr>
      </w:pPr>
      <w:r w:rsidRPr="00156651">
        <w:rPr>
          <w:rFonts w:ascii="Times New Roman" w:hAnsi="Times New Roman" w:cs="Times New Roman"/>
          <w:sz w:val="22"/>
          <w:szCs w:val="22"/>
          <w:lang w:val="es-MX"/>
        </w:rPr>
        <w:t xml:space="preserve">A nivel del Gobierno Central Presupuestario, los ingresos totales preliminares al finalizar el 2022 ascienden al 13.0% del PIB (Q95,255.1 millones), este es un </w:t>
      </w:r>
      <w:r w:rsidR="00CC159D">
        <w:rPr>
          <w:rFonts w:ascii="Times New Roman" w:hAnsi="Times New Roman" w:cs="Times New Roman"/>
          <w:sz w:val="22"/>
          <w:szCs w:val="22"/>
          <w:lang w:val="es-MX"/>
        </w:rPr>
        <w:t>aumento</w:t>
      </w:r>
      <w:r w:rsidRPr="00156651">
        <w:rPr>
          <w:rFonts w:ascii="Times New Roman" w:hAnsi="Times New Roman" w:cs="Times New Roman"/>
          <w:sz w:val="22"/>
          <w:szCs w:val="22"/>
          <w:lang w:val="es-MX"/>
        </w:rPr>
        <w:t xml:space="preserve"> de 0.3 puntos porcentuales del PIB respecto a lo observado en el año previo. Este aumento se produce principalmente por el comportamiento observado de la carga tributaria, la cual asciende a 11.9% PIB (Q87,579.0 millones) y siendo este incremento de 0.3 puntos porcentuales del PIB. Los impuestos más destacables fueron los impuestos sobres los bienes y servicios que equivalen al 7.0% del PIB (51,293.4 millones) y los </w:t>
      </w:r>
      <w:r w:rsidRPr="00156651">
        <w:rPr>
          <w:rFonts w:ascii="Times New Roman" w:hAnsi="Times New Roman" w:cs="Times New Roman"/>
          <w:sz w:val="22"/>
          <w:szCs w:val="22"/>
          <w:lang w:val="es-MX"/>
        </w:rPr>
        <w:lastRenderedPageBreak/>
        <w:t>Impuestos sobre el ingreso, las utilidades y las ganancias de capital que ascienden a 4.3% del PIB (Q31,462.9 millones).</w:t>
      </w:r>
    </w:p>
    <w:p w14:paraId="39AD8B5A" w14:textId="77777777" w:rsidR="00156651" w:rsidRPr="00156651" w:rsidRDefault="00156651" w:rsidP="008D7BB4">
      <w:pPr>
        <w:spacing w:line="276" w:lineRule="auto"/>
        <w:contextualSpacing/>
        <w:jc w:val="both"/>
        <w:rPr>
          <w:rFonts w:ascii="Times New Roman" w:hAnsi="Times New Roman" w:cs="Times New Roman"/>
          <w:sz w:val="22"/>
          <w:szCs w:val="22"/>
          <w:lang w:val="es-MX"/>
        </w:rPr>
      </w:pPr>
    </w:p>
    <w:p w14:paraId="6E267069" w14:textId="4D240D9C" w:rsidR="00156651" w:rsidRPr="00E218AB" w:rsidRDefault="001567F3" w:rsidP="008D7BB4">
      <w:pPr>
        <w:spacing w:line="276" w:lineRule="auto"/>
        <w:contextualSpacing/>
        <w:jc w:val="center"/>
        <w:rPr>
          <w:rFonts w:ascii="Times New Roman" w:hAnsi="Times New Roman" w:cs="Times New Roman"/>
          <w:b/>
          <w:bCs/>
        </w:rPr>
      </w:pPr>
      <w:bookmarkStart w:id="158" w:name="_Toc125534819"/>
      <w:r w:rsidRPr="00FE0B42">
        <w:rPr>
          <w:rFonts w:ascii="Times New Roman" w:hAnsi="Times New Roman" w:cs="Times New Roman"/>
          <w:b/>
          <w:bCs/>
          <w:sz w:val="22"/>
          <w:szCs w:val="22"/>
        </w:rPr>
        <w:t xml:space="preserve">Tabla </w:t>
      </w:r>
      <w:r w:rsidRPr="00FE0B42">
        <w:rPr>
          <w:rFonts w:ascii="Times New Roman" w:hAnsi="Times New Roman" w:cs="Times New Roman"/>
          <w:b/>
          <w:bCs/>
          <w:sz w:val="22"/>
          <w:szCs w:val="22"/>
        </w:rPr>
        <w:fldChar w:fldCharType="begin"/>
      </w:r>
      <w:r w:rsidRPr="00FE0B42">
        <w:rPr>
          <w:rFonts w:ascii="Times New Roman" w:hAnsi="Times New Roman" w:cs="Times New Roman"/>
          <w:b/>
          <w:bCs/>
          <w:sz w:val="22"/>
          <w:szCs w:val="22"/>
        </w:rPr>
        <w:instrText xml:space="preserve"> SEQ Tabla \* ARABIC </w:instrText>
      </w:r>
      <w:r w:rsidRPr="00FE0B42">
        <w:rPr>
          <w:rFonts w:ascii="Times New Roman" w:hAnsi="Times New Roman" w:cs="Times New Roman"/>
          <w:b/>
          <w:bCs/>
          <w:sz w:val="22"/>
          <w:szCs w:val="22"/>
        </w:rPr>
        <w:fldChar w:fldCharType="separate"/>
      </w:r>
      <w:r w:rsidR="006F4BE5">
        <w:rPr>
          <w:rFonts w:ascii="Times New Roman" w:hAnsi="Times New Roman" w:cs="Times New Roman"/>
          <w:b/>
          <w:bCs/>
          <w:noProof/>
          <w:sz w:val="22"/>
          <w:szCs w:val="22"/>
        </w:rPr>
        <w:t>10</w:t>
      </w:r>
      <w:r w:rsidRPr="00FE0B42">
        <w:rPr>
          <w:rFonts w:ascii="Times New Roman" w:hAnsi="Times New Roman" w:cs="Times New Roman"/>
          <w:b/>
          <w:bCs/>
          <w:sz w:val="22"/>
          <w:szCs w:val="22"/>
        </w:rPr>
        <w:fldChar w:fldCharType="end"/>
      </w:r>
      <w:r w:rsidRPr="00FE0B42">
        <w:rPr>
          <w:rFonts w:ascii="Times New Roman" w:hAnsi="Times New Roman" w:cs="Times New Roman"/>
          <w:b/>
          <w:bCs/>
          <w:sz w:val="22"/>
          <w:szCs w:val="22"/>
        </w:rPr>
        <w:t>.</w:t>
      </w:r>
      <w:r w:rsidRPr="00FE0B42">
        <w:rPr>
          <w:sz w:val="22"/>
          <w:szCs w:val="22"/>
        </w:rPr>
        <w:t xml:space="preserve"> </w:t>
      </w:r>
      <w:r w:rsidR="00156651" w:rsidRPr="00E218AB">
        <w:rPr>
          <w:rFonts w:ascii="Times New Roman" w:hAnsi="Times New Roman" w:cs="Times New Roman"/>
          <w:b/>
          <w:bCs/>
        </w:rPr>
        <w:t>Estado de operaciones del Gobierno Central Presupuestario</w:t>
      </w:r>
      <w:bookmarkEnd w:id="158"/>
    </w:p>
    <w:tbl>
      <w:tblPr>
        <w:tblW w:w="8525" w:type="dxa"/>
        <w:jc w:val="center"/>
        <w:tblCellMar>
          <w:left w:w="70" w:type="dxa"/>
          <w:right w:w="70" w:type="dxa"/>
        </w:tblCellMar>
        <w:tblLook w:val="04A0" w:firstRow="1" w:lastRow="0" w:firstColumn="1" w:lastColumn="0" w:noHBand="0" w:noVBand="1"/>
      </w:tblPr>
      <w:tblGrid>
        <w:gridCol w:w="3905"/>
        <w:gridCol w:w="1213"/>
        <w:gridCol w:w="1214"/>
        <w:gridCol w:w="1095"/>
        <w:gridCol w:w="1098"/>
      </w:tblGrid>
      <w:tr w:rsidR="00156651" w:rsidRPr="00156651" w14:paraId="57867CB0" w14:textId="77777777" w:rsidTr="00654363">
        <w:trPr>
          <w:trHeight w:val="323"/>
          <w:jc w:val="center"/>
        </w:trPr>
        <w:tc>
          <w:tcPr>
            <w:tcW w:w="3905" w:type="dxa"/>
            <w:vMerge w:val="restart"/>
            <w:tcBorders>
              <w:top w:val="single" w:sz="8" w:space="0" w:color="auto"/>
              <w:left w:val="single" w:sz="8" w:space="0" w:color="auto"/>
              <w:bottom w:val="single" w:sz="8" w:space="0" w:color="000000"/>
              <w:right w:val="nil"/>
            </w:tcBorders>
            <w:shd w:val="clear" w:color="000000" w:fill="44546A"/>
            <w:noWrap/>
            <w:vAlign w:val="center"/>
            <w:hideMark/>
          </w:tcPr>
          <w:p w14:paraId="2447EFFB" w14:textId="77777777" w:rsidR="00156651" w:rsidRPr="00156651" w:rsidRDefault="00156651" w:rsidP="008D7BB4">
            <w:pPr>
              <w:spacing w:line="276" w:lineRule="auto"/>
              <w:contextualSpacing/>
              <w:jc w:val="center"/>
              <w:rPr>
                <w:rFonts w:ascii="Times New Roman" w:eastAsia="Times New Roman" w:hAnsi="Times New Roman" w:cs="Times New Roman"/>
                <w:b/>
                <w:bCs/>
                <w:color w:val="FFFFFF"/>
                <w:sz w:val="22"/>
                <w:szCs w:val="22"/>
                <w:lang w:eastAsia="es-GT"/>
              </w:rPr>
            </w:pPr>
            <w:r w:rsidRPr="00156651">
              <w:rPr>
                <w:rFonts w:ascii="Times New Roman" w:eastAsia="Times New Roman" w:hAnsi="Times New Roman" w:cs="Times New Roman"/>
                <w:b/>
                <w:bCs/>
                <w:color w:val="FFFFFF"/>
                <w:sz w:val="22"/>
                <w:szCs w:val="22"/>
                <w:lang w:eastAsia="es-GT"/>
              </w:rPr>
              <w:t>Descripción</w:t>
            </w:r>
          </w:p>
        </w:tc>
        <w:tc>
          <w:tcPr>
            <w:tcW w:w="2427" w:type="dxa"/>
            <w:gridSpan w:val="2"/>
            <w:tcBorders>
              <w:top w:val="single" w:sz="8" w:space="0" w:color="auto"/>
              <w:left w:val="single" w:sz="8" w:space="0" w:color="auto"/>
              <w:bottom w:val="single" w:sz="8" w:space="0" w:color="auto"/>
              <w:right w:val="single" w:sz="8" w:space="0" w:color="000000"/>
            </w:tcBorders>
            <w:shd w:val="clear" w:color="000000" w:fill="44546A"/>
            <w:vAlign w:val="center"/>
            <w:hideMark/>
          </w:tcPr>
          <w:p w14:paraId="76CE25AE" w14:textId="77777777" w:rsidR="00156651" w:rsidRPr="00156651" w:rsidRDefault="00156651" w:rsidP="008D7BB4">
            <w:pPr>
              <w:spacing w:line="276" w:lineRule="auto"/>
              <w:contextualSpacing/>
              <w:jc w:val="center"/>
              <w:rPr>
                <w:rFonts w:ascii="Times New Roman" w:eastAsia="Times New Roman" w:hAnsi="Times New Roman" w:cs="Times New Roman"/>
                <w:b/>
                <w:bCs/>
                <w:color w:val="FFFFFF"/>
                <w:sz w:val="22"/>
                <w:szCs w:val="22"/>
                <w:lang w:eastAsia="es-GT"/>
              </w:rPr>
            </w:pPr>
            <w:r w:rsidRPr="00156651">
              <w:rPr>
                <w:rFonts w:ascii="Times New Roman" w:eastAsia="Times New Roman" w:hAnsi="Times New Roman" w:cs="Times New Roman"/>
                <w:b/>
                <w:bCs/>
                <w:color w:val="FFFFFF"/>
                <w:sz w:val="22"/>
                <w:szCs w:val="22"/>
                <w:lang w:eastAsia="es-GT"/>
              </w:rPr>
              <w:t>En millones de Q</w:t>
            </w:r>
          </w:p>
        </w:tc>
        <w:tc>
          <w:tcPr>
            <w:tcW w:w="2193" w:type="dxa"/>
            <w:gridSpan w:val="2"/>
            <w:tcBorders>
              <w:top w:val="single" w:sz="8" w:space="0" w:color="auto"/>
              <w:left w:val="nil"/>
              <w:bottom w:val="single" w:sz="8" w:space="0" w:color="auto"/>
              <w:right w:val="single" w:sz="8" w:space="0" w:color="000000"/>
            </w:tcBorders>
            <w:shd w:val="clear" w:color="000000" w:fill="44546A"/>
            <w:vAlign w:val="center"/>
            <w:hideMark/>
          </w:tcPr>
          <w:p w14:paraId="5D887893" w14:textId="77777777" w:rsidR="00156651" w:rsidRPr="00156651" w:rsidRDefault="00156651" w:rsidP="008D7BB4">
            <w:pPr>
              <w:spacing w:line="276" w:lineRule="auto"/>
              <w:contextualSpacing/>
              <w:jc w:val="center"/>
              <w:rPr>
                <w:rFonts w:ascii="Times New Roman" w:eastAsia="Times New Roman" w:hAnsi="Times New Roman" w:cs="Times New Roman"/>
                <w:b/>
                <w:bCs/>
                <w:color w:val="FFFFFF"/>
                <w:sz w:val="22"/>
                <w:szCs w:val="22"/>
                <w:lang w:eastAsia="es-GT"/>
              </w:rPr>
            </w:pPr>
            <w:r w:rsidRPr="00156651">
              <w:rPr>
                <w:rFonts w:ascii="Times New Roman" w:eastAsia="Times New Roman" w:hAnsi="Times New Roman" w:cs="Times New Roman"/>
                <w:b/>
                <w:bCs/>
                <w:color w:val="FFFFFF"/>
                <w:sz w:val="22"/>
                <w:szCs w:val="22"/>
                <w:lang w:eastAsia="es-GT"/>
              </w:rPr>
              <w:t>Como porcentaje del PIB</w:t>
            </w:r>
          </w:p>
        </w:tc>
      </w:tr>
      <w:tr w:rsidR="00156651" w:rsidRPr="00156651" w14:paraId="7D67C667" w14:textId="77777777" w:rsidTr="00654363">
        <w:trPr>
          <w:trHeight w:val="238"/>
          <w:jc w:val="center"/>
        </w:trPr>
        <w:tc>
          <w:tcPr>
            <w:tcW w:w="3905" w:type="dxa"/>
            <w:vMerge/>
            <w:tcBorders>
              <w:top w:val="single" w:sz="8" w:space="0" w:color="auto"/>
              <w:left w:val="single" w:sz="8" w:space="0" w:color="auto"/>
              <w:bottom w:val="single" w:sz="8" w:space="0" w:color="000000"/>
              <w:right w:val="nil"/>
            </w:tcBorders>
            <w:vAlign w:val="center"/>
            <w:hideMark/>
          </w:tcPr>
          <w:p w14:paraId="5D6A4B3F" w14:textId="77777777" w:rsidR="00156651" w:rsidRPr="00156651" w:rsidRDefault="00156651" w:rsidP="008D7BB4">
            <w:pPr>
              <w:spacing w:line="276" w:lineRule="auto"/>
              <w:contextualSpacing/>
              <w:rPr>
                <w:rFonts w:ascii="Times New Roman" w:eastAsia="Times New Roman" w:hAnsi="Times New Roman" w:cs="Times New Roman"/>
                <w:b/>
                <w:bCs/>
                <w:color w:val="FFFFFF"/>
                <w:sz w:val="22"/>
                <w:szCs w:val="22"/>
                <w:lang w:eastAsia="es-GT"/>
              </w:rPr>
            </w:pPr>
          </w:p>
        </w:tc>
        <w:tc>
          <w:tcPr>
            <w:tcW w:w="1213" w:type="dxa"/>
            <w:tcBorders>
              <w:top w:val="nil"/>
              <w:left w:val="single" w:sz="8" w:space="0" w:color="auto"/>
              <w:bottom w:val="single" w:sz="8" w:space="0" w:color="auto"/>
              <w:right w:val="nil"/>
            </w:tcBorders>
            <w:shd w:val="clear" w:color="000000" w:fill="808080"/>
            <w:vAlign w:val="center"/>
            <w:hideMark/>
          </w:tcPr>
          <w:p w14:paraId="51D58B86" w14:textId="77777777" w:rsidR="00156651" w:rsidRPr="00156651" w:rsidRDefault="00156651" w:rsidP="008D7BB4">
            <w:pPr>
              <w:spacing w:line="276" w:lineRule="auto"/>
              <w:contextualSpacing/>
              <w:jc w:val="center"/>
              <w:rPr>
                <w:rFonts w:ascii="Times New Roman" w:eastAsia="Times New Roman" w:hAnsi="Times New Roman" w:cs="Times New Roman"/>
                <w:b/>
                <w:bCs/>
                <w:color w:val="FFFFFF"/>
                <w:sz w:val="22"/>
                <w:szCs w:val="22"/>
                <w:lang w:eastAsia="es-GT"/>
              </w:rPr>
            </w:pPr>
            <w:r w:rsidRPr="00156651">
              <w:rPr>
                <w:rFonts w:ascii="Times New Roman" w:eastAsia="Times New Roman" w:hAnsi="Times New Roman" w:cs="Times New Roman"/>
                <w:b/>
                <w:bCs/>
                <w:color w:val="FFFFFF"/>
                <w:sz w:val="22"/>
                <w:szCs w:val="22"/>
                <w:lang w:eastAsia="es-GT"/>
              </w:rPr>
              <w:t>2021</w:t>
            </w:r>
          </w:p>
        </w:tc>
        <w:tc>
          <w:tcPr>
            <w:tcW w:w="1214" w:type="dxa"/>
            <w:tcBorders>
              <w:top w:val="nil"/>
              <w:left w:val="nil"/>
              <w:bottom w:val="single" w:sz="8" w:space="0" w:color="auto"/>
              <w:right w:val="single" w:sz="8" w:space="0" w:color="auto"/>
            </w:tcBorders>
            <w:shd w:val="clear" w:color="000000" w:fill="808080"/>
            <w:vAlign w:val="center"/>
            <w:hideMark/>
          </w:tcPr>
          <w:p w14:paraId="08567324" w14:textId="77777777" w:rsidR="00156651" w:rsidRPr="00156651" w:rsidRDefault="00156651" w:rsidP="008D7BB4">
            <w:pPr>
              <w:spacing w:line="276" w:lineRule="auto"/>
              <w:contextualSpacing/>
              <w:jc w:val="center"/>
              <w:rPr>
                <w:rFonts w:ascii="Times New Roman" w:eastAsia="Times New Roman" w:hAnsi="Times New Roman" w:cs="Times New Roman"/>
                <w:b/>
                <w:bCs/>
                <w:color w:val="FFFFFF"/>
                <w:sz w:val="22"/>
                <w:szCs w:val="22"/>
                <w:lang w:eastAsia="es-GT"/>
              </w:rPr>
            </w:pPr>
            <w:r w:rsidRPr="00156651">
              <w:rPr>
                <w:rFonts w:ascii="Times New Roman" w:eastAsia="Times New Roman" w:hAnsi="Times New Roman" w:cs="Times New Roman"/>
                <w:b/>
                <w:bCs/>
                <w:color w:val="FFFFFF"/>
                <w:sz w:val="22"/>
                <w:szCs w:val="22"/>
                <w:lang w:eastAsia="es-GT"/>
              </w:rPr>
              <w:t>2022*</w:t>
            </w:r>
          </w:p>
        </w:tc>
        <w:tc>
          <w:tcPr>
            <w:tcW w:w="1095" w:type="dxa"/>
            <w:tcBorders>
              <w:top w:val="nil"/>
              <w:left w:val="nil"/>
              <w:bottom w:val="single" w:sz="8" w:space="0" w:color="auto"/>
              <w:right w:val="nil"/>
            </w:tcBorders>
            <w:shd w:val="clear" w:color="000000" w:fill="808080"/>
            <w:vAlign w:val="center"/>
            <w:hideMark/>
          </w:tcPr>
          <w:p w14:paraId="778BEF49" w14:textId="77777777" w:rsidR="00156651" w:rsidRPr="00156651" w:rsidRDefault="00156651" w:rsidP="008D7BB4">
            <w:pPr>
              <w:spacing w:line="276" w:lineRule="auto"/>
              <w:contextualSpacing/>
              <w:jc w:val="center"/>
              <w:rPr>
                <w:rFonts w:ascii="Times New Roman" w:eastAsia="Times New Roman" w:hAnsi="Times New Roman" w:cs="Times New Roman"/>
                <w:b/>
                <w:bCs/>
                <w:color w:val="FFFFFF"/>
                <w:sz w:val="22"/>
                <w:szCs w:val="22"/>
                <w:lang w:eastAsia="es-GT"/>
              </w:rPr>
            </w:pPr>
            <w:r w:rsidRPr="00156651">
              <w:rPr>
                <w:rFonts w:ascii="Times New Roman" w:eastAsia="Times New Roman" w:hAnsi="Times New Roman" w:cs="Times New Roman"/>
                <w:b/>
                <w:bCs/>
                <w:color w:val="FFFFFF"/>
                <w:sz w:val="22"/>
                <w:szCs w:val="22"/>
                <w:lang w:eastAsia="es-GT"/>
              </w:rPr>
              <w:t>2021</w:t>
            </w:r>
          </w:p>
        </w:tc>
        <w:tc>
          <w:tcPr>
            <w:tcW w:w="1098" w:type="dxa"/>
            <w:tcBorders>
              <w:top w:val="nil"/>
              <w:left w:val="nil"/>
              <w:bottom w:val="single" w:sz="8" w:space="0" w:color="auto"/>
              <w:right w:val="single" w:sz="8" w:space="0" w:color="auto"/>
            </w:tcBorders>
            <w:shd w:val="clear" w:color="000000" w:fill="808080"/>
            <w:vAlign w:val="center"/>
            <w:hideMark/>
          </w:tcPr>
          <w:p w14:paraId="4E67C119" w14:textId="77777777" w:rsidR="00156651" w:rsidRPr="00156651" w:rsidRDefault="00156651" w:rsidP="008D7BB4">
            <w:pPr>
              <w:spacing w:line="276" w:lineRule="auto"/>
              <w:contextualSpacing/>
              <w:jc w:val="center"/>
              <w:rPr>
                <w:rFonts w:ascii="Times New Roman" w:eastAsia="Times New Roman" w:hAnsi="Times New Roman" w:cs="Times New Roman"/>
                <w:b/>
                <w:bCs/>
                <w:color w:val="FFFFFF"/>
                <w:sz w:val="22"/>
                <w:szCs w:val="22"/>
                <w:lang w:eastAsia="es-GT"/>
              </w:rPr>
            </w:pPr>
            <w:r w:rsidRPr="00156651">
              <w:rPr>
                <w:rFonts w:ascii="Times New Roman" w:eastAsia="Times New Roman" w:hAnsi="Times New Roman" w:cs="Times New Roman"/>
                <w:b/>
                <w:bCs/>
                <w:color w:val="FFFFFF"/>
                <w:sz w:val="22"/>
                <w:szCs w:val="22"/>
                <w:lang w:eastAsia="es-GT"/>
              </w:rPr>
              <w:t>2022*</w:t>
            </w:r>
          </w:p>
        </w:tc>
      </w:tr>
      <w:tr w:rsidR="00156651" w:rsidRPr="00156651" w14:paraId="720330CA" w14:textId="77777777" w:rsidTr="00654363">
        <w:trPr>
          <w:trHeight w:val="238"/>
          <w:jc w:val="center"/>
        </w:trPr>
        <w:tc>
          <w:tcPr>
            <w:tcW w:w="3905" w:type="dxa"/>
            <w:tcBorders>
              <w:top w:val="nil"/>
              <w:left w:val="nil"/>
              <w:bottom w:val="nil"/>
              <w:right w:val="nil"/>
            </w:tcBorders>
            <w:shd w:val="clear" w:color="auto" w:fill="auto"/>
            <w:noWrap/>
            <w:vAlign w:val="center"/>
            <w:hideMark/>
          </w:tcPr>
          <w:p w14:paraId="113353F5" w14:textId="77777777" w:rsidR="00156651" w:rsidRPr="00156651" w:rsidRDefault="00156651" w:rsidP="008D7BB4">
            <w:pPr>
              <w:spacing w:line="276" w:lineRule="auto"/>
              <w:contextualSpacing/>
              <w:jc w:val="both"/>
              <w:rPr>
                <w:rFonts w:ascii="Times New Roman" w:eastAsia="Times New Roman" w:hAnsi="Times New Roman" w:cs="Times New Roman"/>
                <w:b/>
                <w:bCs/>
                <w:color w:val="000000"/>
                <w:sz w:val="22"/>
                <w:szCs w:val="22"/>
                <w:lang w:eastAsia="es-GT"/>
              </w:rPr>
            </w:pPr>
            <w:r w:rsidRPr="00156651">
              <w:rPr>
                <w:rFonts w:ascii="Times New Roman" w:eastAsia="Times New Roman" w:hAnsi="Times New Roman" w:cs="Times New Roman"/>
                <w:b/>
                <w:bCs/>
                <w:color w:val="000000"/>
                <w:sz w:val="22"/>
                <w:szCs w:val="22"/>
                <w:lang w:eastAsia="es-GT"/>
              </w:rPr>
              <w:t>INGRESO</w:t>
            </w:r>
          </w:p>
        </w:tc>
        <w:tc>
          <w:tcPr>
            <w:tcW w:w="1213" w:type="dxa"/>
            <w:tcBorders>
              <w:top w:val="nil"/>
              <w:left w:val="nil"/>
              <w:bottom w:val="nil"/>
              <w:right w:val="nil"/>
            </w:tcBorders>
            <w:shd w:val="clear" w:color="auto" w:fill="auto"/>
            <w:noWrap/>
            <w:vAlign w:val="center"/>
            <w:hideMark/>
          </w:tcPr>
          <w:p w14:paraId="79289F43"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156651">
              <w:rPr>
                <w:rFonts w:ascii="Times New Roman" w:hAnsi="Times New Roman" w:cs="Times New Roman"/>
                <w:b/>
                <w:bCs/>
                <w:color w:val="000000"/>
                <w:sz w:val="22"/>
                <w:szCs w:val="22"/>
              </w:rPr>
              <w:t>84,360.5</w:t>
            </w:r>
          </w:p>
        </w:tc>
        <w:tc>
          <w:tcPr>
            <w:tcW w:w="1214" w:type="dxa"/>
            <w:tcBorders>
              <w:top w:val="nil"/>
              <w:left w:val="nil"/>
              <w:bottom w:val="nil"/>
              <w:right w:val="nil"/>
            </w:tcBorders>
            <w:shd w:val="clear" w:color="auto" w:fill="auto"/>
            <w:noWrap/>
            <w:vAlign w:val="center"/>
            <w:hideMark/>
          </w:tcPr>
          <w:p w14:paraId="2672D590"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156651">
              <w:rPr>
                <w:rFonts w:ascii="Times New Roman" w:hAnsi="Times New Roman" w:cs="Times New Roman"/>
                <w:b/>
                <w:bCs/>
                <w:color w:val="000000"/>
                <w:sz w:val="22"/>
                <w:szCs w:val="22"/>
              </w:rPr>
              <w:t>95,255.1</w:t>
            </w:r>
          </w:p>
        </w:tc>
        <w:tc>
          <w:tcPr>
            <w:tcW w:w="1095" w:type="dxa"/>
            <w:tcBorders>
              <w:top w:val="nil"/>
              <w:left w:val="dotDash" w:sz="4" w:space="0" w:color="auto"/>
              <w:bottom w:val="nil"/>
              <w:right w:val="nil"/>
            </w:tcBorders>
            <w:shd w:val="clear" w:color="auto" w:fill="auto"/>
            <w:noWrap/>
            <w:vAlign w:val="center"/>
            <w:hideMark/>
          </w:tcPr>
          <w:p w14:paraId="1E77B17B"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156651">
              <w:rPr>
                <w:rFonts w:ascii="Times New Roman" w:hAnsi="Times New Roman" w:cs="Times New Roman"/>
                <w:b/>
                <w:bCs/>
                <w:color w:val="000000"/>
                <w:sz w:val="22"/>
                <w:szCs w:val="22"/>
              </w:rPr>
              <w:t>12.7</w:t>
            </w:r>
          </w:p>
        </w:tc>
        <w:tc>
          <w:tcPr>
            <w:tcW w:w="1098" w:type="dxa"/>
            <w:tcBorders>
              <w:top w:val="nil"/>
              <w:left w:val="nil"/>
              <w:bottom w:val="nil"/>
              <w:right w:val="nil"/>
            </w:tcBorders>
            <w:shd w:val="clear" w:color="auto" w:fill="auto"/>
            <w:noWrap/>
            <w:vAlign w:val="center"/>
            <w:hideMark/>
          </w:tcPr>
          <w:p w14:paraId="70E0900D"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156651">
              <w:rPr>
                <w:rFonts w:ascii="Times New Roman" w:hAnsi="Times New Roman" w:cs="Times New Roman"/>
                <w:b/>
                <w:bCs/>
                <w:color w:val="000000"/>
                <w:sz w:val="22"/>
                <w:szCs w:val="22"/>
              </w:rPr>
              <w:t>13.0</w:t>
            </w:r>
          </w:p>
        </w:tc>
      </w:tr>
      <w:tr w:rsidR="00156651" w:rsidRPr="00156651" w14:paraId="0E5BE67E" w14:textId="77777777" w:rsidTr="00654363">
        <w:trPr>
          <w:trHeight w:val="238"/>
          <w:jc w:val="center"/>
        </w:trPr>
        <w:tc>
          <w:tcPr>
            <w:tcW w:w="3905" w:type="dxa"/>
            <w:tcBorders>
              <w:top w:val="nil"/>
              <w:left w:val="nil"/>
              <w:bottom w:val="nil"/>
              <w:right w:val="nil"/>
            </w:tcBorders>
            <w:shd w:val="clear" w:color="auto" w:fill="auto"/>
            <w:noWrap/>
            <w:vAlign w:val="center"/>
            <w:hideMark/>
          </w:tcPr>
          <w:p w14:paraId="7F73AF23" w14:textId="77777777" w:rsidR="00156651" w:rsidRPr="00156651" w:rsidRDefault="00156651" w:rsidP="008D7BB4">
            <w:pPr>
              <w:spacing w:line="276" w:lineRule="auto"/>
              <w:ind w:firstLineChars="100" w:firstLine="220"/>
              <w:contextualSpacing/>
              <w:rPr>
                <w:rFonts w:ascii="Times New Roman" w:eastAsia="Times New Roman" w:hAnsi="Times New Roman" w:cs="Times New Roman"/>
                <w:color w:val="000000"/>
                <w:sz w:val="22"/>
                <w:szCs w:val="22"/>
                <w:lang w:eastAsia="es-GT"/>
              </w:rPr>
            </w:pPr>
            <w:r w:rsidRPr="00156651">
              <w:rPr>
                <w:rFonts w:ascii="Times New Roman" w:eastAsia="Times New Roman" w:hAnsi="Times New Roman" w:cs="Times New Roman"/>
                <w:color w:val="000000"/>
                <w:sz w:val="22"/>
                <w:szCs w:val="22"/>
                <w:lang w:eastAsia="es-GT"/>
              </w:rPr>
              <w:t>Impuestos</w:t>
            </w:r>
          </w:p>
        </w:tc>
        <w:tc>
          <w:tcPr>
            <w:tcW w:w="1213" w:type="dxa"/>
            <w:tcBorders>
              <w:top w:val="nil"/>
              <w:left w:val="nil"/>
              <w:bottom w:val="nil"/>
              <w:right w:val="nil"/>
            </w:tcBorders>
            <w:shd w:val="clear" w:color="auto" w:fill="auto"/>
            <w:noWrap/>
            <w:vAlign w:val="center"/>
            <w:hideMark/>
          </w:tcPr>
          <w:p w14:paraId="1412D85D"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77,292.1</w:t>
            </w:r>
          </w:p>
        </w:tc>
        <w:tc>
          <w:tcPr>
            <w:tcW w:w="1214" w:type="dxa"/>
            <w:tcBorders>
              <w:top w:val="nil"/>
              <w:left w:val="nil"/>
              <w:bottom w:val="nil"/>
              <w:right w:val="nil"/>
            </w:tcBorders>
            <w:shd w:val="clear" w:color="auto" w:fill="auto"/>
            <w:noWrap/>
            <w:vAlign w:val="center"/>
            <w:hideMark/>
          </w:tcPr>
          <w:p w14:paraId="32032AFF"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87,579.0</w:t>
            </w:r>
          </w:p>
        </w:tc>
        <w:tc>
          <w:tcPr>
            <w:tcW w:w="1095" w:type="dxa"/>
            <w:tcBorders>
              <w:top w:val="nil"/>
              <w:left w:val="dotDash" w:sz="4" w:space="0" w:color="auto"/>
              <w:bottom w:val="nil"/>
              <w:right w:val="nil"/>
            </w:tcBorders>
            <w:shd w:val="clear" w:color="auto" w:fill="auto"/>
            <w:noWrap/>
            <w:vAlign w:val="center"/>
            <w:hideMark/>
          </w:tcPr>
          <w:p w14:paraId="3E954FDB"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11.6</w:t>
            </w:r>
          </w:p>
        </w:tc>
        <w:tc>
          <w:tcPr>
            <w:tcW w:w="1098" w:type="dxa"/>
            <w:tcBorders>
              <w:top w:val="nil"/>
              <w:left w:val="nil"/>
              <w:bottom w:val="nil"/>
              <w:right w:val="nil"/>
            </w:tcBorders>
            <w:shd w:val="clear" w:color="auto" w:fill="auto"/>
            <w:noWrap/>
            <w:vAlign w:val="center"/>
            <w:hideMark/>
          </w:tcPr>
          <w:p w14:paraId="01254886"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11.9</w:t>
            </w:r>
          </w:p>
        </w:tc>
      </w:tr>
      <w:tr w:rsidR="00156651" w:rsidRPr="00156651" w14:paraId="2058738C" w14:textId="77777777" w:rsidTr="00654363">
        <w:trPr>
          <w:trHeight w:val="238"/>
          <w:jc w:val="center"/>
        </w:trPr>
        <w:tc>
          <w:tcPr>
            <w:tcW w:w="3905" w:type="dxa"/>
            <w:tcBorders>
              <w:top w:val="nil"/>
              <w:left w:val="nil"/>
              <w:bottom w:val="nil"/>
              <w:right w:val="nil"/>
            </w:tcBorders>
            <w:shd w:val="clear" w:color="auto" w:fill="auto"/>
            <w:noWrap/>
            <w:vAlign w:val="center"/>
            <w:hideMark/>
          </w:tcPr>
          <w:p w14:paraId="76A630E2" w14:textId="77777777" w:rsidR="00156651" w:rsidRPr="00156651" w:rsidRDefault="00156651" w:rsidP="008D7BB4">
            <w:pPr>
              <w:spacing w:line="276" w:lineRule="auto"/>
              <w:ind w:firstLineChars="100" w:firstLine="220"/>
              <w:contextualSpacing/>
              <w:rPr>
                <w:rFonts w:ascii="Times New Roman" w:eastAsia="Times New Roman" w:hAnsi="Times New Roman" w:cs="Times New Roman"/>
                <w:color w:val="000000"/>
                <w:sz w:val="22"/>
                <w:szCs w:val="22"/>
                <w:lang w:eastAsia="es-GT"/>
              </w:rPr>
            </w:pPr>
            <w:r w:rsidRPr="00156651">
              <w:rPr>
                <w:rFonts w:ascii="Times New Roman" w:eastAsia="Times New Roman" w:hAnsi="Times New Roman" w:cs="Times New Roman"/>
                <w:color w:val="000000"/>
                <w:sz w:val="22"/>
                <w:szCs w:val="22"/>
                <w:lang w:eastAsia="es-GT"/>
              </w:rPr>
              <w:t xml:space="preserve">Contribuciones sociales </w:t>
            </w:r>
          </w:p>
        </w:tc>
        <w:tc>
          <w:tcPr>
            <w:tcW w:w="1213" w:type="dxa"/>
            <w:tcBorders>
              <w:top w:val="nil"/>
              <w:left w:val="nil"/>
              <w:bottom w:val="nil"/>
              <w:right w:val="nil"/>
            </w:tcBorders>
            <w:shd w:val="clear" w:color="auto" w:fill="auto"/>
            <w:noWrap/>
            <w:vAlign w:val="center"/>
            <w:hideMark/>
          </w:tcPr>
          <w:p w14:paraId="60AE53E2"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5,007.3</w:t>
            </w:r>
          </w:p>
        </w:tc>
        <w:tc>
          <w:tcPr>
            <w:tcW w:w="1214" w:type="dxa"/>
            <w:tcBorders>
              <w:top w:val="nil"/>
              <w:left w:val="nil"/>
              <w:bottom w:val="nil"/>
              <w:right w:val="nil"/>
            </w:tcBorders>
            <w:shd w:val="clear" w:color="auto" w:fill="auto"/>
            <w:noWrap/>
            <w:vAlign w:val="center"/>
            <w:hideMark/>
          </w:tcPr>
          <w:p w14:paraId="1AD4FE6A"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5,181.1</w:t>
            </w:r>
          </w:p>
        </w:tc>
        <w:tc>
          <w:tcPr>
            <w:tcW w:w="1095" w:type="dxa"/>
            <w:tcBorders>
              <w:top w:val="nil"/>
              <w:left w:val="dotDash" w:sz="4" w:space="0" w:color="auto"/>
              <w:bottom w:val="nil"/>
              <w:right w:val="nil"/>
            </w:tcBorders>
            <w:shd w:val="clear" w:color="auto" w:fill="auto"/>
            <w:noWrap/>
            <w:vAlign w:val="center"/>
            <w:hideMark/>
          </w:tcPr>
          <w:p w14:paraId="7830DEE7"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0.8</w:t>
            </w:r>
          </w:p>
        </w:tc>
        <w:tc>
          <w:tcPr>
            <w:tcW w:w="1098" w:type="dxa"/>
            <w:tcBorders>
              <w:top w:val="nil"/>
              <w:left w:val="nil"/>
              <w:bottom w:val="nil"/>
              <w:right w:val="nil"/>
            </w:tcBorders>
            <w:shd w:val="clear" w:color="auto" w:fill="auto"/>
            <w:noWrap/>
            <w:vAlign w:val="center"/>
            <w:hideMark/>
          </w:tcPr>
          <w:p w14:paraId="05E43F2E"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0.8</w:t>
            </w:r>
          </w:p>
        </w:tc>
      </w:tr>
      <w:tr w:rsidR="00156651" w:rsidRPr="00156651" w14:paraId="5FCC3A6C" w14:textId="77777777" w:rsidTr="00654363">
        <w:trPr>
          <w:trHeight w:val="238"/>
          <w:jc w:val="center"/>
        </w:trPr>
        <w:tc>
          <w:tcPr>
            <w:tcW w:w="3905" w:type="dxa"/>
            <w:tcBorders>
              <w:top w:val="nil"/>
              <w:left w:val="nil"/>
              <w:bottom w:val="nil"/>
              <w:right w:val="nil"/>
            </w:tcBorders>
            <w:shd w:val="clear" w:color="auto" w:fill="auto"/>
            <w:noWrap/>
            <w:vAlign w:val="center"/>
            <w:hideMark/>
          </w:tcPr>
          <w:p w14:paraId="7C557F4C" w14:textId="77777777" w:rsidR="00156651" w:rsidRPr="00156651" w:rsidRDefault="00156651" w:rsidP="008D7BB4">
            <w:pPr>
              <w:spacing w:line="276" w:lineRule="auto"/>
              <w:ind w:firstLineChars="100" w:firstLine="220"/>
              <w:contextualSpacing/>
              <w:rPr>
                <w:rFonts w:ascii="Times New Roman" w:eastAsia="Times New Roman" w:hAnsi="Times New Roman" w:cs="Times New Roman"/>
                <w:color w:val="000000"/>
                <w:sz w:val="22"/>
                <w:szCs w:val="22"/>
                <w:lang w:eastAsia="es-GT"/>
              </w:rPr>
            </w:pPr>
            <w:r w:rsidRPr="00156651">
              <w:rPr>
                <w:rFonts w:ascii="Times New Roman" w:eastAsia="Times New Roman" w:hAnsi="Times New Roman" w:cs="Times New Roman"/>
                <w:color w:val="000000"/>
                <w:sz w:val="22"/>
                <w:szCs w:val="22"/>
                <w:lang w:eastAsia="es-GT"/>
              </w:rPr>
              <w:t>Donaciones</w:t>
            </w:r>
          </w:p>
        </w:tc>
        <w:tc>
          <w:tcPr>
            <w:tcW w:w="1213" w:type="dxa"/>
            <w:tcBorders>
              <w:top w:val="nil"/>
              <w:left w:val="nil"/>
              <w:bottom w:val="nil"/>
              <w:right w:val="nil"/>
            </w:tcBorders>
            <w:shd w:val="clear" w:color="auto" w:fill="auto"/>
            <w:noWrap/>
            <w:vAlign w:val="center"/>
            <w:hideMark/>
          </w:tcPr>
          <w:p w14:paraId="770184B6"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184.9</w:t>
            </w:r>
          </w:p>
        </w:tc>
        <w:tc>
          <w:tcPr>
            <w:tcW w:w="1214" w:type="dxa"/>
            <w:tcBorders>
              <w:top w:val="nil"/>
              <w:left w:val="nil"/>
              <w:bottom w:val="nil"/>
              <w:right w:val="nil"/>
            </w:tcBorders>
            <w:shd w:val="clear" w:color="auto" w:fill="auto"/>
            <w:noWrap/>
            <w:vAlign w:val="center"/>
            <w:hideMark/>
          </w:tcPr>
          <w:p w14:paraId="104D2EEF"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114.9</w:t>
            </w:r>
          </w:p>
        </w:tc>
        <w:tc>
          <w:tcPr>
            <w:tcW w:w="1095" w:type="dxa"/>
            <w:tcBorders>
              <w:top w:val="nil"/>
              <w:left w:val="dotDash" w:sz="4" w:space="0" w:color="auto"/>
              <w:bottom w:val="nil"/>
              <w:right w:val="nil"/>
            </w:tcBorders>
            <w:shd w:val="clear" w:color="auto" w:fill="auto"/>
            <w:noWrap/>
            <w:vAlign w:val="center"/>
            <w:hideMark/>
          </w:tcPr>
          <w:p w14:paraId="7C0E4131"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0.0</w:t>
            </w:r>
          </w:p>
        </w:tc>
        <w:tc>
          <w:tcPr>
            <w:tcW w:w="1098" w:type="dxa"/>
            <w:tcBorders>
              <w:top w:val="nil"/>
              <w:left w:val="nil"/>
              <w:bottom w:val="nil"/>
              <w:right w:val="nil"/>
            </w:tcBorders>
            <w:shd w:val="clear" w:color="auto" w:fill="auto"/>
            <w:noWrap/>
            <w:vAlign w:val="center"/>
            <w:hideMark/>
          </w:tcPr>
          <w:p w14:paraId="49E7E1BF"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0.0</w:t>
            </w:r>
          </w:p>
        </w:tc>
      </w:tr>
      <w:tr w:rsidR="00156651" w:rsidRPr="00156651" w14:paraId="437F7C8F" w14:textId="77777777" w:rsidTr="00654363">
        <w:trPr>
          <w:trHeight w:val="238"/>
          <w:jc w:val="center"/>
        </w:trPr>
        <w:tc>
          <w:tcPr>
            <w:tcW w:w="3905" w:type="dxa"/>
            <w:tcBorders>
              <w:top w:val="nil"/>
              <w:left w:val="nil"/>
              <w:bottom w:val="nil"/>
              <w:right w:val="nil"/>
            </w:tcBorders>
            <w:shd w:val="clear" w:color="auto" w:fill="auto"/>
            <w:noWrap/>
            <w:vAlign w:val="center"/>
            <w:hideMark/>
          </w:tcPr>
          <w:p w14:paraId="38EA1980" w14:textId="77777777" w:rsidR="00156651" w:rsidRPr="00156651" w:rsidRDefault="00156651" w:rsidP="008D7BB4">
            <w:pPr>
              <w:spacing w:line="276" w:lineRule="auto"/>
              <w:ind w:firstLineChars="100" w:firstLine="220"/>
              <w:contextualSpacing/>
              <w:rPr>
                <w:rFonts w:ascii="Times New Roman" w:eastAsia="Times New Roman" w:hAnsi="Times New Roman" w:cs="Times New Roman"/>
                <w:color w:val="000000"/>
                <w:sz w:val="22"/>
                <w:szCs w:val="22"/>
                <w:lang w:eastAsia="es-GT"/>
              </w:rPr>
            </w:pPr>
            <w:r w:rsidRPr="00156651">
              <w:rPr>
                <w:rFonts w:ascii="Times New Roman" w:eastAsia="Times New Roman" w:hAnsi="Times New Roman" w:cs="Times New Roman"/>
                <w:color w:val="000000"/>
                <w:sz w:val="22"/>
                <w:szCs w:val="22"/>
                <w:lang w:eastAsia="es-GT"/>
              </w:rPr>
              <w:t xml:space="preserve">Otros ingresos </w:t>
            </w:r>
          </w:p>
        </w:tc>
        <w:tc>
          <w:tcPr>
            <w:tcW w:w="1213" w:type="dxa"/>
            <w:tcBorders>
              <w:top w:val="nil"/>
              <w:left w:val="nil"/>
              <w:bottom w:val="nil"/>
              <w:right w:val="nil"/>
            </w:tcBorders>
            <w:shd w:val="clear" w:color="auto" w:fill="auto"/>
            <w:noWrap/>
            <w:vAlign w:val="center"/>
            <w:hideMark/>
          </w:tcPr>
          <w:p w14:paraId="07E11C4B"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1,876.3</w:t>
            </w:r>
          </w:p>
        </w:tc>
        <w:tc>
          <w:tcPr>
            <w:tcW w:w="1214" w:type="dxa"/>
            <w:tcBorders>
              <w:top w:val="nil"/>
              <w:left w:val="nil"/>
              <w:bottom w:val="nil"/>
              <w:right w:val="nil"/>
            </w:tcBorders>
            <w:shd w:val="clear" w:color="auto" w:fill="auto"/>
            <w:noWrap/>
            <w:vAlign w:val="center"/>
            <w:hideMark/>
          </w:tcPr>
          <w:p w14:paraId="62072616"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2,380.2</w:t>
            </w:r>
          </w:p>
        </w:tc>
        <w:tc>
          <w:tcPr>
            <w:tcW w:w="1095" w:type="dxa"/>
            <w:tcBorders>
              <w:top w:val="nil"/>
              <w:left w:val="dotDash" w:sz="4" w:space="0" w:color="auto"/>
              <w:bottom w:val="nil"/>
              <w:right w:val="nil"/>
            </w:tcBorders>
            <w:shd w:val="clear" w:color="auto" w:fill="auto"/>
            <w:noWrap/>
            <w:vAlign w:val="center"/>
            <w:hideMark/>
          </w:tcPr>
          <w:p w14:paraId="474D06B7"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0.3</w:t>
            </w:r>
          </w:p>
        </w:tc>
        <w:tc>
          <w:tcPr>
            <w:tcW w:w="1098" w:type="dxa"/>
            <w:tcBorders>
              <w:top w:val="nil"/>
              <w:left w:val="nil"/>
              <w:bottom w:val="nil"/>
              <w:right w:val="nil"/>
            </w:tcBorders>
            <w:shd w:val="clear" w:color="auto" w:fill="auto"/>
            <w:noWrap/>
            <w:vAlign w:val="center"/>
            <w:hideMark/>
          </w:tcPr>
          <w:p w14:paraId="71076375"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0.3</w:t>
            </w:r>
          </w:p>
        </w:tc>
      </w:tr>
      <w:tr w:rsidR="00156651" w:rsidRPr="00156651" w14:paraId="07114D58" w14:textId="77777777" w:rsidTr="00654363">
        <w:trPr>
          <w:trHeight w:val="238"/>
          <w:jc w:val="center"/>
        </w:trPr>
        <w:tc>
          <w:tcPr>
            <w:tcW w:w="3905" w:type="dxa"/>
            <w:tcBorders>
              <w:top w:val="nil"/>
              <w:left w:val="nil"/>
              <w:bottom w:val="nil"/>
              <w:right w:val="nil"/>
            </w:tcBorders>
            <w:shd w:val="clear" w:color="auto" w:fill="auto"/>
            <w:noWrap/>
            <w:vAlign w:val="center"/>
            <w:hideMark/>
          </w:tcPr>
          <w:p w14:paraId="0CDA59F0" w14:textId="77777777" w:rsidR="00156651" w:rsidRPr="00156651" w:rsidRDefault="00156651" w:rsidP="008D7BB4">
            <w:pPr>
              <w:spacing w:line="276" w:lineRule="auto"/>
              <w:contextualSpacing/>
              <w:jc w:val="both"/>
              <w:rPr>
                <w:rFonts w:ascii="Times New Roman" w:eastAsia="Times New Roman" w:hAnsi="Times New Roman" w:cs="Times New Roman"/>
                <w:b/>
                <w:bCs/>
                <w:color w:val="000000"/>
                <w:sz w:val="22"/>
                <w:szCs w:val="22"/>
                <w:lang w:eastAsia="es-GT"/>
              </w:rPr>
            </w:pPr>
            <w:r w:rsidRPr="00156651">
              <w:rPr>
                <w:rFonts w:ascii="Times New Roman" w:eastAsia="Times New Roman" w:hAnsi="Times New Roman" w:cs="Times New Roman"/>
                <w:b/>
                <w:bCs/>
                <w:color w:val="000000"/>
                <w:sz w:val="22"/>
                <w:szCs w:val="22"/>
                <w:lang w:eastAsia="es-GT"/>
              </w:rPr>
              <w:t>GASTO</w:t>
            </w:r>
          </w:p>
        </w:tc>
        <w:tc>
          <w:tcPr>
            <w:tcW w:w="1213" w:type="dxa"/>
            <w:tcBorders>
              <w:top w:val="nil"/>
              <w:left w:val="nil"/>
              <w:bottom w:val="nil"/>
              <w:right w:val="nil"/>
            </w:tcBorders>
            <w:shd w:val="clear" w:color="auto" w:fill="auto"/>
            <w:noWrap/>
            <w:vAlign w:val="center"/>
            <w:hideMark/>
          </w:tcPr>
          <w:p w14:paraId="2FB8F374"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156651">
              <w:rPr>
                <w:rFonts w:ascii="Times New Roman" w:hAnsi="Times New Roman" w:cs="Times New Roman"/>
                <w:b/>
                <w:bCs/>
                <w:color w:val="000000"/>
                <w:sz w:val="22"/>
                <w:szCs w:val="22"/>
              </w:rPr>
              <w:t>88,294.8</w:t>
            </w:r>
          </w:p>
        </w:tc>
        <w:tc>
          <w:tcPr>
            <w:tcW w:w="1214" w:type="dxa"/>
            <w:tcBorders>
              <w:top w:val="nil"/>
              <w:left w:val="nil"/>
              <w:bottom w:val="nil"/>
              <w:right w:val="nil"/>
            </w:tcBorders>
            <w:shd w:val="clear" w:color="auto" w:fill="auto"/>
            <w:noWrap/>
            <w:vAlign w:val="center"/>
            <w:hideMark/>
          </w:tcPr>
          <w:p w14:paraId="65606382"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156651">
              <w:rPr>
                <w:rFonts w:ascii="Times New Roman" w:hAnsi="Times New Roman" w:cs="Times New Roman"/>
                <w:b/>
                <w:bCs/>
                <w:color w:val="000000"/>
                <w:sz w:val="22"/>
                <w:szCs w:val="22"/>
              </w:rPr>
              <w:t>103,298.7</w:t>
            </w:r>
          </w:p>
        </w:tc>
        <w:tc>
          <w:tcPr>
            <w:tcW w:w="1095" w:type="dxa"/>
            <w:tcBorders>
              <w:top w:val="nil"/>
              <w:left w:val="dotDash" w:sz="4" w:space="0" w:color="auto"/>
              <w:bottom w:val="nil"/>
              <w:right w:val="nil"/>
            </w:tcBorders>
            <w:shd w:val="clear" w:color="auto" w:fill="auto"/>
            <w:noWrap/>
            <w:vAlign w:val="center"/>
            <w:hideMark/>
          </w:tcPr>
          <w:p w14:paraId="3DD65F2C"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156651">
              <w:rPr>
                <w:rFonts w:ascii="Times New Roman" w:hAnsi="Times New Roman" w:cs="Times New Roman"/>
                <w:b/>
                <w:bCs/>
                <w:color w:val="000000"/>
                <w:sz w:val="22"/>
                <w:szCs w:val="22"/>
              </w:rPr>
              <w:t>13.3</w:t>
            </w:r>
          </w:p>
        </w:tc>
        <w:tc>
          <w:tcPr>
            <w:tcW w:w="1098" w:type="dxa"/>
            <w:tcBorders>
              <w:top w:val="nil"/>
              <w:left w:val="nil"/>
              <w:bottom w:val="nil"/>
              <w:right w:val="nil"/>
            </w:tcBorders>
            <w:shd w:val="clear" w:color="auto" w:fill="auto"/>
            <w:noWrap/>
            <w:vAlign w:val="center"/>
            <w:hideMark/>
          </w:tcPr>
          <w:p w14:paraId="640DF8DE"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156651">
              <w:rPr>
                <w:rFonts w:ascii="Times New Roman" w:hAnsi="Times New Roman" w:cs="Times New Roman"/>
                <w:b/>
                <w:bCs/>
                <w:color w:val="000000"/>
                <w:sz w:val="22"/>
                <w:szCs w:val="22"/>
              </w:rPr>
              <w:t>14.1</w:t>
            </w:r>
          </w:p>
        </w:tc>
      </w:tr>
      <w:tr w:rsidR="00156651" w:rsidRPr="00156651" w14:paraId="6770D9A3" w14:textId="77777777" w:rsidTr="00654363">
        <w:trPr>
          <w:trHeight w:val="238"/>
          <w:jc w:val="center"/>
        </w:trPr>
        <w:tc>
          <w:tcPr>
            <w:tcW w:w="3905" w:type="dxa"/>
            <w:tcBorders>
              <w:top w:val="nil"/>
              <w:left w:val="nil"/>
              <w:bottom w:val="nil"/>
              <w:right w:val="nil"/>
            </w:tcBorders>
            <w:shd w:val="clear" w:color="auto" w:fill="auto"/>
            <w:noWrap/>
            <w:vAlign w:val="center"/>
            <w:hideMark/>
          </w:tcPr>
          <w:p w14:paraId="3DD0E3A3" w14:textId="77777777" w:rsidR="00156651" w:rsidRPr="00156651" w:rsidRDefault="00156651" w:rsidP="008D7BB4">
            <w:pPr>
              <w:spacing w:line="276" w:lineRule="auto"/>
              <w:ind w:firstLineChars="100" w:firstLine="220"/>
              <w:contextualSpacing/>
              <w:rPr>
                <w:rFonts w:ascii="Times New Roman" w:eastAsia="Times New Roman" w:hAnsi="Times New Roman" w:cs="Times New Roman"/>
                <w:color w:val="000000"/>
                <w:sz w:val="22"/>
                <w:szCs w:val="22"/>
                <w:lang w:eastAsia="es-GT"/>
              </w:rPr>
            </w:pPr>
            <w:r w:rsidRPr="00156651">
              <w:rPr>
                <w:rFonts w:ascii="Times New Roman" w:eastAsia="Times New Roman" w:hAnsi="Times New Roman" w:cs="Times New Roman"/>
                <w:color w:val="000000"/>
                <w:sz w:val="22"/>
                <w:szCs w:val="22"/>
                <w:lang w:eastAsia="es-GT"/>
              </w:rPr>
              <w:t xml:space="preserve">Remuneración a los empleados </w:t>
            </w:r>
          </w:p>
        </w:tc>
        <w:tc>
          <w:tcPr>
            <w:tcW w:w="1213" w:type="dxa"/>
            <w:tcBorders>
              <w:top w:val="nil"/>
              <w:left w:val="nil"/>
              <w:bottom w:val="nil"/>
              <w:right w:val="nil"/>
            </w:tcBorders>
            <w:shd w:val="clear" w:color="auto" w:fill="auto"/>
            <w:noWrap/>
            <w:vAlign w:val="center"/>
            <w:hideMark/>
          </w:tcPr>
          <w:p w14:paraId="11B9C6AC"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30,875.9</w:t>
            </w:r>
          </w:p>
        </w:tc>
        <w:tc>
          <w:tcPr>
            <w:tcW w:w="1214" w:type="dxa"/>
            <w:tcBorders>
              <w:top w:val="nil"/>
              <w:left w:val="nil"/>
              <w:bottom w:val="nil"/>
              <w:right w:val="nil"/>
            </w:tcBorders>
            <w:shd w:val="clear" w:color="auto" w:fill="auto"/>
            <w:noWrap/>
            <w:vAlign w:val="center"/>
            <w:hideMark/>
          </w:tcPr>
          <w:p w14:paraId="1F0781E3"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32,268.8</w:t>
            </w:r>
          </w:p>
        </w:tc>
        <w:tc>
          <w:tcPr>
            <w:tcW w:w="1095" w:type="dxa"/>
            <w:tcBorders>
              <w:top w:val="nil"/>
              <w:left w:val="dotDash" w:sz="4" w:space="0" w:color="auto"/>
              <w:bottom w:val="nil"/>
              <w:right w:val="nil"/>
            </w:tcBorders>
            <w:shd w:val="clear" w:color="auto" w:fill="auto"/>
            <w:noWrap/>
            <w:vAlign w:val="center"/>
            <w:hideMark/>
          </w:tcPr>
          <w:p w14:paraId="7E0EAD4A"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4.6</w:t>
            </w:r>
          </w:p>
        </w:tc>
        <w:tc>
          <w:tcPr>
            <w:tcW w:w="1098" w:type="dxa"/>
            <w:tcBorders>
              <w:top w:val="nil"/>
              <w:left w:val="nil"/>
              <w:bottom w:val="nil"/>
              <w:right w:val="nil"/>
            </w:tcBorders>
            <w:shd w:val="clear" w:color="auto" w:fill="auto"/>
            <w:noWrap/>
            <w:vAlign w:val="center"/>
            <w:hideMark/>
          </w:tcPr>
          <w:p w14:paraId="141AE932"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4.4</w:t>
            </w:r>
          </w:p>
        </w:tc>
      </w:tr>
      <w:tr w:rsidR="00156651" w:rsidRPr="00156651" w14:paraId="5441FE88" w14:textId="77777777" w:rsidTr="00654363">
        <w:trPr>
          <w:trHeight w:val="238"/>
          <w:jc w:val="center"/>
        </w:trPr>
        <w:tc>
          <w:tcPr>
            <w:tcW w:w="3905" w:type="dxa"/>
            <w:tcBorders>
              <w:top w:val="nil"/>
              <w:left w:val="nil"/>
              <w:bottom w:val="nil"/>
              <w:right w:val="nil"/>
            </w:tcBorders>
            <w:shd w:val="clear" w:color="auto" w:fill="auto"/>
            <w:noWrap/>
            <w:vAlign w:val="center"/>
            <w:hideMark/>
          </w:tcPr>
          <w:p w14:paraId="6F5A1E13" w14:textId="77777777" w:rsidR="00156651" w:rsidRPr="00156651" w:rsidRDefault="00156651" w:rsidP="008D7BB4">
            <w:pPr>
              <w:spacing w:line="276" w:lineRule="auto"/>
              <w:ind w:firstLineChars="100" w:firstLine="220"/>
              <w:contextualSpacing/>
              <w:rPr>
                <w:rFonts w:ascii="Times New Roman" w:eastAsia="Times New Roman" w:hAnsi="Times New Roman" w:cs="Times New Roman"/>
                <w:color w:val="000000"/>
                <w:sz w:val="22"/>
                <w:szCs w:val="22"/>
                <w:lang w:eastAsia="es-GT"/>
              </w:rPr>
            </w:pPr>
            <w:r w:rsidRPr="00156651">
              <w:rPr>
                <w:rFonts w:ascii="Times New Roman" w:eastAsia="Times New Roman" w:hAnsi="Times New Roman" w:cs="Times New Roman"/>
                <w:color w:val="000000"/>
                <w:sz w:val="22"/>
                <w:szCs w:val="22"/>
                <w:lang w:eastAsia="es-GT"/>
              </w:rPr>
              <w:t xml:space="preserve">Uso de bienes y servicios  </w:t>
            </w:r>
          </w:p>
        </w:tc>
        <w:tc>
          <w:tcPr>
            <w:tcW w:w="1213" w:type="dxa"/>
            <w:tcBorders>
              <w:top w:val="nil"/>
              <w:left w:val="nil"/>
              <w:bottom w:val="nil"/>
              <w:right w:val="nil"/>
            </w:tcBorders>
            <w:shd w:val="clear" w:color="auto" w:fill="auto"/>
            <w:noWrap/>
            <w:vAlign w:val="center"/>
            <w:hideMark/>
          </w:tcPr>
          <w:p w14:paraId="6F40B343"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13,254.2</w:t>
            </w:r>
          </w:p>
        </w:tc>
        <w:tc>
          <w:tcPr>
            <w:tcW w:w="1214" w:type="dxa"/>
            <w:tcBorders>
              <w:top w:val="nil"/>
              <w:left w:val="nil"/>
              <w:bottom w:val="nil"/>
              <w:right w:val="nil"/>
            </w:tcBorders>
            <w:shd w:val="clear" w:color="auto" w:fill="auto"/>
            <w:noWrap/>
            <w:vAlign w:val="center"/>
            <w:hideMark/>
          </w:tcPr>
          <w:p w14:paraId="202A14FE"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16,657.0</w:t>
            </w:r>
          </w:p>
        </w:tc>
        <w:tc>
          <w:tcPr>
            <w:tcW w:w="1095" w:type="dxa"/>
            <w:tcBorders>
              <w:top w:val="nil"/>
              <w:left w:val="dotDash" w:sz="4" w:space="0" w:color="auto"/>
              <w:bottom w:val="nil"/>
              <w:right w:val="nil"/>
            </w:tcBorders>
            <w:shd w:val="clear" w:color="auto" w:fill="auto"/>
            <w:noWrap/>
            <w:vAlign w:val="center"/>
            <w:hideMark/>
          </w:tcPr>
          <w:p w14:paraId="09740D4C"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2.0</w:t>
            </w:r>
          </w:p>
        </w:tc>
        <w:tc>
          <w:tcPr>
            <w:tcW w:w="1098" w:type="dxa"/>
            <w:tcBorders>
              <w:top w:val="nil"/>
              <w:left w:val="nil"/>
              <w:bottom w:val="nil"/>
              <w:right w:val="nil"/>
            </w:tcBorders>
            <w:shd w:val="clear" w:color="auto" w:fill="auto"/>
            <w:noWrap/>
            <w:vAlign w:val="center"/>
            <w:hideMark/>
          </w:tcPr>
          <w:p w14:paraId="442ED8DA"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2.3</w:t>
            </w:r>
          </w:p>
        </w:tc>
      </w:tr>
      <w:tr w:rsidR="00156651" w:rsidRPr="00156651" w14:paraId="01990DBA" w14:textId="77777777" w:rsidTr="00654363">
        <w:trPr>
          <w:trHeight w:val="238"/>
          <w:jc w:val="center"/>
        </w:trPr>
        <w:tc>
          <w:tcPr>
            <w:tcW w:w="3905" w:type="dxa"/>
            <w:tcBorders>
              <w:top w:val="nil"/>
              <w:left w:val="nil"/>
              <w:bottom w:val="nil"/>
              <w:right w:val="nil"/>
            </w:tcBorders>
            <w:shd w:val="clear" w:color="auto" w:fill="auto"/>
            <w:noWrap/>
            <w:vAlign w:val="center"/>
            <w:hideMark/>
          </w:tcPr>
          <w:p w14:paraId="02CE915C" w14:textId="77777777" w:rsidR="00156651" w:rsidRPr="00156651" w:rsidRDefault="00156651" w:rsidP="008D7BB4">
            <w:pPr>
              <w:spacing w:line="276" w:lineRule="auto"/>
              <w:ind w:firstLineChars="100" w:firstLine="220"/>
              <w:contextualSpacing/>
              <w:rPr>
                <w:rFonts w:ascii="Times New Roman" w:eastAsia="Times New Roman" w:hAnsi="Times New Roman" w:cs="Times New Roman"/>
                <w:color w:val="000000"/>
                <w:sz w:val="22"/>
                <w:szCs w:val="22"/>
                <w:lang w:eastAsia="es-GT"/>
              </w:rPr>
            </w:pPr>
            <w:r w:rsidRPr="00156651">
              <w:rPr>
                <w:rFonts w:ascii="Times New Roman" w:eastAsia="Times New Roman" w:hAnsi="Times New Roman" w:cs="Times New Roman"/>
                <w:color w:val="000000"/>
                <w:sz w:val="22"/>
                <w:szCs w:val="22"/>
                <w:lang w:eastAsia="es-GT"/>
              </w:rPr>
              <w:t xml:space="preserve">Intereses </w:t>
            </w:r>
          </w:p>
        </w:tc>
        <w:tc>
          <w:tcPr>
            <w:tcW w:w="1213" w:type="dxa"/>
            <w:tcBorders>
              <w:top w:val="nil"/>
              <w:left w:val="nil"/>
              <w:bottom w:val="nil"/>
              <w:right w:val="nil"/>
            </w:tcBorders>
            <w:shd w:val="clear" w:color="auto" w:fill="auto"/>
            <w:noWrap/>
            <w:vAlign w:val="center"/>
            <w:hideMark/>
          </w:tcPr>
          <w:p w14:paraId="49AB23C1"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11,394.5</w:t>
            </w:r>
          </w:p>
        </w:tc>
        <w:tc>
          <w:tcPr>
            <w:tcW w:w="1214" w:type="dxa"/>
            <w:tcBorders>
              <w:top w:val="nil"/>
              <w:left w:val="nil"/>
              <w:bottom w:val="nil"/>
              <w:right w:val="nil"/>
            </w:tcBorders>
            <w:shd w:val="clear" w:color="auto" w:fill="auto"/>
            <w:noWrap/>
            <w:vAlign w:val="center"/>
            <w:hideMark/>
          </w:tcPr>
          <w:p w14:paraId="458778D5"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12,120.5</w:t>
            </w:r>
          </w:p>
        </w:tc>
        <w:tc>
          <w:tcPr>
            <w:tcW w:w="1095" w:type="dxa"/>
            <w:tcBorders>
              <w:top w:val="nil"/>
              <w:left w:val="dotDash" w:sz="4" w:space="0" w:color="auto"/>
              <w:bottom w:val="nil"/>
              <w:right w:val="nil"/>
            </w:tcBorders>
            <w:shd w:val="clear" w:color="auto" w:fill="auto"/>
            <w:noWrap/>
            <w:vAlign w:val="center"/>
            <w:hideMark/>
          </w:tcPr>
          <w:p w14:paraId="79336C6D"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1.7</w:t>
            </w:r>
          </w:p>
        </w:tc>
        <w:tc>
          <w:tcPr>
            <w:tcW w:w="1098" w:type="dxa"/>
            <w:tcBorders>
              <w:top w:val="nil"/>
              <w:left w:val="nil"/>
              <w:bottom w:val="nil"/>
              <w:right w:val="nil"/>
            </w:tcBorders>
            <w:shd w:val="clear" w:color="auto" w:fill="auto"/>
            <w:noWrap/>
            <w:vAlign w:val="center"/>
            <w:hideMark/>
          </w:tcPr>
          <w:p w14:paraId="44D384C3"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1.7</w:t>
            </w:r>
          </w:p>
        </w:tc>
      </w:tr>
      <w:tr w:rsidR="00156651" w:rsidRPr="00156651" w14:paraId="6218F6D2" w14:textId="77777777" w:rsidTr="00654363">
        <w:trPr>
          <w:trHeight w:val="238"/>
          <w:jc w:val="center"/>
        </w:trPr>
        <w:tc>
          <w:tcPr>
            <w:tcW w:w="3905" w:type="dxa"/>
            <w:tcBorders>
              <w:top w:val="nil"/>
              <w:left w:val="nil"/>
              <w:bottom w:val="nil"/>
              <w:right w:val="nil"/>
            </w:tcBorders>
            <w:shd w:val="clear" w:color="auto" w:fill="auto"/>
            <w:noWrap/>
            <w:vAlign w:val="center"/>
            <w:hideMark/>
          </w:tcPr>
          <w:p w14:paraId="67B046B9" w14:textId="77777777" w:rsidR="00156651" w:rsidRPr="00156651" w:rsidRDefault="00156651" w:rsidP="008D7BB4">
            <w:pPr>
              <w:spacing w:line="276" w:lineRule="auto"/>
              <w:ind w:firstLineChars="100" w:firstLine="220"/>
              <w:contextualSpacing/>
              <w:rPr>
                <w:rFonts w:ascii="Times New Roman" w:eastAsia="Times New Roman" w:hAnsi="Times New Roman" w:cs="Times New Roman"/>
                <w:color w:val="000000"/>
                <w:sz w:val="22"/>
                <w:szCs w:val="22"/>
                <w:lang w:eastAsia="es-GT"/>
              </w:rPr>
            </w:pPr>
            <w:r w:rsidRPr="00156651">
              <w:rPr>
                <w:rFonts w:ascii="Times New Roman" w:eastAsia="Times New Roman" w:hAnsi="Times New Roman" w:cs="Times New Roman"/>
                <w:color w:val="000000"/>
                <w:sz w:val="22"/>
                <w:szCs w:val="22"/>
                <w:lang w:eastAsia="es-GT"/>
              </w:rPr>
              <w:t xml:space="preserve">Subsidios </w:t>
            </w:r>
          </w:p>
        </w:tc>
        <w:tc>
          <w:tcPr>
            <w:tcW w:w="1213" w:type="dxa"/>
            <w:tcBorders>
              <w:top w:val="nil"/>
              <w:left w:val="nil"/>
              <w:bottom w:val="nil"/>
              <w:right w:val="nil"/>
            </w:tcBorders>
            <w:shd w:val="clear" w:color="auto" w:fill="auto"/>
            <w:noWrap/>
            <w:vAlign w:val="center"/>
            <w:hideMark/>
          </w:tcPr>
          <w:p w14:paraId="70962336"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432.4</w:t>
            </w:r>
          </w:p>
        </w:tc>
        <w:tc>
          <w:tcPr>
            <w:tcW w:w="1214" w:type="dxa"/>
            <w:tcBorders>
              <w:top w:val="nil"/>
              <w:left w:val="nil"/>
              <w:bottom w:val="nil"/>
              <w:right w:val="nil"/>
            </w:tcBorders>
            <w:shd w:val="clear" w:color="auto" w:fill="auto"/>
            <w:noWrap/>
            <w:vAlign w:val="center"/>
            <w:hideMark/>
          </w:tcPr>
          <w:p w14:paraId="4AD1CB86"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3,424.5</w:t>
            </w:r>
          </w:p>
        </w:tc>
        <w:tc>
          <w:tcPr>
            <w:tcW w:w="1095" w:type="dxa"/>
            <w:tcBorders>
              <w:top w:val="nil"/>
              <w:left w:val="dotDash" w:sz="4" w:space="0" w:color="auto"/>
              <w:bottom w:val="nil"/>
              <w:right w:val="nil"/>
            </w:tcBorders>
            <w:shd w:val="clear" w:color="auto" w:fill="auto"/>
            <w:noWrap/>
            <w:vAlign w:val="center"/>
            <w:hideMark/>
          </w:tcPr>
          <w:p w14:paraId="6D79A5B9"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0.1</w:t>
            </w:r>
          </w:p>
        </w:tc>
        <w:tc>
          <w:tcPr>
            <w:tcW w:w="1098" w:type="dxa"/>
            <w:tcBorders>
              <w:top w:val="nil"/>
              <w:left w:val="nil"/>
              <w:bottom w:val="nil"/>
              <w:right w:val="nil"/>
            </w:tcBorders>
            <w:shd w:val="clear" w:color="auto" w:fill="auto"/>
            <w:noWrap/>
            <w:vAlign w:val="center"/>
            <w:hideMark/>
          </w:tcPr>
          <w:p w14:paraId="6ED7A670"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0.5</w:t>
            </w:r>
          </w:p>
        </w:tc>
      </w:tr>
      <w:tr w:rsidR="00156651" w:rsidRPr="00156651" w14:paraId="3FA125CA" w14:textId="77777777" w:rsidTr="00654363">
        <w:trPr>
          <w:trHeight w:val="238"/>
          <w:jc w:val="center"/>
        </w:trPr>
        <w:tc>
          <w:tcPr>
            <w:tcW w:w="3905" w:type="dxa"/>
            <w:tcBorders>
              <w:top w:val="nil"/>
              <w:left w:val="nil"/>
              <w:bottom w:val="nil"/>
              <w:right w:val="nil"/>
            </w:tcBorders>
            <w:shd w:val="clear" w:color="auto" w:fill="auto"/>
            <w:noWrap/>
            <w:vAlign w:val="center"/>
            <w:hideMark/>
          </w:tcPr>
          <w:p w14:paraId="72C1B1EC" w14:textId="77777777" w:rsidR="00156651" w:rsidRPr="00156651" w:rsidRDefault="00156651" w:rsidP="008D7BB4">
            <w:pPr>
              <w:spacing w:line="276" w:lineRule="auto"/>
              <w:ind w:firstLineChars="100" w:firstLine="220"/>
              <w:contextualSpacing/>
              <w:rPr>
                <w:rFonts w:ascii="Times New Roman" w:eastAsia="Times New Roman" w:hAnsi="Times New Roman" w:cs="Times New Roman"/>
                <w:color w:val="000000"/>
                <w:sz w:val="22"/>
                <w:szCs w:val="22"/>
                <w:lang w:eastAsia="es-GT"/>
              </w:rPr>
            </w:pPr>
            <w:r w:rsidRPr="00156651">
              <w:rPr>
                <w:rFonts w:ascii="Times New Roman" w:eastAsia="Times New Roman" w:hAnsi="Times New Roman" w:cs="Times New Roman"/>
                <w:color w:val="000000"/>
                <w:sz w:val="22"/>
                <w:szCs w:val="22"/>
                <w:lang w:eastAsia="es-GT"/>
              </w:rPr>
              <w:t xml:space="preserve">Donaciones </w:t>
            </w:r>
          </w:p>
        </w:tc>
        <w:tc>
          <w:tcPr>
            <w:tcW w:w="1213" w:type="dxa"/>
            <w:tcBorders>
              <w:top w:val="nil"/>
              <w:left w:val="nil"/>
              <w:bottom w:val="nil"/>
              <w:right w:val="nil"/>
            </w:tcBorders>
            <w:shd w:val="clear" w:color="auto" w:fill="auto"/>
            <w:noWrap/>
            <w:vAlign w:val="center"/>
            <w:hideMark/>
          </w:tcPr>
          <w:p w14:paraId="0BD3B08F"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21,068.1</w:t>
            </w:r>
          </w:p>
        </w:tc>
        <w:tc>
          <w:tcPr>
            <w:tcW w:w="1214" w:type="dxa"/>
            <w:tcBorders>
              <w:top w:val="nil"/>
              <w:left w:val="nil"/>
              <w:bottom w:val="nil"/>
              <w:right w:val="nil"/>
            </w:tcBorders>
            <w:shd w:val="clear" w:color="auto" w:fill="auto"/>
            <w:noWrap/>
            <w:vAlign w:val="center"/>
            <w:hideMark/>
          </w:tcPr>
          <w:p w14:paraId="5329214F"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24,908.9</w:t>
            </w:r>
          </w:p>
        </w:tc>
        <w:tc>
          <w:tcPr>
            <w:tcW w:w="1095" w:type="dxa"/>
            <w:tcBorders>
              <w:top w:val="nil"/>
              <w:left w:val="dotDash" w:sz="4" w:space="0" w:color="auto"/>
              <w:bottom w:val="nil"/>
              <w:right w:val="nil"/>
            </w:tcBorders>
            <w:shd w:val="clear" w:color="auto" w:fill="auto"/>
            <w:noWrap/>
            <w:vAlign w:val="center"/>
            <w:hideMark/>
          </w:tcPr>
          <w:p w14:paraId="6BEFB8DA"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3.2</w:t>
            </w:r>
          </w:p>
        </w:tc>
        <w:tc>
          <w:tcPr>
            <w:tcW w:w="1098" w:type="dxa"/>
            <w:tcBorders>
              <w:top w:val="nil"/>
              <w:left w:val="nil"/>
              <w:bottom w:val="nil"/>
              <w:right w:val="nil"/>
            </w:tcBorders>
            <w:shd w:val="clear" w:color="auto" w:fill="auto"/>
            <w:noWrap/>
            <w:vAlign w:val="center"/>
            <w:hideMark/>
          </w:tcPr>
          <w:p w14:paraId="66936546"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3.4</w:t>
            </w:r>
          </w:p>
        </w:tc>
      </w:tr>
      <w:tr w:rsidR="00156651" w:rsidRPr="00156651" w14:paraId="4B9A8EA0" w14:textId="77777777" w:rsidTr="00654363">
        <w:trPr>
          <w:trHeight w:val="238"/>
          <w:jc w:val="center"/>
        </w:trPr>
        <w:tc>
          <w:tcPr>
            <w:tcW w:w="3905" w:type="dxa"/>
            <w:tcBorders>
              <w:top w:val="nil"/>
              <w:left w:val="nil"/>
              <w:bottom w:val="nil"/>
              <w:right w:val="nil"/>
            </w:tcBorders>
            <w:shd w:val="clear" w:color="auto" w:fill="auto"/>
            <w:noWrap/>
            <w:vAlign w:val="center"/>
            <w:hideMark/>
          </w:tcPr>
          <w:p w14:paraId="24339DC9" w14:textId="77777777" w:rsidR="00156651" w:rsidRPr="00156651" w:rsidRDefault="00156651" w:rsidP="008D7BB4">
            <w:pPr>
              <w:spacing w:line="276" w:lineRule="auto"/>
              <w:ind w:firstLineChars="100" w:firstLine="220"/>
              <w:contextualSpacing/>
              <w:rPr>
                <w:rFonts w:ascii="Times New Roman" w:eastAsia="Times New Roman" w:hAnsi="Times New Roman" w:cs="Times New Roman"/>
                <w:color w:val="000000"/>
                <w:sz w:val="22"/>
                <w:szCs w:val="22"/>
                <w:lang w:eastAsia="es-GT"/>
              </w:rPr>
            </w:pPr>
            <w:r w:rsidRPr="00156651">
              <w:rPr>
                <w:rFonts w:ascii="Times New Roman" w:eastAsia="Times New Roman" w:hAnsi="Times New Roman" w:cs="Times New Roman"/>
                <w:color w:val="000000"/>
                <w:sz w:val="22"/>
                <w:szCs w:val="22"/>
                <w:lang w:eastAsia="es-GT"/>
              </w:rPr>
              <w:t xml:space="preserve">Prestaciones sociales </w:t>
            </w:r>
          </w:p>
        </w:tc>
        <w:tc>
          <w:tcPr>
            <w:tcW w:w="1213" w:type="dxa"/>
            <w:tcBorders>
              <w:top w:val="nil"/>
              <w:left w:val="nil"/>
              <w:bottom w:val="nil"/>
              <w:right w:val="nil"/>
            </w:tcBorders>
            <w:shd w:val="clear" w:color="auto" w:fill="auto"/>
            <w:noWrap/>
            <w:vAlign w:val="center"/>
            <w:hideMark/>
          </w:tcPr>
          <w:p w14:paraId="6B38F4F8"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5,990.5</w:t>
            </w:r>
          </w:p>
        </w:tc>
        <w:tc>
          <w:tcPr>
            <w:tcW w:w="1214" w:type="dxa"/>
            <w:tcBorders>
              <w:top w:val="nil"/>
              <w:left w:val="nil"/>
              <w:bottom w:val="nil"/>
              <w:right w:val="nil"/>
            </w:tcBorders>
            <w:shd w:val="clear" w:color="auto" w:fill="auto"/>
            <w:noWrap/>
            <w:vAlign w:val="center"/>
            <w:hideMark/>
          </w:tcPr>
          <w:p w14:paraId="031ABCD8"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6,428.6</w:t>
            </w:r>
          </w:p>
        </w:tc>
        <w:tc>
          <w:tcPr>
            <w:tcW w:w="1095" w:type="dxa"/>
            <w:tcBorders>
              <w:top w:val="nil"/>
              <w:left w:val="dotDash" w:sz="4" w:space="0" w:color="auto"/>
              <w:bottom w:val="nil"/>
              <w:right w:val="nil"/>
            </w:tcBorders>
            <w:shd w:val="clear" w:color="auto" w:fill="auto"/>
            <w:noWrap/>
            <w:vAlign w:val="center"/>
            <w:hideMark/>
          </w:tcPr>
          <w:p w14:paraId="33CB4991"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0.9</w:t>
            </w:r>
          </w:p>
        </w:tc>
        <w:tc>
          <w:tcPr>
            <w:tcW w:w="1098" w:type="dxa"/>
            <w:tcBorders>
              <w:top w:val="nil"/>
              <w:left w:val="nil"/>
              <w:bottom w:val="nil"/>
              <w:right w:val="nil"/>
            </w:tcBorders>
            <w:shd w:val="clear" w:color="auto" w:fill="auto"/>
            <w:noWrap/>
            <w:vAlign w:val="center"/>
            <w:hideMark/>
          </w:tcPr>
          <w:p w14:paraId="18D201C5"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0.9</w:t>
            </w:r>
          </w:p>
        </w:tc>
      </w:tr>
      <w:tr w:rsidR="00156651" w:rsidRPr="00156651" w14:paraId="46855007" w14:textId="77777777" w:rsidTr="00654363">
        <w:trPr>
          <w:trHeight w:val="238"/>
          <w:jc w:val="center"/>
        </w:trPr>
        <w:tc>
          <w:tcPr>
            <w:tcW w:w="3905" w:type="dxa"/>
            <w:tcBorders>
              <w:top w:val="nil"/>
              <w:left w:val="nil"/>
              <w:bottom w:val="nil"/>
              <w:right w:val="nil"/>
            </w:tcBorders>
            <w:shd w:val="clear" w:color="auto" w:fill="auto"/>
            <w:noWrap/>
            <w:vAlign w:val="center"/>
            <w:hideMark/>
          </w:tcPr>
          <w:p w14:paraId="035E627A" w14:textId="77777777" w:rsidR="00156651" w:rsidRPr="00156651" w:rsidRDefault="00156651" w:rsidP="008D7BB4">
            <w:pPr>
              <w:spacing w:line="276" w:lineRule="auto"/>
              <w:ind w:firstLineChars="100" w:firstLine="220"/>
              <w:contextualSpacing/>
              <w:rPr>
                <w:rFonts w:ascii="Times New Roman" w:eastAsia="Times New Roman" w:hAnsi="Times New Roman" w:cs="Times New Roman"/>
                <w:color w:val="000000"/>
                <w:sz w:val="22"/>
                <w:szCs w:val="22"/>
                <w:lang w:eastAsia="es-GT"/>
              </w:rPr>
            </w:pPr>
            <w:r w:rsidRPr="00156651">
              <w:rPr>
                <w:rFonts w:ascii="Times New Roman" w:eastAsia="Times New Roman" w:hAnsi="Times New Roman" w:cs="Times New Roman"/>
                <w:color w:val="000000"/>
                <w:sz w:val="22"/>
                <w:szCs w:val="22"/>
                <w:lang w:eastAsia="es-GT"/>
              </w:rPr>
              <w:t xml:space="preserve">Otros gastos </w:t>
            </w:r>
          </w:p>
        </w:tc>
        <w:tc>
          <w:tcPr>
            <w:tcW w:w="1213" w:type="dxa"/>
            <w:tcBorders>
              <w:top w:val="nil"/>
              <w:left w:val="nil"/>
              <w:bottom w:val="nil"/>
              <w:right w:val="nil"/>
            </w:tcBorders>
            <w:shd w:val="clear" w:color="auto" w:fill="auto"/>
            <w:noWrap/>
            <w:vAlign w:val="center"/>
            <w:hideMark/>
          </w:tcPr>
          <w:p w14:paraId="56F48755"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5,279.2</w:t>
            </w:r>
          </w:p>
        </w:tc>
        <w:tc>
          <w:tcPr>
            <w:tcW w:w="1214" w:type="dxa"/>
            <w:tcBorders>
              <w:top w:val="nil"/>
              <w:left w:val="nil"/>
              <w:bottom w:val="nil"/>
              <w:right w:val="nil"/>
            </w:tcBorders>
            <w:shd w:val="clear" w:color="auto" w:fill="auto"/>
            <w:noWrap/>
            <w:vAlign w:val="center"/>
            <w:hideMark/>
          </w:tcPr>
          <w:p w14:paraId="7DF8BDBD"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7,490.4</w:t>
            </w:r>
          </w:p>
        </w:tc>
        <w:tc>
          <w:tcPr>
            <w:tcW w:w="1095" w:type="dxa"/>
            <w:tcBorders>
              <w:top w:val="nil"/>
              <w:left w:val="dotDash" w:sz="4" w:space="0" w:color="auto"/>
              <w:bottom w:val="nil"/>
              <w:right w:val="nil"/>
            </w:tcBorders>
            <w:shd w:val="clear" w:color="auto" w:fill="auto"/>
            <w:noWrap/>
            <w:vAlign w:val="center"/>
            <w:hideMark/>
          </w:tcPr>
          <w:p w14:paraId="4A93F126"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0.8</w:t>
            </w:r>
          </w:p>
        </w:tc>
        <w:tc>
          <w:tcPr>
            <w:tcW w:w="1098" w:type="dxa"/>
            <w:tcBorders>
              <w:top w:val="nil"/>
              <w:left w:val="nil"/>
              <w:bottom w:val="nil"/>
              <w:right w:val="nil"/>
            </w:tcBorders>
            <w:shd w:val="clear" w:color="auto" w:fill="auto"/>
            <w:noWrap/>
            <w:vAlign w:val="center"/>
            <w:hideMark/>
          </w:tcPr>
          <w:p w14:paraId="28971174"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1.0</w:t>
            </w:r>
          </w:p>
        </w:tc>
      </w:tr>
      <w:tr w:rsidR="00156651" w:rsidRPr="00156651" w14:paraId="56D88F15" w14:textId="77777777" w:rsidTr="00654363">
        <w:trPr>
          <w:trHeight w:val="238"/>
          <w:jc w:val="center"/>
        </w:trPr>
        <w:tc>
          <w:tcPr>
            <w:tcW w:w="3905" w:type="dxa"/>
            <w:tcBorders>
              <w:top w:val="nil"/>
              <w:left w:val="nil"/>
              <w:bottom w:val="nil"/>
              <w:right w:val="nil"/>
            </w:tcBorders>
            <w:shd w:val="clear" w:color="auto" w:fill="auto"/>
            <w:noWrap/>
            <w:vAlign w:val="center"/>
            <w:hideMark/>
          </w:tcPr>
          <w:p w14:paraId="035C01ED" w14:textId="77777777" w:rsidR="00156651" w:rsidRPr="00156651" w:rsidRDefault="00156651" w:rsidP="008D7BB4">
            <w:pPr>
              <w:spacing w:line="276" w:lineRule="auto"/>
              <w:contextualSpacing/>
              <w:jc w:val="both"/>
              <w:rPr>
                <w:rFonts w:ascii="Times New Roman" w:eastAsia="Times New Roman" w:hAnsi="Times New Roman" w:cs="Times New Roman"/>
                <w:b/>
                <w:bCs/>
                <w:color w:val="000000"/>
                <w:sz w:val="22"/>
                <w:szCs w:val="22"/>
                <w:lang w:eastAsia="es-GT"/>
              </w:rPr>
            </w:pPr>
            <w:r w:rsidRPr="00156651">
              <w:rPr>
                <w:rFonts w:ascii="Times New Roman" w:eastAsia="Times New Roman" w:hAnsi="Times New Roman" w:cs="Times New Roman"/>
                <w:b/>
                <w:bCs/>
                <w:color w:val="000000"/>
                <w:sz w:val="22"/>
                <w:szCs w:val="22"/>
                <w:lang w:eastAsia="es-GT"/>
              </w:rPr>
              <w:t>Resultado Operativo Primario</w:t>
            </w:r>
          </w:p>
        </w:tc>
        <w:tc>
          <w:tcPr>
            <w:tcW w:w="1213" w:type="dxa"/>
            <w:tcBorders>
              <w:top w:val="nil"/>
              <w:left w:val="nil"/>
              <w:bottom w:val="nil"/>
              <w:right w:val="nil"/>
            </w:tcBorders>
            <w:shd w:val="clear" w:color="auto" w:fill="auto"/>
            <w:noWrap/>
            <w:vAlign w:val="center"/>
            <w:hideMark/>
          </w:tcPr>
          <w:p w14:paraId="7BC28B5B"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156651">
              <w:rPr>
                <w:rFonts w:ascii="Times New Roman" w:hAnsi="Times New Roman" w:cs="Times New Roman"/>
                <w:b/>
                <w:bCs/>
                <w:color w:val="000000"/>
                <w:sz w:val="22"/>
                <w:szCs w:val="22"/>
              </w:rPr>
              <w:t>7,460.3</w:t>
            </w:r>
          </w:p>
        </w:tc>
        <w:tc>
          <w:tcPr>
            <w:tcW w:w="1214" w:type="dxa"/>
            <w:tcBorders>
              <w:top w:val="nil"/>
              <w:left w:val="nil"/>
              <w:bottom w:val="nil"/>
              <w:right w:val="nil"/>
            </w:tcBorders>
            <w:shd w:val="clear" w:color="auto" w:fill="auto"/>
            <w:noWrap/>
            <w:vAlign w:val="center"/>
            <w:hideMark/>
          </w:tcPr>
          <w:p w14:paraId="71690CFB"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156651">
              <w:rPr>
                <w:rFonts w:ascii="Times New Roman" w:hAnsi="Times New Roman" w:cs="Times New Roman"/>
                <w:b/>
                <w:bCs/>
                <w:color w:val="000000"/>
                <w:sz w:val="22"/>
                <w:szCs w:val="22"/>
              </w:rPr>
              <w:t>4,076.8</w:t>
            </w:r>
          </w:p>
        </w:tc>
        <w:tc>
          <w:tcPr>
            <w:tcW w:w="1095" w:type="dxa"/>
            <w:tcBorders>
              <w:top w:val="nil"/>
              <w:left w:val="dotDash" w:sz="4" w:space="0" w:color="auto"/>
              <w:bottom w:val="nil"/>
              <w:right w:val="nil"/>
            </w:tcBorders>
            <w:shd w:val="clear" w:color="auto" w:fill="auto"/>
            <w:noWrap/>
            <w:vAlign w:val="center"/>
            <w:hideMark/>
          </w:tcPr>
          <w:p w14:paraId="6623DAD0"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156651">
              <w:rPr>
                <w:rFonts w:ascii="Times New Roman" w:hAnsi="Times New Roman" w:cs="Times New Roman"/>
                <w:b/>
                <w:bCs/>
                <w:color w:val="000000"/>
                <w:sz w:val="22"/>
                <w:szCs w:val="22"/>
              </w:rPr>
              <w:t>1.1</w:t>
            </w:r>
          </w:p>
        </w:tc>
        <w:tc>
          <w:tcPr>
            <w:tcW w:w="1098" w:type="dxa"/>
            <w:tcBorders>
              <w:top w:val="nil"/>
              <w:left w:val="nil"/>
              <w:bottom w:val="nil"/>
              <w:right w:val="nil"/>
            </w:tcBorders>
            <w:shd w:val="clear" w:color="auto" w:fill="auto"/>
            <w:noWrap/>
            <w:vAlign w:val="center"/>
            <w:hideMark/>
          </w:tcPr>
          <w:p w14:paraId="088E517B"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156651">
              <w:rPr>
                <w:rFonts w:ascii="Times New Roman" w:hAnsi="Times New Roman" w:cs="Times New Roman"/>
                <w:b/>
                <w:bCs/>
                <w:color w:val="000000"/>
                <w:sz w:val="22"/>
                <w:szCs w:val="22"/>
              </w:rPr>
              <w:t>0.6</w:t>
            </w:r>
          </w:p>
        </w:tc>
      </w:tr>
      <w:tr w:rsidR="00156651" w:rsidRPr="00156651" w14:paraId="2C82932C" w14:textId="77777777" w:rsidTr="00654363">
        <w:trPr>
          <w:trHeight w:val="238"/>
          <w:jc w:val="center"/>
        </w:trPr>
        <w:tc>
          <w:tcPr>
            <w:tcW w:w="3905" w:type="dxa"/>
            <w:tcBorders>
              <w:top w:val="nil"/>
              <w:left w:val="nil"/>
              <w:bottom w:val="nil"/>
              <w:right w:val="nil"/>
            </w:tcBorders>
            <w:shd w:val="clear" w:color="auto" w:fill="auto"/>
            <w:noWrap/>
            <w:vAlign w:val="center"/>
            <w:hideMark/>
          </w:tcPr>
          <w:p w14:paraId="4CF609B2" w14:textId="77777777" w:rsidR="00156651" w:rsidRPr="00156651" w:rsidRDefault="00156651" w:rsidP="008D7BB4">
            <w:pPr>
              <w:spacing w:line="276" w:lineRule="auto"/>
              <w:contextualSpacing/>
              <w:jc w:val="both"/>
              <w:rPr>
                <w:rFonts w:ascii="Times New Roman" w:eastAsia="Times New Roman" w:hAnsi="Times New Roman" w:cs="Times New Roman"/>
                <w:b/>
                <w:bCs/>
                <w:color w:val="000000"/>
                <w:sz w:val="22"/>
                <w:szCs w:val="22"/>
                <w:lang w:eastAsia="es-GT"/>
              </w:rPr>
            </w:pPr>
            <w:r w:rsidRPr="00156651">
              <w:rPr>
                <w:rFonts w:ascii="Times New Roman" w:eastAsia="Times New Roman" w:hAnsi="Times New Roman" w:cs="Times New Roman"/>
                <w:b/>
                <w:bCs/>
                <w:color w:val="000000"/>
                <w:sz w:val="22"/>
                <w:szCs w:val="22"/>
                <w:lang w:eastAsia="es-GT"/>
              </w:rPr>
              <w:t>Resultado Operativo</w:t>
            </w:r>
          </w:p>
        </w:tc>
        <w:tc>
          <w:tcPr>
            <w:tcW w:w="1213" w:type="dxa"/>
            <w:tcBorders>
              <w:top w:val="nil"/>
              <w:left w:val="nil"/>
              <w:bottom w:val="nil"/>
              <w:right w:val="nil"/>
            </w:tcBorders>
            <w:shd w:val="clear" w:color="auto" w:fill="auto"/>
            <w:noWrap/>
            <w:vAlign w:val="center"/>
            <w:hideMark/>
          </w:tcPr>
          <w:p w14:paraId="15DECF2D"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156651">
              <w:rPr>
                <w:rFonts w:ascii="Times New Roman" w:hAnsi="Times New Roman" w:cs="Times New Roman"/>
                <w:b/>
                <w:bCs/>
                <w:color w:val="000000"/>
                <w:sz w:val="22"/>
                <w:szCs w:val="22"/>
              </w:rPr>
              <w:t>-3,934.3</w:t>
            </w:r>
          </w:p>
        </w:tc>
        <w:tc>
          <w:tcPr>
            <w:tcW w:w="1214" w:type="dxa"/>
            <w:tcBorders>
              <w:top w:val="nil"/>
              <w:left w:val="nil"/>
              <w:bottom w:val="nil"/>
              <w:right w:val="nil"/>
            </w:tcBorders>
            <w:shd w:val="clear" w:color="auto" w:fill="auto"/>
            <w:noWrap/>
            <w:vAlign w:val="center"/>
            <w:hideMark/>
          </w:tcPr>
          <w:p w14:paraId="1FBEBF33"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156651">
              <w:rPr>
                <w:rFonts w:ascii="Times New Roman" w:hAnsi="Times New Roman" w:cs="Times New Roman"/>
                <w:b/>
                <w:bCs/>
                <w:color w:val="000000"/>
                <w:sz w:val="22"/>
                <w:szCs w:val="22"/>
              </w:rPr>
              <w:t>-8,043.6</w:t>
            </w:r>
          </w:p>
        </w:tc>
        <w:tc>
          <w:tcPr>
            <w:tcW w:w="1095" w:type="dxa"/>
            <w:tcBorders>
              <w:top w:val="nil"/>
              <w:left w:val="dotDash" w:sz="4" w:space="0" w:color="auto"/>
              <w:bottom w:val="nil"/>
              <w:right w:val="nil"/>
            </w:tcBorders>
            <w:shd w:val="clear" w:color="auto" w:fill="auto"/>
            <w:noWrap/>
            <w:vAlign w:val="center"/>
            <w:hideMark/>
          </w:tcPr>
          <w:p w14:paraId="73B9D6CC"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156651">
              <w:rPr>
                <w:rFonts w:ascii="Times New Roman" w:hAnsi="Times New Roman" w:cs="Times New Roman"/>
                <w:b/>
                <w:bCs/>
                <w:color w:val="000000"/>
                <w:sz w:val="22"/>
                <w:szCs w:val="22"/>
              </w:rPr>
              <w:t>-0.6</w:t>
            </w:r>
          </w:p>
        </w:tc>
        <w:tc>
          <w:tcPr>
            <w:tcW w:w="1098" w:type="dxa"/>
            <w:tcBorders>
              <w:top w:val="nil"/>
              <w:left w:val="nil"/>
              <w:bottom w:val="nil"/>
              <w:right w:val="nil"/>
            </w:tcBorders>
            <w:shd w:val="clear" w:color="auto" w:fill="auto"/>
            <w:noWrap/>
            <w:vAlign w:val="center"/>
            <w:hideMark/>
          </w:tcPr>
          <w:p w14:paraId="3B72570E"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156651">
              <w:rPr>
                <w:rFonts w:ascii="Times New Roman" w:hAnsi="Times New Roman" w:cs="Times New Roman"/>
                <w:b/>
                <w:bCs/>
                <w:color w:val="000000"/>
                <w:sz w:val="22"/>
                <w:szCs w:val="22"/>
              </w:rPr>
              <w:t>-1.1</w:t>
            </w:r>
          </w:p>
        </w:tc>
      </w:tr>
      <w:tr w:rsidR="00156651" w:rsidRPr="00156651" w14:paraId="5731E94D" w14:textId="77777777" w:rsidTr="00654363">
        <w:trPr>
          <w:trHeight w:val="238"/>
          <w:jc w:val="center"/>
        </w:trPr>
        <w:tc>
          <w:tcPr>
            <w:tcW w:w="8525" w:type="dxa"/>
            <w:gridSpan w:val="5"/>
            <w:tcBorders>
              <w:top w:val="single" w:sz="8" w:space="0" w:color="auto"/>
              <w:left w:val="nil"/>
              <w:bottom w:val="double" w:sz="6" w:space="0" w:color="auto"/>
              <w:right w:val="nil"/>
            </w:tcBorders>
            <w:shd w:val="clear" w:color="auto" w:fill="auto"/>
            <w:noWrap/>
            <w:vAlign w:val="center"/>
            <w:hideMark/>
          </w:tcPr>
          <w:p w14:paraId="2854C5B8" w14:textId="77777777" w:rsidR="00156651" w:rsidRPr="00156651" w:rsidRDefault="00156651" w:rsidP="008D7BB4">
            <w:pPr>
              <w:spacing w:line="276" w:lineRule="auto"/>
              <w:contextualSpacing/>
              <w:jc w:val="both"/>
              <w:rPr>
                <w:rFonts w:ascii="Times New Roman" w:eastAsia="Times New Roman" w:hAnsi="Times New Roman" w:cs="Times New Roman"/>
                <w:b/>
                <w:bCs/>
                <w:color w:val="4472C4"/>
                <w:sz w:val="22"/>
                <w:szCs w:val="22"/>
                <w:lang w:eastAsia="es-GT"/>
              </w:rPr>
            </w:pPr>
            <w:r w:rsidRPr="00156651">
              <w:rPr>
                <w:rFonts w:ascii="Times New Roman" w:eastAsia="Times New Roman" w:hAnsi="Times New Roman" w:cs="Times New Roman"/>
                <w:b/>
                <w:bCs/>
                <w:color w:val="4472C4"/>
                <w:sz w:val="22"/>
                <w:szCs w:val="22"/>
                <w:lang w:eastAsia="es-GT"/>
              </w:rPr>
              <w:t>TRANSACCIONES EN ACTIVOS NO FINANCIEROS</w:t>
            </w:r>
          </w:p>
        </w:tc>
      </w:tr>
      <w:tr w:rsidR="00156651" w:rsidRPr="00156651" w14:paraId="47B1D453" w14:textId="77777777" w:rsidTr="00654363">
        <w:trPr>
          <w:trHeight w:val="238"/>
          <w:jc w:val="center"/>
        </w:trPr>
        <w:tc>
          <w:tcPr>
            <w:tcW w:w="3905" w:type="dxa"/>
            <w:tcBorders>
              <w:top w:val="nil"/>
              <w:left w:val="nil"/>
              <w:bottom w:val="nil"/>
              <w:right w:val="nil"/>
            </w:tcBorders>
            <w:shd w:val="clear" w:color="auto" w:fill="auto"/>
            <w:noWrap/>
            <w:vAlign w:val="center"/>
            <w:hideMark/>
          </w:tcPr>
          <w:p w14:paraId="30D0176D" w14:textId="77777777" w:rsidR="00156651" w:rsidRPr="00156651" w:rsidRDefault="00156651" w:rsidP="008D7BB4">
            <w:pPr>
              <w:spacing w:line="276" w:lineRule="auto"/>
              <w:contextualSpacing/>
              <w:jc w:val="both"/>
              <w:rPr>
                <w:rFonts w:ascii="Times New Roman" w:eastAsia="Times New Roman" w:hAnsi="Times New Roman" w:cs="Times New Roman"/>
                <w:color w:val="000000"/>
                <w:sz w:val="22"/>
                <w:szCs w:val="22"/>
                <w:lang w:eastAsia="es-GT"/>
              </w:rPr>
            </w:pPr>
            <w:r w:rsidRPr="00156651">
              <w:rPr>
                <w:rFonts w:ascii="Times New Roman" w:eastAsia="Times New Roman" w:hAnsi="Times New Roman" w:cs="Times New Roman"/>
                <w:color w:val="000000"/>
                <w:sz w:val="22"/>
                <w:szCs w:val="22"/>
                <w:lang w:eastAsia="es-GT"/>
              </w:rPr>
              <w:t>Inversión bruta en activos no financieros</w:t>
            </w:r>
          </w:p>
        </w:tc>
        <w:tc>
          <w:tcPr>
            <w:tcW w:w="1213" w:type="dxa"/>
            <w:tcBorders>
              <w:top w:val="nil"/>
              <w:left w:val="nil"/>
              <w:bottom w:val="nil"/>
              <w:right w:val="nil"/>
            </w:tcBorders>
            <w:shd w:val="clear" w:color="auto" w:fill="auto"/>
            <w:noWrap/>
            <w:vAlign w:val="center"/>
            <w:hideMark/>
          </w:tcPr>
          <w:p w14:paraId="3A1F6C04"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3,748.9</w:t>
            </w:r>
          </w:p>
        </w:tc>
        <w:tc>
          <w:tcPr>
            <w:tcW w:w="1214" w:type="dxa"/>
            <w:tcBorders>
              <w:top w:val="nil"/>
              <w:left w:val="nil"/>
              <w:bottom w:val="nil"/>
              <w:right w:val="nil"/>
            </w:tcBorders>
            <w:shd w:val="clear" w:color="auto" w:fill="auto"/>
            <w:noWrap/>
            <w:vAlign w:val="center"/>
            <w:hideMark/>
          </w:tcPr>
          <w:p w14:paraId="627FB0DD"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4,622.8</w:t>
            </w:r>
          </w:p>
        </w:tc>
        <w:tc>
          <w:tcPr>
            <w:tcW w:w="1095" w:type="dxa"/>
            <w:tcBorders>
              <w:top w:val="double" w:sz="6" w:space="0" w:color="auto"/>
              <w:left w:val="dotDash" w:sz="4" w:space="0" w:color="auto"/>
              <w:bottom w:val="nil"/>
              <w:right w:val="nil"/>
            </w:tcBorders>
            <w:shd w:val="clear" w:color="auto" w:fill="auto"/>
            <w:noWrap/>
            <w:vAlign w:val="center"/>
            <w:hideMark/>
          </w:tcPr>
          <w:p w14:paraId="57B0FF33"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0.6</w:t>
            </w:r>
          </w:p>
        </w:tc>
        <w:tc>
          <w:tcPr>
            <w:tcW w:w="1098" w:type="dxa"/>
            <w:tcBorders>
              <w:top w:val="nil"/>
              <w:left w:val="nil"/>
              <w:bottom w:val="nil"/>
              <w:right w:val="nil"/>
            </w:tcBorders>
            <w:shd w:val="clear" w:color="auto" w:fill="auto"/>
            <w:noWrap/>
            <w:vAlign w:val="center"/>
            <w:hideMark/>
          </w:tcPr>
          <w:p w14:paraId="3C3B3D77"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0.6</w:t>
            </w:r>
          </w:p>
        </w:tc>
      </w:tr>
      <w:tr w:rsidR="00156651" w:rsidRPr="00156651" w14:paraId="179BEDEF" w14:textId="77777777" w:rsidTr="00654363">
        <w:trPr>
          <w:trHeight w:val="238"/>
          <w:jc w:val="center"/>
        </w:trPr>
        <w:tc>
          <w:tcPr>
            <w:tcW w:w="3905" w:type="dxa"/>
            <w:tcBorders>
              <w:top w:val="nil"/>
              <w:left w:val="nil"/>
              <w:bottom w:val="nil"/>
              <w:right w:val="nil"/>
            </w:tcBorders>
            <w:shd w:val="clear" w:color="auto" w:fill="auto"/>
            <w:noWrap/>
            <w:vAlign w:val="center"/>
            <w:hideMark/>
          </w:tcPr>
          <w:p w14:paraId="0C2B42AE" w14:textId="77777777" w:rsidR="00156651" w:rsidRPr="00156651" w:rsidRDefault="00156651" w:rsidP="008D7BB4">
            <w:pPr>
              <w:spacing w:line="276" w:lineRule="auto"/>
              <w:contextualSpacing/>
              <w:jc w:val="both"/>
              <w:rPr>
                <w:rFonts w:ascii="Times New Roman" w:eastAsia="Times New Roman" w:hAnsi="Times New Roman" w:cs="Times New Roman"/>
                <w:color w:val="000000"/>
                <w:sz w:val="22"/>
                <w:szCs w:val="22"/>
                <w:lang w:eastAsia="es-GT"/>
              </w:rPr>
            </w:pPr>
            <w:r w:rsidRPr="00156651">
              <w:rPr>
                <w:rFonts w:ascii="Times New Roman" w:eastAsia="Times New Roman" w:hAnsi="Times New Roman" w:cs="Times New Roman"/>
                <w:color w:val="000000"/>
                <w:sz w:val="22"/>
                <w:szCs w:val="22"/>
                <w:lang w:eastAsia="es-GT"/>
              </w:rPr>
              <w:t>Erogación</w:t>
            </w:r>
          </w:p>
        </w:tc>
        <w:tc>
          <w:tcPr>
            <w:tcW w:w="1213" w:type="dxa"/>
            <w:tcBorders>
              <w:top w:val="nil"/>
              <w:left w:val="nil"/>
              <w:bottom w:val="nil"/>
              <w:right w:val="nil"/>
            </w:tcBorders>
            <w:shd w:val="clear" w:color="auto" w:fill="auto"/>
            <w:noWrap/>
            <w:vAlign w:val="center"/>
            <w:hideMark/>
          </w:tcPr>
          <w:p w14:paraId="72A9CE79"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92,043.7</w:t>
            </w:r>
          </w:p>
        </w:tc>
        <w:tc>
          <w:tcPr>
            <w:tcW w:w="1214" w:type="dxa"/>
            <w:tcBorders>
              <w:top w:val="nil"/>
              <w:left w:val="nil"/>
              <w:bottom w:val="nil"/>
              <w:right w:val="nil"/>
            </w:tcBorders>
            <w:shd w:val="clear" w:color="auto" w:fill="auto"/>
            <w:noWrap/>
            <w:vAlign w:val="center"/>
            <w:hideMark/>
          </w:tcPr>
          <w:p w14:paraId="7762D9CF"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107,921.5</w:t>
            </w:r>
          </w:p>
        </w:tc>
        <w:tc>
          <w:tcPr>
            <w:tcW w:w="1095" w:type="dxa"/>
            <w:tcBorders>
              <w:top w:val="nil"/>
              <w:left w:val="dotDash" w:sz="4" w:space="0" w:color="auto"/>
              <w:bottom w:val="nil"/>
              <w:right w:val="nil"/>
            </w:tcBorders>
            <w:shd w:val="clear" w:color="auto" w:fill="auto"/>
            <w:noWrap/>
            <w:vAlign w:val="center"/>
            <w:hideMark/>
          </w:tcPr>
          <w:p w14:paraId="264AE318"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13.8</w:t>
            </w:r>
          </w:p>
        </w:tc>
        <w:tc>
          <w:tcPr>
            <w:tcW w:w="1098" w:type="dxa"/>
            <w:tcBorders>
              <w:top w:val="nil"/>
              <w:left w:val="nil"/>
              <w:bottom w:val="nil"/>
              <w:right w:val="nil"/>
            </w:tcBorders>
            <w:shd w:val="clear" w:color="auto" w:fill="auto"/>
            <w:noWrap/>
            <w:vAlign w:val="center"/>
            <w:hideMark/>
          </w:tcPr>
          <w:p w14:paraId="21F6E42A"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14.7</w:t>
            </w:r>
          </w:p>
        </w:tc>
      </w:tr>
      <w:tr w:rsidR="00156651" w:rsidRPr="00156651" w14:paraId="675BD4AC" w14:textId="77777777" w:rsidTr="00654363">
        <w:trPr>
          <w:trHeight w:val="238"/>
          <w:jc w:val="center"/>
        </w:trPr>
        <w:tc>
          <w:tcPr>
            <w:tcW w:w="3905" w:type="dxa"/>
            <w:tcBorders>
              <w:top w:val="nil"/>
              <w:left w:val="nil"/>
              <w:bottom w:val="nil"/>
              <w:right w:val="nil"/>
            </w:tcBorders>
            <w:shd w:val="clear" w:color="auto" w:fill="auto"/>
            <w:noWrap/>
            <w:vAlign w:val="center"/>
            <w:hideMark/>
          </w:tcPr>
          <w:p w14:paraId="5403B906" w14:textId="77777777" w:rsidR="00156651" w:rsidRPr="00156651" w:rsidRDefault="00156651" w:rsidP="008D7BB4">
            <w:pPr>
              <w:spacing w:line="276" w:lineRule="auto"/>
              <w:contextualSpacing/>
              <w:jc w:val="both"/>
              <w:rPr>
                <w:rFonts w:ascii="Times New Roman" w:eastAsia="Times New Roman" w:hAnsi="Times New Roman" w:cs="Times New Roman"/>
                <w:b/>
                <w:bCs/>
                <w:color w:val="000000"/>
                <w:sz w:val="22"/>
                <w:szCs w:val="22"/>
                <w:lang w:eastAsia="es-GT"/>
              </w:rPr>
            </w:pPr>
            <w:r w:rsidRPr="00156651">
              <w:rPr>
                <w:rFonts w:ascii="Times New Roman" w:eastAsia="Times New Roman" w:hAnsi="Times New Roman" w:cs="Times New Roman"/>
                <w:b/>
                <w:bCs/>
                <w:color w:val="000000"/>
                <w:sz w:val="22"/>
                <w:szCs w:val="22"/>
                <w:lang w:eastAsia="es-GT"/>
              </w:rPr>
              <w:t>Resultado Primario</w:t>
            </w:r>
          </w:p>
        </w:tc>
        <w:tc>
          <w:tcPr>
            <w:tcW w:w="1213" w:type="dxa"/>
            <w:tcBorders>
              <w:top w:val="nil"/>
              <w:left w:val="nil"/>
              <w:bottom w:val="nil"/>
              <w:right w:val="nil"/>
            </w:tcBorders>
            <w:shd w:val="clear" w:color="auto" w:fill="auto"/>
            <w:noWrap/>
            <w:vAlign w:val="center"/>
            <w:hideMark/>
          </w:tcPr>
          <w:p w14:paraId="2DDDF4CC"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156651">
              <w:rPr>
                <w:rFonts w:ascii="Times New Roman" w:hAnsi="Times New Roman" w:cs="Times New Roman"/>
                <w:b/>
                <w:bCs/>
                <w:color w:val="000000"/>
                <w:sz w:val="22"/>
                <w:szCs w:val="22"/>
              </w:rPr>
              <w:t>3,711.4</w:t>
            </w:r>
          </w:p>
        </w:tc>
        <w:tc>
          <w:tcPr>
            <w:tcW w:w="1214" w:type="dxa"/>
            <w:tcBorders>
              <w:top w:val="nil"/>
              <w:left w:val="nil"/>
              <w:bottom w:val="nil"/>
              <w:right w:val="nil"/>
            </w:tcBorders>
            <w:shd w:val="clear" w:color="auto" w:fill="auto"/>
            <w:noWrap/>
            <w:vAlign w:val="center"/>
            <w:hideMark/>
          </w:tcPr>
          <w:p w14:paraId="3704F2E1"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156651">
              <w:rPr>
                <w:rFonts w:ascii="Times New Roman" w:hAnsi="Times New Roman" w:cs="Times New Roman"/>
                <w:b/>
                <w:bCs/>
                <w:color w:val="000000"/>
                <w:sz w:val="22"/>
                <w:szCs w:val="22"/>
              </w:rPr>
              <w:t>-546.0</w:t>
            </w:r>
          </w:p>
        </w:tc>
        <w:tc>
          <w:tcPr>
            <w:tcW w:w="1095" w:type="dxa"/>
            <w:tcBorders>
              <w:top w:val="nil"/>
              <w:left w:val="dotDash" w:sz="4" w:space="0" w:color="auto"/>
              <w:bottom w:val="nil"/>
              <w:right w:val="nil"/>
            </w:tcBorders>
            <w:shd w:val="clear" w:color="auto" w:fill="auto"/>
            <w:noWrap/>
            <w:vAlign w:val="center"/>
            <w:hideMark/>
          </w:tcPr>
          <w:p w14:paraId="53E66120"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156651">
              <w:rPr>
                <w:rFonts w:ascii="Times New Roman" w:hAnsi="Times New Roman" w:cs="Times New Roman"/>
                <w:b/>
                <w:bCs/>
                <w:color w:val="000000"/>
                <w:sz w:val="22"/>
                <w:szCs w:val="22"/>
              </w:rPr>
              <w:t>0.6</w:t>
            </w:r>
          </w:p>
        </w:tc>
        <w:tc>
          <w:tcPr>
            <w:tcW w:w="1098" w:type="dxa"/>
            <w:tcBorders>
              <w:top w:val="nil"/>
              <w:left w:val="nil"/>
              <w:bottom w:val="nil"/>
              <w:right w:val="nil"/>
            </w:tcBorders>
            <w:shd w:val="clear" w:color="auto" w:fill="auto"/>
            <w:noWrap/>
            <w:vAlign w:val="center"/>
            <w:hideMark/>
          </w:tcPr>
          <w:p w14:paraId="4828FC17"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156651">
              <w:rPr>
                <w:rFonts w:ascii="Times New Roman" w:hAnsi="Times New Roman" w:cs="Times New Roman"/>
                <w:b/>
                <w:bCs/>
                <w:color w:val="000000"/>
                <w:sz w:val="22"/>
                <w:szCs w:val="22"/>
              </w:rPr>
              <w:t>-0.1</w:t>
            </w:r>
          </w:p>
        </w:tc>
      </w:tr>
      <w:tr w:rsidR="00156651" w:rsidRPr="00156651" w14:paraId="749E7DDE" w14:textId="77777777" w:rsidTr="00654363">
        <w:trPr>
          <w:trHeight w:val="238"/>
          <w:jc w:val="center"/>
        </w:trPr>
        <w:tc>
          <w:tcPr>
            <w:tcW w:w="3905" w:type="dxa"/>
            <w:tcBorders>
              <w:top w:val="nil"/>
              <w:left w:val="nil"/>
              <w:bottom w:val="nil"/>
              <w:right w:val="nil"/>
            </w:tcBorders>
            <w:shd w:val="clear" w:color="auto" w:fill="auto"/>
            <w:noWrap/>
            <w:vAlign w:val="center"/>
            <w:hideMark/>
          </w:tcPr>
          <w:p w14:paraId="48FAADEA" w14:textId="77777777" w:rsidR="00156651" w:rsidRPr="00156651" w:rsidRDefault="00156651" w:rsidP="008D7BB4">
            <w:pPr>
              <w:spacing w:line="276" w:lineRule="auto"/>
              <w:contextualSpacing/>
              <w:jc w:val="both"/>
              <w:rPr>
                <w:rFonts w:ascii="Times New Roman" w:eastAsia="Times New Roman" w:hAnsi="Times New Roman" w:cs="Times New Roman"/>
                <w:b/>
                <w:bCs/>
                <w:color w:val="000000"/>
                <w:sz w:val="22"/>
                <w:szCs w:val="22"/>
                <w:lang w:eastAsia="es-GT"/>
              </w:rPr>
            </w:pPr>
            <w:r w:rsidRPr="00156651">
              <w:rPr>
                <w:rFonts w:ascii="Times New Roman" w:eastAsia="Times New Roman" w:hAnsi="Times New Roman" w:cs="Times New Roman"/>
                <w:b/>
                <w:bCs/>
                <w:color w:val="000000"/>
                <w:sz w:val="22"/>
                <w:szCs w:val="22"/>
                <w:lang w:eastAsia="es-GT"/>
              </w:rPr>
              <w:t>Préstamo (+) / endeudamiento (-)</w:t>
            </w:r>
          </w:p>
        </w:tc>
        <w:tc>
          <w:tcPr>
            <w:tcW w:w="1213" w:type="dxa"/>
            <w:tcBorders>
              <w:top w:val="nil"/>
              <w:left w:val="nil"/>
              <w:bottom w:val="nil"/>
              <w:right w:val="nil"/>
            </w:tcBorders>
            <w:shd w:val="clear" w:color="auto" w:fill="auto"/>
            <w:noWrap/>
            <w:vAlign w:val="center"/>
            <w:hideMark/>
          </w:tcPr>
          <w:p w14:paraId="53EEC545"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156651">
              <w:rPr>
                <w:rFonts w:ascii="Times New Roman" w:hAnsi="Times New Roman" w:cs="Times New Roman"/>
                <w:b/>
                <w:bCs/>
                <w:color w:val="000000"/>
                <w:sz w:val="22"/>
                <w:szCs w:val="22"/>
              </w:rPr>
              <w:t>-7,683.2</w:t>
            </w:r>
          </w:p>
        </w:tc>
        <w:tc>
          <w:tcPr>
            <w:tcW w:w="1214" w:type="dxa"/>
            <w:tcBorders>
              <w:top w:val="nil"/>
              <w:left w:val="nil"/>
              <w:bottom w:val="nil"/>
              <w:right w:val="nil"/>
            </w:tcBorders>
            <w:shd w:val="clear" w:color="auto" w:fill="auto"/>
            <w:noWrap/>
            <w:vAlign w:val="center"/>
            <w:hideMark/>
          </w:tcPr>
          <w:p w14:paraId="0A12CB0D"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156651">
              <w:rPr>
                <w:rFonts w:ascii="Times New Roman" w:hAnsi="Times New Roman" w:cs="Times New Roman"/>
                <w:b/>
                <w:bCs/>
                <w:color w:val="000000"/>
                <w:sz w:val="22"/>
                <w:szCs w:val="22"/>
              </w:rPr>
              <w:t>-12,666.4</w:t>
            </w:r>
          </w:p>
        </w:tc>
        <w:tc>
          <w:tcPr>
            <w:tcW w:w="1095" w:type="dxa"/>
            <w:tcBorders>
              <w:top w:val="nil"/>
              <w:left w:val="dotDash" w:sz="4" w:space="0" w:color="auto"/>
              <w:bottom w:val="nil"/>
              <w:right w:val="nil"/>
            </w:tcBorders>
            <w:shd w:val="clear" w:color="auto" w:fill="auto"/>
            <w:noWrap/>
            <w:vAlign w:val="center"/>
            <w:hideMark/>
          </w:tcPr>
          <w:p w14:paraId="0E04632E"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156651">
              <w:rPr>
                <w:rFonts w:ascii="Times New Roman" w:hAnsi="Times New Roman" w:cs="Times New Roman"/>
                <w:b/>
                <w:bCs/>
                <w:color w:val="000000"/>
                <w:sz w:val="22"/>
                <w:szCs w:val="22"/>
              </w:rPr>
              <w:t>-1.2</w:t>
            </w:r>
          </w:p>
        </w:tc>
        <w:tc>
          <w:tcPr>
            <w:tcW w:w="1098" w:type="dxa"/>
            <w:tcBorders>
              <w:top w:val="nil"/>
              <w:left w:val="nil"/>
              <w:bottom w:val="nil"/>
              <w:right w:val="nil"/>
            </w:tcBorders>
            <w:shd w:val="clear" w:color="auto" w:fill="auto"/>
            <w:noWrap/>
            <w:vAlign w:val="center"/>
            <w:hideMark/>
          </w:tcPr>
          <w:p w14:paraId="595D8AB1"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156651">
              <w:rPr>
                <w:rFonts w:ascii="Times New Roman" w:hAnsi="Times New Roman" w:cs="Times New Roman"/>
                <w:b/>
                <w:bCs/>
                <w:color w:val="000000"/>
                <w:sz w:val="22"/>
                <w:szCs w:val="22"/>
              </w:rPr>
              <w:t>-1.7</w:t>
            </w:r>
          </w:p>
        </w:tc>
      </w:tr>
      <w:tr w:rsidR="00156651" w:rsidRPr="00156651" w14:paraId="2B8BBB73" w14:textId="77777777" w:rsidTr="00654363">
        <w:trPr>
          <w:trHeight w:val="238"/>
          <w:jc w:val="center"/>
        </w:trPr>
        <w:tc>
          <w:tcPr>
            <w:tcW w:w="8525" w:type="dxa"/>
            <w:gridSpan w:val="5"/>
            <w:tcBorders>
              <w:top w:val="single" w:sz="8" w:space="0" w:color="auto"/>
              <w:left w:val="nil"/>
              <w:bottom w:val="double" w:sz="6" w:space="0" w:color="auto"/>
              <w:right w:val="nil"/>
            </w:tcBorders>
            <w:shd w:val="clear" w:color="auto" w:fill="auto"/>
            <w:noWrap/>
            <w:vAlign w:val="center"/>
            <w:hideMark/>
          </w:tcPr>
          <w:p w14:paraId="7F4F981E" w14:textId="77777777" w:rsidR="00156651" w:rsidRPr="00156651" w:rsidRDefault="00156651" w:rsidP="008D7BB4">
            <w:pPr>
              <w:spacing w:line="276" w:lineRule="auto"/>
              <w:contextualSpacing/>
              <w:jc w:val="both"/>
              <w:rPr>
                <w:rFonts w:ascii="Times New Roman" w:eastAsia="Times New Roman" w:hAnsi="Times New Roman" w:cs="Times New Roman"/>
                <w:b/>
                <w:bCs/>
                <w:color w:val="4472C4"/>
                <w:sz w:val="22"/>
                <w:szCs w:val="22"/>
                <w:lang w:eastAsia="es-GT"/>
              </w:rPr>
            </w:pPr>
            <w:r w:rsidRPr="00156651">
              <w:rPr>
                <w:rFonts w:ascii="Times New Roman" w:eastAsia="Times New Roman" w:hAnsi="Times New Roman" w:cs="Times New Roman"/>
                <w:b/>
                <w:bCs/>
                <w:color w:val="4472C4"/>
                <w:sz w:val="22"/>
                <w:szCs w:val="22"/>
                <w:lang w:eastAsia="es-GT"/>
              </w:rPr>
              <w:t>TRANSACCIONES EN ACTIVOS Y PASIVOS FINANCIEROS (FINANCIMIENTO)</w:t>
            </w:r>
          </w:p>
        </w:tc>
      </w:tr>
      <w:tr w:rsidR="00156651" w:rsidRPr="00156651" w14:paraId="74D8D5A6" w14:textId="77777777" w:rsidTr="00654363">
        <w:trPr>
          <w:trHeight w:val="238"/>
          <w:jc w:val="center"/>
        </w:trPr>
        <w:tc>
          <w:tcPr>
            <w:tcW w:w="3905" w:type="dxa"/>
            <w:tcBorders>
              <w:top w:val="nil"/>
              <w:left w:val="nil"/>
              <w:bottom w:val="nil"/>
              <w:right w:val="nil"/>
            </w:tcBorders>
            <w:shd w:val="clear" w:color="auto" w:fill="auto"/>
            <w:noWrap/>
            <w:vAlign w:val="center"/>
            <w:hideMark/>
          </w:tcPr>
          <w:p w14:paraId="2AA2EAB1" w14:textId="77777777" w:rsidR="00156651" w:rsidRPr="00156651" w:rsidRDefault="00156651" w:rsidP="008D7BB4">
            <w:pPr>
              <w:spacing w:line="276" w:lineRule="auto"/>
              <w:contextualSpacing/>
              <w:jc w:val="both"/>
              <w:rPr>
                <w:rFonts w:ascii="Times New Roman" w:eastAsia="Times New Roman" w:hAnsi="Times New Roman" w:cs="Times New Roman"/>
                <w:b/>
                <w:bCs/>
                <w:color w:val="000000"/>
                <w:sz w:val="22"/>
                <w:szCs w:val="22"/>
                <w:lang w:eastAsia="es-GT"/>
              </w:rPr>
            </w:pPr>
            <w:r w:rsidRPr="00156651">
              <w:rPr>
                <w:rFonts w:ascii="Times New Roman" w:eastAsia="Times New Roman" w:hAnsi="Times New Roman" w:cs="Times New Roman"/>
                <w:b/>
                <w:bCs/>
                <w:color w:val="000000"/>
                <w:sz w:val="22"/>
                <w:szCs w:val="22"/>
                <w:lang w:eastAsia="es-GT"/>
              </w:rPr>
              <w:t>Adquisición neta de activos financieros</w:t>
            </w:r>
          </w:p>
        </w:tc>
        <w:tc>
          <w:tcPr>
            <w:tcW w:w="1213" w:type="dxa"/>
            <w:tcBorders>
              <w:top w:val="nil"/>
              <w:left w:val="nil"/>
              <w:bottom w:val="nil"/>
              <w:right w:val="nil"/>
            </w:tcBorders>
            <w:shd w:val="clear" w:color="auto" w:fill="auto"/>
            <w:noWrap/>
            <w:vAlign w:val="center"/>
            <w:hideMark/>
          </w:tcPr>
          <w:p w14:paraId="47125FD1"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156651">
              <w:rPr>
                <w:rFonts w:ascii="Times New Roman" w:hAnsi="Times New Roman" w:cs="Times New Roman"/>
                <w:b/>
                <w:bCs/>
                <w:color w:val="000000"/>
                <w:sz w:val="22"/>
                <w:szCs w:val="22"/>
              </w:rPr>
              <w:t>12,218.3</w:t>
            </w:r>
          </w:p>
        </w:tc>
        <w:tc>
          <w:tcPr>
            <w:tcW w:w="1214" w:type="dxa"/>
            <w:tcBorders>
              <w:top w:val="nil"/>
              <w:left w:val="nil"/>
              <w:bottom w:val="nil"/>
              <w:right w:val="nil"/>
            </w:tcBorders>
            <w:shd w:val="clear" w:color="auto" w:fill="auto"/>
            <w:noWrap/>
            <w:vAlign w:val="center"/>
            <w:hideMark/>
          </w:tcPr>
          <w:p w14:paraId="26F2B4C3"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156651">
              <w:rPr>
                <w:rFonts w:ascii="Times New Roman" w:hAnsi="Times New Roman" w:cs="Times New Roman"/>
                <w:b/>
                <w:bCs/>
                <w:color w:val="000000"/>
                <w:sz w:val="22"/>
                <w:szCs w:val="22"/>
              </w:rPr>
              <w:t>-4,144.6</w:t>
            </w:r>
          </w:p>
        </w:tc>
        <w:tc>
          <w:tcPr>
            <w:tcW w:w="1095" w:type="dxa"/>
            <w:tcBorders>
              <w:top w:val="double" w:sz="6" w:space="0" w:color="auto"/>
              <w:left w:val="dotDash" w:sz="4" w:space="0" w:color="auto"/>
              <w:bottom w:val="nil"/>
              <w:right w:val="nil"/>
            </w:tcBorders>
            <w:shd w:val="clear" w:color="auto" w:fill="auto"/>
            <w:noWrap/>
            <w:vAlign w:val="center"/>
            <w:hideMark/>
          </w:tcPr>
          <w:p w14:paraId="480D5C87"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156651">
              <w:rPr>
                <w:rFonts w:ascii="Times New Roman" w:hAnsi="Times New Roman" w:cs="Times New Roman"/>
                <w:b/>
                <w:bCs/>
                <w:color w:val="000000"/>
                <w:sz w:val="22"/>
                <w:szCs w:val="22"/>
              </w:rPr>
              <w:t>1.8</w:t>
            </w:r>
          </w:p>
        </w:tc>
        <w:tc>
          <w:tcPr>
            <w:tcW w:w="1098" w:type="dxa"/>
            <w:tcBorders>
              <w:top w:val="nil"/>
              <w:left w:val="nil"/>
              <w:bottom w:val="nil"/>
              <w:right w:val="nil"/>
            </w:tcBorders>
            <w:shd w:val="clear" w:color="auto" w:fill="auto"/>
            <w:noWrap/>
            <w:vAlign w:val="center"/>
            <w:hideMark/>
          </w:tcPr>
          <w:p w14:paraId="43A39005"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156651">
              <w:rPr>
                <w:rFonts w:ascii="Times New Roman" w:hAnsi="Times New Roman" w:cs="Times New Roman"/>
                <w:b/>
                <w:bCs/>
                <w:color w:val="000000"/>
                <w:sz w:val="22"/>
                <w:szCs w:val="22"/>
              </w:rPr>
              <w:t>-0.6</w:t>
            </w:r>
          </w:p>
        </w:tc>
      </w:tr>
      <w:tr w:rsidR="00156651" w:rsidRPr="00156651" w14:paraId="3F1EC7C8" w14:textId="77777777" w:rsidTr="00654363">
        <w:trPr>
          <w:trHeight w:val="238"/>
          <w:jc w:val="center"/>
        </w:trPr>
        <w:tc>
          <w:tcPr>
            <w:tcW w:w="3905" w:type="dxa"/>
            <w:tcBorders>
              <w:top w:val="nil"/>
              <w:left w:val="nil"/>
              <w:bottom w:val="nil"/>
              <w:right w:val="nil"/>
            </w:tcBorders>
            <w:shd w:val="clear" w:color="auto" w:fill="auto"/>
            <w:noWrap/>
            <w:vAlign w:val="center"/>
            <w:hideMark/>
          </w:tcPr>
          <w:p w14:paraId="3D89263C" w14:textId="77777777" w:rsidR="00156651" w:rsidRPr="00156651" w:rsidRDefault="00156651" w:rsidP="008D7BB4">
            <w:pPr>
              <w:spacing w:line="276" w:lineRule="auto"/>
              <w:ind w:firstLineChars="100" w:firstLine="220"/>
              <w:contextualSpacing/>
              <w:rPr>
                <w:rFonts w:ascii="Times New Roman" w:eastAsia="Times New Roman" w:hAnsi="Times New Roman" w:cs="Times New Roman"/>
                <w:color w:val="000000"/>
                <w:sz w:val="22"/>
                <w:szCs w:val="22"/>
                <w:lang w:eastAsia="es-GT"/>
              </w:rPr>
            </w:pPr>
            <w:r w:rsidRPr="00156651">
              <w:rPr>
                <w:rFonts w:ascii="Times New Roman" w:eastAsia="Times New Roman" w:hAnsi="Times New Roman" w:cs="Times New Roman"/>
                <w:color w:val="000000"/>
                <w:sz w:val="22"/>
                <w:szCs w:val="22"/>
                <w:lang w:eastAsia="es-GT"/>
              </w:rPr>
              <w:t>Billetes monedas y depósitos</w:t>
            </w:r>
          </w:p>
        </w:tc>
        <w:tc>
          <w:tcPr>
            <w:tcW w:w="1213" w:type="dxa"/>
            <w:tcBorders>
              <w:top w:val="nil"/>
              <w:left w:val="nil"/>
              <w:bottom w:val="nil"/>
              <w:right w:val="nil"/>
            </w:tcBorders>
            <w:shd w:val="clear" w:color="auto" w:fill="auto"/>
            <w:noWrap/>
            <w:vAlign w:val="center"/>
            <w:hideMark/>
          </w:tcPr>
          <w:p w14:paraId="518C990C"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12,094.7</w:t>
            </w:r>
          </w:p>
        </w:tc>
        <w:tc>
          <w:tcPr>
            <w:tcW w:w="1214" w:type="dxa"/>
            <w:tcBorders>
              <w:top w:val="nil"/>
              <w:left w:val="nil"/>
              <w:bottom w:val="nil"/>
              <w:right w:val="nil"/>
            </w:tcBorders>
            <w:shd w:val="clear" w:color="auto" w:fill="auto"/>
            <w:noWrap/>
            <w:vAlign w:val="center"/>
            <w:hideMark/>
          </w:tcPr>
          <w:p w14:paraId="19D8459E"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-4,099.8</w:t>
            </w:r>
          </w:p>
        </w:tc>
        <w:tc>
          <w:tcPr>
            <w:tcW w:w="1095" w:type="dxa"/>
            <w:tcBorders>
              <w:top w:val="nil"/>
              <w:left w:val="dotDash" w:sz="4" w:space="0" w:color="auto"/>
              <w:bottom w:val="nil"/>
              <w:right w:val="nil"/>
            </w:tcBorders>
            <w:shd w:val="clear" w:color="auto" w:fill="auto"/>
            <w:noWrap/>
            <w:vAlign w:val="center"/>
            <w:hideMark/>
          </w:tcPr>
          <w:p w14:paraId="18F3733A"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1.8</w:t>
            </w:r>
          </w:p>
        </w:tc>
        <w:tc>
          <w:tcPr>
            <w:tcW w:w="1098" w:type="dxa"/>
            <w:tcBorders>
              <w:top w:val="nil"/>
              <w:left w:val="nil"/>
              <w:bottom w:val="nil"/>
              <w:right w:val="nil"/>
            </w:tcBorders>
            <w:shd w:val="clear" w:color="auto" w:fill="auto"/>
            <w:noWrap/>
            <w:vAlign w:val="center"/>
            <w:hideMark/>
          </w:tcPr>
          <w:p w14:paraId="4E982DB8"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-0.6</w:t>
            </w:r>
          </w:p>
        </w:tc>
      </w:tr>
      <w:tr w:rsidR="00156651" w:rsidRPr="00156651" w14:paraId="74A28AA8" w14:textId="77777777" w:rsidTr="00654363">
        <w:trPr>
          <w:trHeight w:val="238"/>
          <w:jc w:val="center"/>
        </w:trPr>
        <w:tc>
          <w:tcPr>
            <w:tcW w:w="3905" w:type="dxa"/>
            <w:tcBorders>
              <w:top w:val="nil"/>
              <w:left w:val="nil"/>
              <w:bottom w:val="nil"/>
              <w:right w:val="nil"/>
            </w:tcBorders>
            <w:shd w:val="clear" w:color="auto" w:fill="auto"/>
            <w:noWrap/>
            <w:vAlign w:val="center"/>
            <w:hideMark/>
          </w:tcPr>
          <w:p w14:paraId="1AE318A1" w14:textId="77777777" w:rsidR="00156651" w:rsidRPr="00156651" w:rsidRDefault="00156651" w:rsidP="008D7BB4">
            <w:pPr>
              <w:spacing w:line="276" w:lineRule="auto"/>
              <w:ind w:firstLineChars="100" w:firstLine="220"/>
              <w:contextualSpacing/>
              <w:rPr>
                <w:rFonts w:ascii="Times New Roman" w:eastAsia="Times New Roman" w:hAnsi="Times New Roman" w:cs="Times New Roman"/>
                <w:color w:val="000000"/>
                <w:sz w:val="22"/>
                <w:szCs w:val="22"/>
                <w:lang w:eastAsia="es-GT"/>
              </w:rPr>
            </w:pPr>
            <w:r w:rsidRPr="00156651">
              <w:rPr>
                <w:rFonts w:ascii="Times New Roman" w:eastAsia="Times New Roman" w:hAnsi="Times New Roman" w:cs="Times New Roman"/>
                <w:color w:val="000000"/>
                <w:sz w:val="22"/>
                <w:szCs w:val="22"/>
                <w:lang w:eastAsia="es-GT"/>
              </w:rPr>
              <w:t>Préstamos</w:t>
            </w:r>
          </w:p>
        </w:tc>
        <w:tc>
          <w:tcPr>
            <w:tcW w:w="1213" w:type="dxa"/>
            <w:tcBorders>
              <w:top w:val="nil"/>
              <w:left w:val="nil"/>
              <w:bottom w:val="nil"/>
              <w:right w:val="nil"/>
            </w:tcBorders>
            <w:shd w:val="clear" w:color="auto" w:fill="auto"/>
            <w:noWrap/>
            <w:vAlign w:val="center"/>
            <w:hideMark/>
          </w:tcPr>
          <w:p w14:paraId="15348B38"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-90.3</w:t>
            </w:r>
          </w:p>
        </w:tc>
        <w:tc>
          <w:tcPr>
            <w:tcW w:w="1214" w:type="dxa"/>
            <w:tcBorders>
              <w:top w:val="nil"/>
              <w:left w:val="nil"/>
              <w:bottom w:val="nil"/>
              <w:right w:val="nil"/>
            </w:tcBorders>
            <w:shd w:val="clear" w:color="auto" w:fill="auto"/>
            <w:noWrap/>
            <w:vAlign w:val="center"/>
            <w:hideMark/>
          </w:tcPr>
          <w:p w14:paraId="1BCD95B3"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-44.8</w:t>
            </w:r>
          </w:p>
        </w:tc>
        <w:tc>
          <w:tcPr>
            <w:tcW w:w="1095" w:type="dxa"/>
            <w:tcBorders>
              <w:top w:val="nil"/>
              <w:left w:val="dotDash" w:sz="4" w:space="0" w:color="auto"/>
              <w:bottom w:val="nil"/>
              <w:right w:val="nil"/>
            </w:tcBorders>
            <w:shd w:val="clear" w:color="auto" w:fill="auto"/>
            <w:noWrap/>
            <w:vAlign w:val="center"/>
            <w:hideMark/>
          </w:tcPr>
          <w:p w14:paraId="38F4A9E7"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0.0</w:t>
            </w:r>
          </w:p>
        </w:tc>
        <w:tc>
          <w:tcPr>
            <w:tcW w:w="1098" w:type="dxa"/>
            <w:tcBorders>
              <w:top w:val="nil"/>
              <w:left w:val="nil"/>
              <w:bottom w:val="nil"/>
              <w:right w:val="nil"/>
            </w:tcBorders>
            <w:shd w:val="clear" w:color="auto" w:fill="auto"/>
            <w:noWrap/>
            <w:vAlign w:val="center"/>
            <w:hideMark/>
          </w:tcPr>
          <w:p w14:paraId="1D26CD66"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0.0</w:t>
            </w:r>
          </w:p>
        </w:tc>
      </w:tr>
      <w:tr w:rsidR="00156651" w:rsidRPr="00156651" w14:paraId="13B2AE16" w14:textId="77777777" w:rsidTr="00654363">
        <w:trPr>
          <w:trHeight w:val="238"/>
          <w:jc w:val="center"/>
        </w:trPr>
        <w:tc>
          <w:tcPr>
            <w:tcW w:w="3905" w:type="dxa"/>
            <w:tcBorders>
              <w:top w:val="nil"/>
              <w:left w:val="nil"/>
              <w:bottom w:val="nil"/>
              <w:right w:val="nil"/>
            </w:tcBorders>
            <w:shd w:val="clear" w:color="auto" w:fill="auto"/>
            <w:noWrap/>
            <w:vAlign w:val="center"/>
            <w:hideMark/>
          </w:tcPr>
          <w:p w14:paraId="1AAE4F9C" w14:textId="77777777" w:rsidR="00156651" w:rsidRPr="00156651" w:rsidRDefault="00156651" w:rsidP="008D7BB4">
            <w:pPr>
              <w:spacing w:line="276" w:lineRule="auto"/>
              <w:ind w:firstLineChars="100" w:firstLine="220"/>
              <w:contextualSpacing/>
              <w:rPr>
                <w:rFonts w:ascii="Times New Roman" w:eastAsia="Times New Roman" w:hAnsi="Times New Roman" w:cs="Times New Roman"/>
                <w:color w:val="000000"/>
                <w:sz w:val="22"/>
                <w:szCs w:val="22"/>
                <w:lang w:eastAsia="es-GT"/>
              </w:rPr>
            </w:pPr>
            <w:r w:rsidRPr="00156651">
              <w:rPr>
                <w:rFonts w:ascii="Times New Roman" w:eastAsia="Times New Roman" w:hAnsi="Times New Roman" w:cs="Times New Roman"/>
                <w:color w:val="000000"/>
                <w:sz w:val="22"/>
                <w:szCs w:val="22"/>
                <w:lang w:eastAsia="es-GT"/>
              </w:rPr>
              <w:t>Otros</w:t>
            </w:r>
          </w:p>
        </w:tc>
        <w:tc>
          <w:tcPr>
            <w:tcW w:w="1213" w:type="dxa"/>
            <w:tcBorders>
              <w:top w:val="nil"/>
              <w:left w:val="nil"/>
              <w:bottom w:val="nil"/>
              <w:right w:val="nil"/>
            </w:tcBorders>
            <w:shd w:val="clear" w:color="auto" w:fill="auto"/>
            <w:noWrap/>
            <w:vAlign w:val="center"/>
            <w:hideMark/>
          </w:tcPr>
          <w:p w14:paraId="2C30E1D3"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213.9</w:t>
            </w:r>
          </w:p>
        </w:tc>
        <w:tc>
          <w:tcPr>
            <w:tcW w:w="1214" w:type="dxa"/>
            <w:tcBorders>
              <w:top w:val="nil"/>
              <w:left w:val="nil"/>
              <w:bottom w:val="nil"/>
              <w:right w:val="nil"/>
            </w:tcBorders>
            <w:shd w:val="clear" w:color="auto" w:fill="auto"/>
            <w:noWrap/>
            <w:vAlign w:val="center"/>
            <w:hideMark/>
          </w:tcPr>
          <w:p w14:paraId="6A54206F"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0.0</w:t>
            </w:r>
          </w:p>
        </w:tc>
        <w:tc>
          <w:tcPr>
            <w:tcW w:w="1095" w:type="dxa"/>
            <w:tcBorders>
              <w:top w:val="nil"/>
              <w:left w:val="dotDash" w:sz="4" w:space="0" w:color="auto"/>
              <w:bottom w:val="nil"/>
              <w:right w:val="nil"/>
            </w:tcBorders>
            <w:shd w:val="clear" w:color="auto" w:fill="auto"/>
            <w:noWrap/>
            <w:vAlign w:val="center"/>
            <w:hideMark/>
          </w:tcPr>
          <w:p w14:paraId="386D38C9"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0.0</w:t>
            </w:r>
          </w:p>
        </w:tc>
        <w:tc>
          <w:tcPr>
            <w:tcW w:w="1098" w:type="dxa"/>
            <w:tcBorders>
              <w:top w:val="nil"/>
              <w:left w:val="nil"/>
              <w:bottom w:val="nil"/>
              <w:right w:val="nil"/>
            </w:tcBorders>
            <w:shd w:val="clear" w:color="auto" w:fill="auto"/>
            <w:noWrap/>
            <w:vAlign w:val="center"/>
            <w:hideMark/>
          </w:tcPr>
          <w:p w14:paraId="51285787"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0.0</w:t>
            </w:r>
          </w:p>
        </w:tc>
      </w:tr>
      <w:tr w:rsidR="00156651" w:rsidRPr="00156651" w14:paraId="35A5D19C" w14:textId="77777777" w:rsidTr="00654363">
        <w:trPr>
          <w:trHeight w:val="238"/>
          <w:jc w:val="center"/>
        </w:trPr>
        <w:tc>
          <w:tcPr>
            <w:tcW w:w="3905" w:type="dxa"/>
            <w:tcBorders>
              <w:top w:val="nil"/>
              <w:left w:val="nil"/>
              <w:bottom w:val="nil"/>
              <w:right w:val="nil"/>
            </w:tcBorders>
            <w:shd w:val="clear" w:color="auto" w:fill="auto"/>
            <w:noWrap/>
            <w:vAlign w:val="center"/>
            <w:hideMark/>
          </w:tcPr>
          <w:p w14:paraId="48CD45E1" w14:textId="77777777" w:rsidR="00156651" w:rsidRPr="00156651" w:rsidRDefault="00156651" w:rsidP="008D7BB4">
            <w:pPr>
              <w:spacing w:line="276" w:lineRule="auto"/>
              <w:contextualSpacing/>
              <w:jc w:val="both"/>
              <w:rPr>
                <w:rFonts w:ascii="Times New Roman" w:eastAsia="Times New Roman" w:hAnsi="Times New Roman" w:cs="Times New Roman"/>
                <w:b/>
                <w:bCs/>
                <w:color w:val="000000"/>
                <w:sz w:val="22"/>
                <w:szCs w:val="22"/>
                <w:lang w:eastAsia="es-GT"/>
              </w:rPr>
            </w:pPr>
            <w:r w:rsidRPr="00156651">
              <w:rPr>
                <w:rFonts w:ascii="Times New Roman" w:eastAsia="Times New Roman" w:hAnsi="Times New Roman" w:cs="Times New Roman"/>
                <w:b/>
                <w:bCs/>
                <w:color w:val="000000"/>
                <w:sz w:val="22"/>
                <w:szCs w:val="22"/>
                <w:lang w:eastAsia="es-GT"/>
              </w:rPr>
              <w:t>Incurrimiento neto de pasivos</w:t>
            </w:r>
          </w:p>
        </w:tc>
        <w:tc>
          <w:tcPr>
            <w:tcW w:w="1213" w:type="dxa"/>
            <w:tcBorders>
              <w:top w:val="nil"/>
              <w:left w:val="nil"/>
              <w:bottom w:val="nil"/>
              <w:right w:val="nil"/>
            </w:tcBorders>
            <w:shd w:val="clear" w:color="auto" w:fill="auto"/>
            <w:noWrap/>
            <w:vAlign w:val="center"/>
            <w:hideMark/>
          </w:tcPr>
          <w:p w14:paraId="05FE91F2"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156651">
              <w:rPr>
                <w:rFonts w:ascii="Times New Roman" w:hAnsi="Times New Roman" w:cs="Times New Roman"/>
                <w:b/>
                <w:bCs/>
                <w:color w:val="000000"/>
                <w:sz w:val="22"/>
                <w:szCs w:val="22"/>
              </w:rPr>
              <w:t>19,161.4</w:t>
            </w:r>
          </w:p>
        </w:tc>
        <w:tc>
          <w:tcPr>
            <w:tcW w:w="1214" w:type="dxa"/>
            <w:tcBorders>
              <w:top w:val="nil"/>
              <w:left w:val="nil"/>
              <w:bottom w:val="nil"/>
              <w:right w:val="nil"/>
            </w:tcBorders>
            <w:shd w:val="clear" w:color="auto" w:fill="auto"/>
            <w:noWrap/>
            <w:vAlign w:val="center"/>
            <w:hideMark/>
          </w:tcPr>
          <w:p w14:paraId="1231B627"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156651">
              <w:rPr>
                <w:rFonts w:ascii="Times New Roman" w:hAnsi="Times New Roman" w:cs="Times New Roman"/>
                <w:b/>
                <w:bCs/>
                <w:color w:val="000000"/>
                <w:sz w:val="22"/>
                <w:szCs w:val="22"/>
              </w:rPr>
              <w:t>8,932.1</w:t>
            </w:r>
          </w:p>
        </w:tc>
        <w:tc>
          <w:tcPr>
            <w:tcW w:w="1095" w:type="dxa"/>
            <w:tcBorders>
              <w:top w:val="nil"/>
              <w:left w:val="dotDash" w:sz="4" w:space="0" w:color="auto"/>
              <w:bottom w:val="nil"/>
              <w:right w:val="nil"/>
            </w:tcBorders>
            <w:shd w:val="clear" w:color="auto" w:fill="auto"/>
            <w:noWrap/>
            <w:vAlign w:val="center"/>
            <w:hideMark/>
          </w:tcPr>
          <w:p w14:paraId="1825A35A"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156651">
              <w:rPr>
                <w:rFonts w:ascii="Times New Roman" w:hAnsi="Times New Roman" w:cs="Times New Roman"/>
                <w:b/>
                <w:bCs/>
                <w:color w:val="000000"/>
                <w:sz w:val="22"/>
                <w:szCs w:val="22"/>
              </w:rPr>
              <w:t>2.9</w:t>
            </w:r>
          </w:p>
        </w:tc>
        <w:tc>
          <w:tcPr>
            <w:tcW w:w="1098" w:type="dxa"/>
            <w:tcBorders>
              <w:top w:val="nil"/>
              <w:left w:val="nil"/>
              <w:bottom w:val="nil"/>
              <w:right w:val="nil"/>
            </w:tcBorders>
            <w:shd w:val="clear" w:color="auto" w:fill="auto"/>
            <w:noWrap/>
            <w:vAlign w:val="center"/>
            <w:hideMark/>
          </w:tcPr>
          <w:p w14:paraId="76F87B79"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156651">
              <w:rPr>
                <w:rFonts w:ascii="Times New Roman" w:hAnsi="Times New Roman" w:cs="Times New Roman"/>
                <w:b/>
                <w:bCs/>
                <w:color w:val="000000"/>
                <w:sz w:val="22"/>
                <w:szCs w:val="22"/>
              </w:rPr>
              <w:t>1.2</w:t>
            </w:r>
          </w:p>
        </w:tc>
      </w:tr>
      <w:tr w:rsidR="00156651" w:rsidRPr="00156651" w14:paraId="24258916" w14:textId="77777777" w:rsidTr="00654363">
        <w:trPr>
          <w:trHeight w:val="238"/>
          <w:jc w:val="center"/>
        </w:trPr>
        <w:tc>
          <w:tcPr>
            <w:tcW w:w="3905" w:type="dxa"/>
            <w:tcBorders>
              <w:top w:val="nil"/>
              <w:left w:val="nil"/>
              <w:bottom w:val="nil"/>
              <w:right w:val="nil"/>
            </w:tcBorders>
            <w:shd w:val="clear" w:color="auto" w:fill="auto"/>
            <w:noWrap/>
            <w:vAlign w:val="center"/>
            <w:hideMark/>
          </w:tcPr>
          <w:p w14:paraId="356722DE" w14:textId="77777777" w:rsidR="00156651" w:rsidRPr="00156651" w:rsidRDefault="00156651" w:rsidP="008D7BB4">
            <w:pPr>
              <w:spacing w:line="276" w:lineRule="auto"/>
              <w:ind w:firstLineChars="100" w:firstLine="220"/>
              <w:contextualSpacing/>
              <w:rPr>
                <w:rFonts w:ascii="Times New Roman" w:eastAsia="Times New Roman" w:hAnsi="Times New Roman" w:cs="Times New Roman"/>
                <w:color w:val="000000"/>
                <w:sz w:val="22"/>
                <w:szCs w:val="22"/>
                <w:lang w:eastAsia="es-GT"/>
              </w:rPr>
            </w:pPr>
            <w:r w:rsidRPr="00156651">
              <w:rPr>
                <w:rFonts w:ascii="Times New Roman" w:eastAsia="Times New Roman" w:hAnsi="Times New Roman" w:cs="Times New Roman"/>
                <w:color w:val="000000"/>
                <w:sz w:val="22"/>
                <w:szCs w:val="22"/>
                <w:lang w:eastAsia="es-GT"/>
              </w:rPr>
              <w:t>Títulos de deuda</w:t>
            </w:r>
          </w:p>
        </w:tc>
        <w:tc>
          <w:tcPr>
            <w:tcW w:w="1213" w:type="dxa"/>
            <w:tcBorders>
              <w:top w:val="nil"/>
              <w:left w:val="nil"/>
              <w:bottom w:val="nil"/>
              <w:right w:val="nil"/>
            </w:tcBorders>
            <w:shd w:val="clear" w:color="auto" w:fill="auto"/>
            <w:noWrap/>
            <w:vAlign w:val="center"/>
            <w:hideMark/>
          </w:tcPr>
          <w:p w14:paraId="50B16647"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22,151.9</w:t>
            </w:r>
          </w:p>
        </w:tc>
        <w:tc>
          <w:tcPr>
            <w:tcW w:w="1214" w:type="dxa"/>
            <w:tcBorders>
              <w:top w:val="nil"/>
              <w:left w:val="nil"/>
              <w:bottom w:val="nil"/>
              <w:right w:val="nil"/>
            </w:tcBorders>
            <w:shd w:val="clear" w:color="auto" w:fill="auto"/>
            <w:noWrap/>
            <w:vAlign w:val="center"/>
            <w:hideMark/>
          </w:tcPr>
          <w:p w14:paraId="40ADA482"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6,896.4</w:t>
            </w:r>
          </w:p>
        </w:tc>
        <w:tc>
          <w:tcPr>
            <w:tcW w:w="1095" w:type="dxa"/>
            <w:tcBorders>
              <w:top w:val="nil"/>
              <w:left w:val="dotDash" w:sz="4" w:space="0" w:color="auto"/>
              <w:bottom w:val="nil"/>
              <w:right w:val="nil"/>
            </w:tcBorders>
            <w:shd w:val="clear" w:color="auto" w:fill="auto"/>
            <w:noWrap/>
            <w:vAlign w:val="center"/>
            <w:hideMark/>
          </w:tcPr>
          <w:p w14:paraId="608CEC96"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3.3</w:t>
            </w:r>
          </w:p>
        </w:tc>
        <w:tc>
          <w:tcPr>
            <w:tcW w:w="1098" w:type="dxa"/>
            <w:tcBorders>
              <w:top w:val="nil"/>
              <w:left w:val="nil"/>
              <w:bottom w:val="nil"/>
              <w:right w:val="nil"/>
            </w:tcBorders>
            <w:shd w:val="clear" w:color="auto" w:fill="auto"/>
            <w:noWrap/>
            <w:vAlign w:val="center"/>
            <w:hideMark/>
          </w:tcPr>
          <w:p w14:paraId="195D1CC6"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0.9</w:t>
            </w:r>
          </w:p>
        </w:tc>
      </w:tr>
      <w:tr w:rsidR="00156651" w:rsidRPr="00156651" w14:paraId="1A46E09E" w14:textId="77777777" w:rsidTr="00654363">
        <w:trPr>
          <w:trHeight w:val="238"/>
          <w:jc w:val="center"/>
        </w:trPr>
        <w:tc>
          <w:tcPr>
            <w:tcW w:w="3905" w:type="dxa"/>
            <w:tcBorders>
              <w:top w:val="nil"/>
              <w:left w:val="nil"/>
              <w:bottom w:val="nil"/>
              <w:right w:val="nil"/>
            </w:tcBorders>
            <w:shd w:val="clear" w:color="auto" w:fill="auto"/>
            <w:noWrap/>
            <w:vAlign w:val="center"/>
            <w:hideMark/>
          </w:tcPr>
          <w:p w14:paraId="4F08CA76" w14:textId="77777777" w:rsidR="00156651" w:rsidRPr="00156651" w:rsidRDefault="00156651" w:rsidP="008D7BB4">
            <w:pPr>
              <w:spacing w:line="276" w:lineRule="auto"/>
              <w:ind w:firstLineChars="100" w:firstLine="220"/>
              <w:contextualSpacing/>
              <w:rPr>
                <w:rFonts w:ascii="Times New Roman" w:eastAsia="Times New Roman" w:hAnsi="Times New Roman" w:cs="Times New Roman"/>
                <w:color w:val="000000"/>
                <w:sz w:val="22"/>
                <w:szCs w:val="22"/>
                <w:lang w:eastAsia="es-GT"/>
              </w:rPr>
            </w:pPr>
            <w:r w:rsidRPr="00156651">
              <w:rPr>
                <w:rFonts w:ascii="Times New Roman" w:eastAsia="Times New Roman" w:hAnsi="Times New Roman" w:cs="Times New Roman"/>
                <w:color w:val="000000"/>
                <w:sz w:val="22"/>
                <w:szCs w:val="22"/>
                <w:lang w:eastAsia="es-GT"/>
              </w:rPr>
              <w:t>Préstamos</w:t>
            </w:r>
          </w:p>
        </w:tc>
        <w:tc>
          <w:tcPr>
            <w:tcW w:w="1213" w:type="dxa"/>
            <w:tcBorders>
              <w:top w:val="nil"/>
              <w:left w:val="nil"/>
              <w:bottom w:val="nil"/>
              <w:right w:val="nil"/>
            </w:tcBorders>
            <w:shd w:val="clear" w:color="auto" w:fill="auto"/>
            <w:noWrap/>
            <w:vAlign w:val="center"/>
            <w:hideMark/>
          </w:tcPr>
          <w:p w14:paraId="1F4BF6EC"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-2,496.2</w:t>
            </w:r>
          </w:p>
        </w:tc>
        <w:tc>
          <w:tcPr>
            <w:tcW w:w="1214" w:type="dxa"/>
            <w:tcBorders>
              <w:top w:val="nil"/>
              <w:left w:val="nil"/>
              <w:bottom w:val="nil"/>
              <w:right w:val="nil"/>
            </w:tcBorders>
            <w:shd w:val="clear" w:color="auto" w:fill="auto"/>
            <w:noWrap/>
            <w:vAlign w:val="center"/>
            <w:hideMark/>
          </w:tcPr>
          <w:p w14:paraId="404C7E59"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1,724.0</w:t>
            </w:r>
          </w:p>
        </w:tc>
        <w:tc>
          <w:tcPr>
            <w:tcW w:w="1095" w:type="dxa"/>
            <w:tcBorders>
              <w:top w:val="nil"/>
              <w:left w:val="dotDash" w:sz="4" w:space="0" w:color="auto"/>
              <w:bottom w:val="nil"/>
              <w:right w:val="nil"/>
            </w:tcBorders>
            <w:shd w:val="clear" w:color="auto" w:fill="auto"/>
            <w:noWrap/>
            <w:vAlign w:val="center"/>
            <w:hideMark/>
          </w:tcPr>
          <w:p w14:paraId="5197E22A"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-0.4</w:t>
            </w:r>
          </w:p>
        </w:tc>
        <w:tc>
          <w:tcPr>
            <w:tcW w:w="1098" w:type="dxa"/>
            <w:tcBorders>
              <w:top w:val="nil"/>
              <w:left w:val="nil"/>
              <w:bottom w:val="nil"/>
              <w:right w:val="nil"/>
            </w:tcBorders>
            <w:shd w:val="clear" w:color="auto" w:fill="auto"/>
            <w:noWrap/>
            <w:vAlign w:val="center"/>
            <w:hideMark/>
          </w:tcPr>
          <w:p w14:paraId="4ACC4A30"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0.2</w:t>
            </w:r>
          </w:p>
        </w:tc>
      </w:tr>
      <w:tr w:rsidR="00156651" w:rsidRPr="00156651" w14:paraId="650353D6" w14:textId="77777777" w:rsidTr="00654363">
        <w:trPr>
          <w:trHeight w:val="238"/>
          <w:jc w:val="center"/>
        </w:trPr>
        <w:tc>
          <w:tcPr>
            <w:tcW w:w="3905" w:type="dxa"/>
            <w:tcBorders>
              <w:top w:val="nil"/>
              <w:left w:val="nil"/>
              <w:bottom w:val="nil"/>
              <w:right w:val="nil"/>
            </w:tcBorders>
            <w:shd w:val="clear" w:color="auto" w:fill="auto"/>
            <w:noWrap/>
            <w:vAlign w:val="center"/>
            <w:hideMark/>
          </w:tcPr>
          <w:p w14:paraId="2C23C453" w14:textId="77777777" w:rsidR="00156651" w:rsidRPr="00156651" w:rsidRDefault="00156651" w:rsidP="008D7BB4">
            <w:pPr>
              <w:spacing w:line="276" w:lineRule="auto"/>
              <w:ind w:firstLineChars="100" w:firstLine="220"/>
              <w:contextualSpacing/>
              <w:rPr>
                <w:rFonts w:ascii="Times New Roman" w:eastAsia="Times New Roman" w:hAnsi="Times New Roman" w:cs="Times New Roman"/>
                <w:color w:val="000000"/>
                <w:sz w:val="22"/>
                <w:szCs w:val="22"/>
                <w:lang w:eastAsia="es-GT"/>
              </w:rPr>
            </w:pPr>
            <w:r w:rsidRPr="00156651">
              <w:rPr>
                <w:rFonts w:ascii="Times New Roman" w:eastAsia="Times New Roman" w:hAnsi="Times New Roman" w:cs="Times New Roman"/>
                <w:color w:val="000000"/>
                <w:sz w:val="22"/>
                <w:szCs w:val="22"/>
                <w:lang w:eastAsia="es-GT"/>
              </w:rPr>
              <w:t>Otros</w:t>
            </w:r>
          </w:p>
        </w:tc>
        <w:tc>
          <w:tcPr>
            <w:tcW w:w="1213" w:type="dxa"/>
            <w:tcBorders>
              <w:top w:val="nil"/>
              <w:left w:val="nil"/>
              <w:bottom w:val="nil"/>
              <w:right w:val="nil"/>
            </w:tcBorders>
            <w:shd w:val="clear" w:color="auto" w:fill="auto"/>
            <w:noWrap/>
            <w:vAlign w:val="center"/>
            <w:hideMark/>
          </w:tcPr>
          <w:p w14:paraId="732F5D18"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-494.3</w:t>
            </w:r>
          </w:p>
        </w:tc>
        <w:tc>
          <w:tcPr>
            <w:tcW w:w="1214" w:type="dxa"/>
            <w:tcBorders>
              <w:top w:val="nil"/>
              <w:left w:val="nil"/>
              <w:bottom w:val="nil"/>
              <w:right w:val="nil"/>
            </w:tcBorders>
            <w:shd w:val="clear" w:color="auto" w:fill="auto"/>
            <w:noWrap/>
            <w:vAlign w:val="center"/>
            <w:hideMark/>
          </w:tcPr>
          <w:p w14:paraId="7B1363B7"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311.6</w:t>
            </w:r>
          </w:p>
        </w:tc>
        <w:tc>
          <w:tcPr>
            <w:tcW w:w="1095" w:type="dxa"/>
            <w:tcBorders>
              <w:top w:val="nil"/>
              <w:left w:val="dotDash" w:sz="4" w:space="0" w:color="auto"/>
              <w:bottom w:val="nil"/>
              <w:right w:val="nil"/>
            </w:tcBorders>
            <w:shd w:val="clear" w:color="auto" w:fill="auto"/>
            <w:noWrap/>
            <w:vAlign w:val="center"/>
            <w:hideMark/>
          </w:tcPr>
          <w:p w14:paraId="31E56961"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-0.1</w:t>
            </w:r>
          </w:p>
        </w:tc>
        <w:tc>
          <w:tcPr>
            <w:tcW w:w="1098" w:type="dxa"/>
            <w:tcBorders>
              <w:top w:val="nil"/>
              <w:left w:val="nil"/>
              <w:bottom w:val="nil"/>
              <w:right w:val="nil"/>
            </w:tcBorders>
            <w:shd w:val="clear" w:color="auto" w:fill="auto"/>
            <w:noWrap/>
            <w:vAlign w:val="center"/>
            <w:hideMark/>
          </w:tcPr>
          <w:p w14:paraId="4908787E"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0.0</w:t>
            </w:r>
          </w:p>
        </w:tc>
      </w:tr>
      <w:tr w:rsidR="00156651" w:rsidRPr="00156651" w14:paraId="3AE5031E" w14:textId="77777777" w:rsidTr="00654363">
        <w:trPr>
          <w:trHeight w:val="238"/>
          <w:jc w:val="center"/>
        </w:trPr>
        <w:tc>
          <w:tcPr>
            <w:tcW w:w="3905" w:type="dxa"/>
            <w:tcBorders>
              <w:top w:val="nil"/>
              <w:left w:val="nil"/>
              <w:bottom w:val="nil"/>
              <w:right w:val="nil"/>
            </w:tcBorders>
            <w:shd w:val="clear" w:color="auto" w:fill="auto"/>
            <w:noWrap/>
            <w:vAlign w:val="center"/>
            <w:hideMark/>
          </w:tcPr>
          <w:p w14:paraId="4BB41F52" w14:textId="77777777" w:rsidR="00156651" w:rsidRPr="00156651" w:rsidRDefault="00156651" w:rsidP="008D7BB4">
            <w:pPr>
              <w:spacing w:line="276" w:lineRule="auto"/>
              <w:contextualSpacing/>
              <w:jc w:val="both"/>
              <w:rPr>
                <w:rFonts w:ascii="Times New Roman" w:eastAsia="Times New Roman" w:hAnsi="Times New Roman" w:cs="Times New Roman"/>
                <w:b/>
                <w:bCs/>
                <w:color w:val="000000"/>
                <w:sz w:val="22"/>
                <w:szCs w:val="22"/>
                <w:lang w:eastAsia="es-GT"/>
              </w:rPr>
            </w:pPr>
            <w:r w:rsidRPr="00156651">
              <w:rPr>
                <w:rFonts w:ascii="Times New Roman" w:eastAsia="Times New Roman" w:hAnsi="Times New Roman" w:cs="Times New Roman"/>
                <w:b/>
                <w:bCs/>
                <w:color w:val="000000"/>
                <w:sz w:val="22"/>
                <w:szCs w:val="22"/>
                <w:lang w:eastAsia="es-GT"/>
              </w:rPr>
              <w:t>Discrepancia estadística global</w:t>
            </w:r>
          </w:p>
        </w:tc>
        <w:tc>
          <w:tcPr>
            <w:tcW w:w="1213" w:type="dxa"/>
            <w:tcBorders>
              <w:top w:val="nil"/>
              <w:left w:val="nil"/>
              <w:bottom w:val="nil"/>
              <w:right w:val="nil"/>
            </w:tcBorders>
            <w:shd w:val="clear" w:color="auto" w:fill="auto"/>
            <w:noWrap/>
            <w:vAlign w:val="center"/>
            <w:hideMark/>
          </w:tcPr>
          <w:p w14:paraId="582259D0"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156651">
              <w:rPr>
                <w:rFonts w:ascii="Times New Roman" w:hAnsi="Times New Roman" w:cs="Times New Roman"/>
                <w:b/>
                <w:bCs/>
                <w:color w:val="000000"/>
                <w:sz w:val="22"/>
                <w:szCs w:val="22"/>
              </w:rPr>
              <w:t>740.0</w:t>
            </w:r>
          </w:p>
        </w:tc>
        <w:tc>
          <w:tcPr>
            <w:tcW w:w="1214" w:type="dxa"/>
            <w:tcBorders>
              <w:top w:val="nil"/>
              <w:left w:val="nil"/>
              <w:bottom w:val="nil"/>
              <w:right w:val="nil"/>
            </w:tcBorders>
            <w:shd w:val="clear" w:color="auto" w:fill="auto"/>
            <w:noWrap/>
            <w:vAlign w:val="center"/>
            <w:hideMark/>
          </w:tcPr>
          <w:p w14:paraId="38DC7647"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156651">
              <w:rPr>
                <w:rFonts w:ascii="Times New Roman" w:hAnsi="Times New Roman" w:cs="Times New Roman"/>
                <w:b/>
                <w:bCs/>
                <w:color w:val="000000"/>
                <w:sz w:val="22"/>
                <w:szCs w:val="22"/>
              </w:rPr>
              <w:t>-410.3</w:t>
            </w:r>
          </w:p>
        </w:tc>
        <w:tc>
          <w:tcPr>
            <w:tcW w:w="1095" w:type="dxa"/>
            <w:tcBorders>
              <w:top w:val="nil"/>
              <w:left w:val="dotDash" w:sz="4" w:space="0" w:color="auto"/>
              <w:bottom w:val="nil"/>
              <w:right w:val="nil"/>
            </w:tcBorders>
            <w:shd w:val="clear" w:color="auto" w:fill="auto"/>
            <w:noWrap/>
            <w:vAlign w:val="center"/>
            <w:hideMark/>
          </w:tcPr>
          <w:p w14:paraId="7CB242FA"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156651">
              <w:rPr>
                <w:rFonts w:ascii="Times New Roman" w:hAnsi="Times New Roman" w:cs="Times New Roman"/>
                <w:b/>
                <w:bCs/>
                <w:color w:val="000000"/>
                <w:sz w:val="22"/>
                <w:szCs w:val="22"/>
              </w:rPr>
              <w:t>0.1</w:t>
            </w:r>
          </w:p>
        </w:tc>
        <w:tc>
          <w:tcPr>
            <w:tcW w:w="1098" w:type="dxa"/>
            <w:tcBorders>
              <w:top w:val="nil"/>
              <w:left w:val="nil"/>
              <w:bottom w:val="nil"/>
              <w:right w:val="nil"/>
            </w:tcBorders>
            <w:shd w:val="clear" w:color="auto" w:fill="auto"/>
            <w:noWrap/>
            <w:vAlign w:val="center"/>
            <w:hideMark/>
          </w:tcPr>
          <w:p w14:paraId="5DC07212"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156651">
              <w:rPr>
                <w:rFonts w:ascii="Times New Roman" w:hAnsi="Times New Roman" w:cs="Times New Roman"/>
                <w:b/>
                <w:bCs/>
                <w:color w:val="000000"/>
                <w:sz w:val="22"/>
                <w:szCs w:val="22"/>
              </w:rPr>
              <w:t>-0.1</w:t>
            </w:r>
          </w:p>
        </w:tc>
      </w:tr>
    </w:tbl>
    <w:p w14:paraId="7EB562EC" w14:textId="77777777" w:rsidR="00156651" w:rsidRPr="008C3120" w:rsidRDefault="00156651" w:rsidP="008D7BB4">
      <w:pPr>
        <w:spacing w:line="276" w:lineRule="auto"/>
        <w:contextualSpacing/>
        <w:rPr>
          <w:rFonts w:ascii="Times New Roman" w:hAnsi="Times New Roman" w:cs="Times New Roman"/>
          <w:sz w:val="18"/>
          <w:szCs w:val="18"/>
        </w:rPr>
      </w:pPr>
      <w:r w:rsidRPr="008C3120">
        <w:rPr>
          <w:rFonts w:ascii="Times New Roman" w:hAnsi="Times New Roman" w:cs="Times New Roman"/>
          <w:sz w:val="18"/>
          <w:szCs w:val="18"/>
        </w:rPr>
        <w:t>*Cifras preliminares</w:t>
      </w:r>
    </w:p>
    <w:p w14:paraId="7846D23C" w14:textId="77777777" w:rsidR="00156651" w:rsidRDefault="00156651" w:rsidP="008D7BB4">
      <w:pPr>
        <w:spacing w:line="276" w:lineRule="auto"/>
        <w:contextualSpacing/>
        <w:jc w:val="both"/>
        <w:rPr>
          <w:rFonts w:ascii="Times New Roman" w:hAnsi="Times New Roman" w:cs="Times New Roman"/>
          <w:sz w:val="22"/>
          <w:szCs w:val="22"/>
        </w:rPr>
      </w:pPr>
    </w:p>
    <w:p w14:paraId="70BC5845" w14:textId="77777777" w:rsidR="00F635C1" w:rsidRDefault="00F635C1" w:rsidP="00F635C1">
      <w:pPr>
        <w:spacing w:line="276" w:lineRule="auto"/>
        <w:contextualSpacing/>
        <w:jc w:val="both"/>
        <w:rPr>
          <w:rFonts w:ascii="Times New Roman" w:hAnsi="Times New Roman" w:cs="Times New Roman"/>
          <w:sz w:val="22"/>
          <w:szCs w:val="22"/>
          <w:lang w:val="es-MX"/>
        </w:rPr>
      </w:pPr>
      <w:r w:rsidRPr="00156651">
        <w:rPr>
          <w:rFonts w:ascii="Times New Roman" w:hAnsi="Times New Roman" w:cs="Times New Roman"/>
          <w:sz w:val="22"/>
          <w:szCs w:val="22"/>
          <w:lang w:val="es-MX"/>
        </w:rPr>
        <w:t xml:space="preserve">Las contribuciones sociales equivalen al 0.7% del PIB (Q5,181.1 millones) mientras que la categoría de otros ingresos (contiene ingresos captados por rentas de la propiedad, venta de bienes y servicios, </w:t>
      </w:r>
      <w:r w:rsidRPr="00156651">
        <w:rPr>
          <w:rFonts w:ascii="Times New Roman" w:hAnsi="Times New Roman" w:cs="Times New Roman"/>
          <w:sz w:val="22"/>
          <w:szCs w:val="22"/>
          <w:lang w:val="es-MX"/>
        </w:rPr>
        <w:lastRenderedPageBreak/>
        <w:t>multas, sanciones pecuniarias y depósitos en caución transferidos y las transferencias no clasificadas en otra parte) se sitúa en torno al 0.3% del PIB (Q2,380.2 millones). Por su parte los ingresos recibidos por donaciones ascienden al 0.02% del PIB (Q114.9 millones)</w:t>
      </w:r>
    </w:p>
    <w:p w14:paraId="0316862B" w14:textId="77777777" w:rsidR="00156651" w:rsidRDefault="00156651" w:rsidP="008D7BB4">
      <w:pPr>
        <w:spacing w:line="276" w:lineRule="auto"/>
        <w:contextualSpacing/>
        <w:jc w:val="both"/>
        <w:rPr>
          <w:rFonts w:ascii="Times New Roman" w:hAnsi="Times New Roman" w:cs="Times New Roman"/>
          <w:sz w:val="22"/>
          <w:szCs w:val="22"/>
        </w:rPr>
      </w:pPr>
    </w:p>
    <w:p w14:paraId="0FA0ED73" w14:textId="02056F47" w:rsidR="00156651" w:rsidRPr="00156651" w:rsidRDefault="00156651" w:rsidP="008D7BB4">
      <w:pPr>
        <w:spacing w:line="276" w:lineRule="auto"/>
        <w:contextualSpacing/>
        <w:jc w:val="both"/>
        <w:rPr>
          <w:rFonts w:ascii="Times New Roman" w:hAnsi="Times New Roman" w:cs="Times New Roman"/>
          <w:sz w:val="22"/>
          <w:szCs w:val="22"/>
        </w:rPr>
      </w:pPr>
      <w:r w:rsidRPr="00156651">
        <w:rPr>
          <w:rFonts w:ascii="Times New Roman" w:hAnsi="Times New Roman" w:cs="Times New Roman"/>
          <w:sz w:val="22"/>
          <w:szCs w:val="22"/>
        </w:rPr>
        <w:t xml:space="preserve">El gasto preliminar del gobierno central presupuestario para 2022 se situó en torno a 14.1% del PIB (Q103,298.7 millones) siendo un aumento de 0.8 puntos porcentuales del PIB respecto al año previo. El gasto en subsidios ha sido el que mayor incremento tuvo en términos del PIB, este se sitúa al finalizar el año en 0.5% del PIB (Q3,424.5 millones) </w:t>
      </w:r>
      <w:r w:rsidR="00CC159D">
        <w:rPr>
          <w:rFonts w:ascii="Times New Roman" w:hAnsi="Times New Roman" w:cs="Times New Roman"/>
          <w:sz w:val="22"/>
          <w:szCs w:val="22"/>
        </w:rPr>
        <w:t xml:space="preserve">representando un aumento </w:t>
      </w:r>
      <w:r w:rsidRPr="00156651">
        <w:rPr>
          <w:rFonts w:ascii="Times New Roman" w:hAnsi="Times New Roman" w:cs="Times New Roman"/>
          <w:sz w:val="22"/>
          <w:szCs w:val="22"/>
        </w:rPr>
        <w:t>de 0.4 puntos porcentuales del PIB respecto al observado el año previo. El gasto en uso de bienes y servicios equivale al 2.3% del PIB, observando un incremento de 0.3 puntos porcentuales del PIB respecto al mismo periodo del año previo, en cuanto a las donaciones y la categoría de otros gastos, estos se sitúan en 3.4% del PIB (Q24,908.9 millones) y 1.0% del PIB (Q7,490.4 millones) respectivamente y ambos con un crecimiento de 0.2 puntos porcentuales del PIB.</w:t>
      </w:r>
    </w:p>
    <w:p w14:paraId="2BC2160B" w14:textId="77777777" w:rsidR="00156651" w:rsidRPr="00156651" w:rsidRDefault="00156651" w:rsidP="008D7BB4">
      <w:pPr>
        <w:spacing w:line="276" w:lineRule="auto"/>
        <w:contextualSpacing/>
        <w:jc w:val="both"/>
        <w:rPr>
          <w:rFonts w:ascii="Times New Roman" w:hAnsi="Times New Roman" w:cs="Times New Roman"/>
          <w:sz w:val="22"/>
          <w:szCs w:val="22"/>
        </w:rPr>
      </w:pPr>
    </w:p>
    <w:p w14:paraId="4FD45F7D" w14:textId="5A40871D" w:rsidR="00156651" w:rsidRDefault="00156651" w:rsidP="008D7BB4">
      <w:pPr>
        <w:spacing w:line="276" w:lineRule="auto"/>
        <w:contextualSpacing/>
        <w:jc w:val="both"/>
        <w:rPr>
          <w:rFonts w:ascii="Times New Roman" w:hAnsi="Times New Roman" w:cs="Times New Roman"/>
          <w:sz w:val="22"/>
          <w:szCs w:val="22"/>
        </w:rPr>
      </w:pPr>
      <w:r w:rsidRPr="00156651">
        <w:rPr>
          <w:rFonts w:ascii="Times New Roman" w:hAnsi="Times New Roman" w:cs="Times New Roman"/>
          <w:sz w:val="22"/>
          <w:szCs w:val="22"/>
        </w:rPr>
        <w:t xml:space="preserve">El gasto en remuneraciones a los empleados equivale al 4.4% del PIB (Q32,268.8 millones) en 2022 y </w:t>
      </w:r>
      <w:r w:rsidR="00CC159D">
        <w:rPr>
          <w:rFonts w:ascii="Times New Roman" w:hAnsi="Times New Roman" w:cs="Times New Roman"/>
          <w:sz w:val="22"/>
          <w:szCs w:val="22"/>
        </w:rPr>
        <w:t>muestra</w:t>
      </w:r>
      <w:r w:rsidRPr="00156651">
        <w:rPr>
          <w:rFonts w:ascii="Times New Roman" w:hAnsi="Times New Roman" w:cs="Times New Roman"/>
          <w:sz w:val="22"/>
          <w:szCs w:val="22"/>
        </w:rPr>
        <w:t xml:space="preserve"> una reducción de 0.2 puntos porcentuales del PIB respecto a los valores observados en 2021. El pago de intereses se sitúa en el 1.7% del PIB (Q12,120.5 millones) mientras que las prestaciones sociales en 0.9% del PIB (Q6,428.6 millones).</w:t>
      </w:r>
    </w:p>
    <w:p w14:paraId="55E37185" w14:textId="77777777" w:rsidR="00CC159D" w:rsidRPr="00156651" w:rsidRDefault="00CC159D" w:rsidP="008D7BB4">
      <w:pPr>
        <w:spacing w:line="276" w:lineRule="auto"/>
        <w:contextualSpacing/>
        <w:jc w:val="both"/>
        <w:rPr>
          <w:rFonts w:ascii="Times New Roman" w:hAnsi="Times New Roman" w:cs="Times New Roman"/>
          <w:sz w:val="22"/>
          <w:szCs w:val="22"/>
        </w:rPr>
      </w:pPr>
    </w:p>
    <w:p w14:paraId="216020CB" w14:textId="1225BFB2" w:rsidR="00156651" w:rsidRDefault="00156651" w:rsidP="008D7BB4">
      <w:pPr>
        <w:spacing w:line="276" w:lineRule="auto"/>
        <w:contextualSpacing/>
        <w:jc w:val="both"/>
        <w:rPr>
          <w:rFonts w:ascii="Times New Roman" w:hAnsi="Times New Roman" w:cs="Times New Roman"/>
          <w:sz w:val="22"/>
          <w:szCs w:val="22"/>
        </w:rPr>
      </w:pPr>
      <w:r w:rsidRPr="00156651">
        <w:rPr>
          <w:rFonts w:ascii="Times New Roman" w:hAnsi="Times New Roman" w:cs="Times New Roman"/>
          <w:sz w:val="22"/>
          <w:szCs w:val="22"/>
        </w:rPr>
        <w:t>En cuanto a la adquisición bruta en activos no financieros, para 2022 se observa que equivale al 0.6% del PIB (Q4,622.8 millones), dentro de esta cuenta, la adquisición de activos fijos en edificios y estructuras se sitúa en 0.5% del PIB (Q3,393.9 millones), la adquisición en maquinaria y equipo alcanzó los 0.1% del PIB (Q1,212.9 millones) y el sistema de armamentos en 0.001% del PIB (Q6.5 millones).</w:t>
      </w:r>
    </w:p>
    <w:p w14:paraId="4D37B940" w14:textId="77777777" w:rsidR="00156651" w:rsidRPr="00156651" w:rsidRDefault="00156651" w:rsidP="008D7BB4">
      <w:pPr>
        <w:spacing w:line="276" w:lineRule="auto"/>
        <w:contextualSpacing/>
        <w:jc w:val="both"/>
        <w:rPr>
          <w:rFonts w:ascii="Times New Roman" w:hAnsi="Times New Roman" w:cs="Times New Roman"/>
          <w:sz w:val="22"/>
          <w:szCs w:val="22"/>
        </w:rPr>
      </w:pPr>
    </w:p>
    <w:p w14:paraId="7FD6D22D" w14:textId="788C532D" w:rsidR="00156651" w:rsidRDefault="00156651" w:rsidP="008D7BB4">
      <w:pPr>
        <w:spacing w:line="276" w:lineRule="auto"/>
        <w:contextualSpacing/>
        <w:jc w:val="both"/>
        <w:rPr>
          <w:rFonts w:ascii="Times New Roman" w:hAnsi="Times New Roman" w:cs="Times New Roman"/>
          <w:sz w:val="22"/>
          <w:szCs w:val="22"/>
        </w:rPr>
      </w:pPr>
      <w:r w:rsidRPr="00156651">
        <w:rPr>
          <w:rFonts w:ascii="Times New Roman" w:hAnsi="Times New Roman" w:cs="Times New Roman"/>
          <w:sz w:val="22"/>
          <w:szCs w:val="22"/>
        </w:rPr>
        <w:t>Derivado a lo anterior, el resultado operativo (la diferencia entre los ingresos y los gastos) para 2022 del gobierno central presupuestario fue negativo por 1.1% del PIB (Q8,043.6 millones) mientras que, al tomar en consideración a las inversiones en activos no financieros, se observa un endeudamiento neto (diferencia negativa entre los ingresos y las erogaciones), es decir, un déficit fiscal de 1.7% del PIB (Q12,666.4 millones).</w:t>
      </w:r>
    </w:p>
    <w:p w14:paraId="14AE36DF" w14:textId="77777777" w:rsidR="00156651" w:rsidRPr="00156651" w:rsidRDefault="00156651" w:rsidP="008D7BB4">
      <w:pPr>
        <w:spacing w:line="276" w:lineRule="auto"/>
        <w:contextualSpacing/>
        <w:jc w:val="both"/>
        <w:rPr>
          <w:rFonts w:ascii="Times New Roman" w:hAnsi="Times New Roman" w:cs="Times New Roman"/>
          <w:sz w:val="22"/>
          <w:szCs w:val="22"/>
        </w:rPr>
      </w:pPr>
    </w:p>
    <w:p w14:paraId="6F49FEA8" w14:textId="2F99A9D0" w:rsidR="00156651" w:rsidRDefault="00156651" w:rsidP="008D7BB4">
      <w:pPr>
        <w:spacing w:line="276" w:lineRule="auto"/>
        <w:contextualSpacing/>
        <w:jc w:val="both"/>
        <w:rPr>
          <w:rFonts w:ascii="Times New Roman" w:hAnsi="Times New Roman" w:cs="Times New Roman"/>
          <w:sz w:val="22"/>
          <w:szCs w:val="22"/>
        </w:rPr>
      </w:pPr>
      <w:r w:rsidRPr="00156651">
        <w:rPr>
          <w:rFonts w:ascii="Times New Roman" w:hAnsi="Times New Roman" w:cs="Times New Roman"/>
          <w:sz w:val="22"/>
          <w:szCs w:val="22"/>
        </w:rPr>
        <w:t>En cuanto al financiamiento de las operaciones en 2022, los activos financieros disminuyeron en 0.6% del PIB (Q4,144.6 millones)</w:t>
      </w:r>
      <w:r w:rsidR="00BF4A9E">
        <w:rPr>
          <w:rFonts w:ascii="Times New Roman" w:hAnsi="Times New Roman" w:cs="Times New Roman"/>
          <w:sz w:val="22"/>
          <w:szCs w:val="22"/>
        </w:rPr>
        <w:t>,</w:t>
      </w:r>
      <w:r w:rsidRPr="00156651">
        <w:rPr>
          <w:rFonts w:ascii="Times New Roman" w:hAnsi="Times New Roman" w:cs="Times New Roman"/>
          <w:sz w:val="22"/>
          <w:szCs w:val="22"/>
        </w:rPr>
        <w:t xml:space="preserve"> en el cual se redujo la cuenta de billetes, monedas y depósitos en 0.56% del PIB (Q4,099.8 millones) mientras que los préstamos se amortizaron en 0.01% del PIB (Q44.8 millones). En cuanto a los pasivos, estos se incrementaron en 1.2% del PIB (Q8,932.1 millones) en el cual, los instrumentos de títulos de deuda fueron los pasivos más utilizados como fuente de financiamiento, estos se situaron entorno al 0.9% del PIB (Q6,896.4 millones), seguido de los préstamos que equivalen al 0.2% del PIB (Q1,724.0 millones) y el resto de los pasivos aumentaron en 0.04% del PIB (Q311.6 millones).</w:t>
      </w:r>
    </w:p>
    <w:p w14:paraId="7A733CA1" w14:textId="77777777" w:rsidR="00156651" w:rsidRPr="00156651" w:rsidRDefault="00156651" w:rsidP="008D7BB4">
      <w:pPr>
        <w:spacing w:line="276" w:lineRule="auto"/>
        <w:contextualSpacing/>
        <w:jc w:val="both"/>
        <w:rPr>
          <w:rFonts w:ascii="Times New Roman" w:hAnsi="Times New Roman" w:cs="Times New Roman"/>
          <w:sz w:val="22"/>
          <w:szCs w:val="22"/>
        </w:rPr>
      </w:pPr>
    </w:p>
    <w:p w14:paraId="04BB6C0B" w14:textId="0F7664EF" w:rsidR="00156651" w:rsidRPr="00D31116" w:rsidRDefault="00156651" w:rsidP="008D7BB4">
      <w:pPr>
        <w:pStyle w:val="Prrafodelista"/>
        <w:keepNext/>
        <w:keepLines/>
        <w:numPr>
          <w:ilvl w:val="2"/>
          <w:numId w:val="20"/>
        </w:numPr>
        <w:tabs>
          <w:tab w:val="left" w:pos="1134"/>
        </w:tabs>
        <w:spacing w:line="276" w:lineRule="auto"/>
        <w:jc w:val="both"/>
        <w:outlineLvl w:val="1"/>
        <w:rPr>
          <w:rFonts w:ascii="Times New Roman" w:eastAsiaTheme="majorEastAsia" w:hAnsi="Times New Roman" w:cs="Times New Roman"/>
          <w:b/>
          <w:bCs/>
        </w:rPr>
      </w:pPr>
      <w:bookmarkStart w:id="159" w:name="_Toc125723306"/>
      <w:r w:rsidRPr="00D31116">
        <w:rPr>
          <w:rFonts w:ascii="Times New Roman" w:eastAsiaTheme="majorEastAsia" w:hAnsi="Times New Roman" w:cs="Times New Roman"/>
          <w:b/>
          <w:bCs/>
        </w:rPr>
        <w:lastRenderedPageBreak/>
        <w:t>Estado de operaciones del Gobierno General Consolidado</w:t>
      </w:r>
      <w:bookmarkEnd w:id="159"/>
    </w:p>
    <w:p w14:paraId="4C0AD3A7" w14:textId="77777777" w:rsidR="00156651" w:rsidRPr="00156651" w:rsidRDefault="00156651" w:rsidP="008D7BB4">
      <w:pPr>
        <w:pStyle w:val="Prrafodelista"/>
        <w:keepNext/>
        <w:keepLines/>
        <w:tabs>
          <w:tab w:val="left" w:pos="1134"/>
        </w:tabs>
        <w:spacing w:line="276" w:lineRule="auto"/>
        <w:ind w:left="1080"/>
        <w:jc w:val="both"/>
        <w:outlineLvl w:val="1"/>
        <w:rPr>
          <w:rFonts w:ascii="Times New Roman" w:hAnsi="Times New Roman" w:cs="Times New Roman"/>
          <w:b/>
          <w:bCs/>
        </w:rPr>
      </w:pPr>
    </w:p>
    <w:p w14:paraId="252CA2F6" w14:textId="6E949A6F" w:rsidR="00156651" w:rsidRDefault="00156651" w:rsidP="008D7BB4">
      <w:pPr>
        <w:spacing w:line="276" w:lineRule="auto"/>
        <w:contextualSpacing/>
        <w:jc w:val="both"/>
        <w:rPr>
          <w:rFonts w:ascii="Times New Roman" w:hAnsi="Times New Roman" w:cs="Times New Roman"/>
          <w:sz w:val="22"/>
          <w:szCs w:val="22"/>
          <w:lang w:val="es-MX"/>
        </w:rPr>
      </w:pPr>
      <w:r w:rsidRPr="00156651">
        <w:rPr>
          <w:rFonts w:ascii="Times New Roman" w:hAnsi="Times New Roman" w:cs="Times New Roman"/>
          <w:sz w:val="22"/>
          <w:szCs w:val="22"/>
          <w:lang w:val="es-MX"/>
        </w:rPr>
        <w:t xml:space="preserve">A nivel del Gobierno General Consolidado (incluye al Gobierno Central consolidado, los Fondos de Seguridad Social y los Gobiernos Locales), se observa que en 2022 los ingresos totales alcanzaron el 16.4% del PIB (Q120,296.7 millones) </w:t>
      </w:r>
      <w:r w:rsidR="00BF4A9E">
        <w:rPr>
          <w:rFonts w:ascii="Times New Roman" w:hAnsi="Times New Roman" w:cs="Times New Roman"/>
          <w:sz w:val="22"/>
          <w:szCs w:val="22"/>
          <w:lang w:val="es-MX"/>
        </w:rPr>
        <w:t>con</w:t>
      </w:r>
      <w:r w:rsidRPr="00156651">
        <w:rPr>
          <w:rFonts w:ascii="Times New Roman" w:hAnsi="Times New Roman" w:cs="Times New Roman"/>
          <w:sz w:val="22"/>
          <w:szCs w:val="22"/>
          <w:lang w:val="es-MX"/>
        </w:rPr>
        <w:t xml:space="preserve"> un aumento de 0.2 puntos porcentuales del PIB respecto al 2021. </w:t>
      </w:r>
    </w:p>
    <w:p w14:paraId="681267D1" w14:textId="77777777" w:rsidR="00BF4A9E" w:rsidRPr="00156651" w:rsidRDefault="00BF4A9E" w:rsidP="008D7BB4">
      <w:pPr>
        <w:spacing w:line="276" w:lineRule="auto"/>
        <w:contextualSpacing/>
        <w:jc w:val="both"/>
        <w:rPr>
          <w:rFonts w:ascii="Times New Roman" w:hAnsi="Times New Roman" w:cs="Times New Roman"/>
          <w:sz w:val="22"/>
          <w:szCs w:val="22"/>
          <w:lang w:val="es-MX"/>
        </w:rPr>
      </w:pPr>
    </w:p>
    <w:p w14:paraId="3C747D5A" w14:textId="2525A9CC" w:rsidR="00156651" w:rsidRDefault="00156651" w:rsidP="008D7BB4">
      <w:pPr>
        <w:spacing w:line="276" w:lineRule="auto"/>
        <w:contextualSpacing/>
        <w:jc w:val="both"/>
        <w:rPr>
          <w:rFonts w:ascii="Times New Roman" w:hAnsi="Times New Roman" w:cs="Times New Roman"/>
          <w:sz w:val="22"/>
          <w:szCs w:val="22"/>
          <w:lang w:val="es-MX"/>
        </w:rPr>
      </w:pPr>
      <w:r w:rsidRPr="00156651">
        <w:rPr>
          <w:rFonts w:ascii="Times New Roman" w:hAnsi="Times New Roman" w:cs="Times New Roman"/>
          <w:sz w:val="22"/>
          <w:szCs w:val="22"/>
          <w:lang w:val="es-MX"/>
        </w:rPr>
        <w:t>Las fuentes de ingreso más importantes son los impuestos que se situaron en 12.5% del PIB (Q91,573.9 millones) y las contribuciones sociales entorno al 2.7% del PIB (Q19,760.7 millones). Cabe mencionar que, el principal elemento que explica el incremento observado en los impuestos respecto al Gobierno Central Presupuestario es la inclusión de los Gobiernos locales, quienes recaudan el Impuesto Único Sobre Bienes Inmuebles (IUSI) mientras que, para las contribuciones sociales, es la inclusión de los Fondos de Seguridad Social que incluye al Instituto Guatemalteco de Seguridad Social.</w:t>
      </w:r>
    </w:p>
    <w:p w14:paraId="30EFCE07" w14:textId="77777777" w:rsidR="00BF4A9E" w:rsidRPr="00156651" w:rsidRDefault="00BF4A9E" w:rsidP="008D7BB4">
      <w:pPr>
        <w:spacing w:line="276" w:lineRule="auto"/>
        <w:contextualSpacing/>
        <w:jc w:val="both"/>
        <w:rPr>
          <w:rFonts w:ascii="Times New Roman" w:hAnsi="Times New Roman" w:cs="Times New Roman"/>
          <w:sz w:val="22"/>
          <w:szCs w:val="22"/>
          <w:lang w:val="es-MX"/>
        </w:rPr>
      </w:pPr>
    </w:p>
    <w:p w14:paraId="5BF9B232" w14:textId="7F3491B9" w:rsidR="00156651" w:rsidRDefault="00156651" w:rsidP="008D7BB4">
      <w:pPr>
        <w:spacing w:line="276" w:lineRule="auto"/>
        <w:contextualSpacing/>
        <w:jc w:val="both"/>
        <w:rPr>
          <w:rFonts w:ascii="Times New Roman" w:hAnsi="Times New Roman" w:cs="Times New Roman"/>
          <w:sz w:val="22"/>
          <w:szCs w:val="22"/>
          <w:lang w:val="es-MX"/>
        </w:rPr>
      </w:pPr>
      <w:r w:rsidRPr="00156651">
        <w:rPr>
          <w:rFonts w:ascii="Times New Roman" w:hAnsi="Times New Roman" w:cs="Times New Roman"/>
          <w:sz w:val="22"/>
          <w:szCs w:val="22"/>
          <w:lang w:val="es-MX"/>
        </w:rPr>
        <w:t xml:space="preserve">Por su parte, la categoría de otros ingresos se situó en 1.2% del PIB (Q8,791.0 millones) </w:t>
      </w:r>
      <w:r w:rsidR="00BF4A9E">
        <w:rPr>
          <w:rFonts w:ascii="Times New Roman" w:hAnsi="Times New Roman" w:cs="Times New Roman"/>
          <w:sz w:val="22"/>
          <w:szCs w:val="22"/>
          <w:lang w:val="es-MX"/>
        </w:rPr>
        <w:t>de</w:t>
      </w:r>
      <w:r w:rsidRPr="00156651">
        <w:rPr>
          <w:rFonts w:ascii="Times New Roman" w:hAnsi="Times New Roman" w:cs="Times New Roman"/>
          <w:sz w:val="22"/>
          <w:szCs w:val="22"/>
          <w:lang w:val="es-MX"/>
        </w:rPr>
        <w:t xml:space="preserve"> </w:t>
      </w:r>
      <w:r w:rsidR="00BF4A9E">
        <w:rPr>
          <w:rFonts w:ascii="Times New Roman" w:hAnsi="Times New Roman" w:cs="Times New Roman"/>
          <w:sz w:val="22"/>
          <w:szCs w:val="22"/>
          <w:lang w:val="es-MX"/>
        </w:rPr>
        <w:t>lo</w:t>
      </w:r>
      <w:r w:rsidRPr="00156651">
        <w:rPr>
          <w:rFonts w:ascii="Times New Roman" w:hAnsi="Times New Roman" w:cs="Times New Roman"/>
          <w:sz w:val="22"/>
          <w:szCs w:val="22"/>
          <w:lang w:val="es-MX"/>
        </w:rPr>
        <w:t xml:space="preserve">s cuales las ventas de bienes y servicios equivalen </w:t>
      </w:r>
      <w:r w:rsidR="00BF4A9E">
        <w:rPr>
          <w:rFonts w:ascii="Times New Roman" w:hAnsi="Times New Roman" w:cs="Times New Roman"/>
          <w:sz w:val="22"/>
          <w:szCs w:val="22"/>
          <w:lang w:val="es-MX"/>
        </w:rPr>
        <w:t xml:space="preserve">a </w:t>
      </w:r>
      <w:r w:rsidRPr="00156651">
        <w:rPr>
          <w:rFonts w:ascii="Times New Roman" w:hAnsi="Times New Roman" w:cs="Times New Roman"/>
          <w:sz w:val="22"/>
          <w:szCs w:val="22"/>
          <w:lang w:val="es-MX"/>
        </w:rPr>
        <w:t>0.6 del PIB (Q4,449.8 millones), las rentas de la propiedad ascienden a 0.3% del PIB (Q2,385.8 millones), las multas, sanciones pecuniarias y depósitos en caución transferidos con 0.2% del PIB (Q1,209.3 millones) y el resto de los ingresos en 0.1% del PIB (Q746.2 millones).</w:t>
      </w:r>
    </w:p>
    <w:p w14:paraId="1EC7728D" w14:textId="648246F0" w:rsidR="00F635C1" w:rsidRDefault="00F635C1" w:rsidP="008D7BB4">
      <w:pPr>
        <w:spacing w:line="276" w:lineRule="auto"/>
        <w:contextualSpacing/>
        <w:jc w:val="both"/>
        <w:rPr>
          <w:rFonts w:ascii="Times New Roman" w:hAnsi="Times New Roman" w:cs="Times New Roman"/>
          <w:sz w:val="22"/>
          <w:szCs w:val="22"/>
          <w:lang w:val="es-MX"/>
        </w:rPr>
      </w:pPr>
    </w:p>
    <w:p w14:paraId="11306E65" w14:textId="77777777" w:rsidR="00F635C1" w:rsidRPr="00156651" w:rsidRDefault="00F635C1" w:rsidP="00F635C1">
      <w:pPr>
        <w:spacing w:line="276" w:lineRule="auto"/>
        <w:contextualSpacing/>
        <w:jc w:val="both"/>
        <w:rPr>
          <w:rFonts w:ascii="Times New Roman" w:hAnsi="Times New Roman" w:cs="Times New Roman"/>
          <w:sz w:val="22"/>
          <w:szCs w:val="22"/>
        </w:rPr>
      </w:pPr>
      <w:r w:rsidRPr="00156651">
        <w:rPr>
          <w:rFonts w:ascii="Times New Roman" w:hAnsi="Times New Roman" w:cs="Times New Roman"/>
          <w:sz w:val="22"/>
          <w:szCs w:val="22"/>
        </w:rPr>
        <w:t>El gasto del Gobierno General Consolidado s</w:t>
      </w:r>
      <w:r>
        <w:rPr>
          <w:rFonts w:ascii="Times New Roman" w:hAnsi="Times New Roman" w:cs="Times New Roman"/>
          <w:sz w:val="22"/>
          <w:szCs w:val="22"/>
        </w:rPr>
        <w:t>e</w:t>
      </w:r>
      <w:r w:rsidRPr="00156651">
        <w:rPr>
          <w:rFonts w:ascii="Times New Roman" w:hAnsi="Times New Roman" w:cs="Times New Roman"/>
          <w:sz w:val="22"/>
          <w:szCs w:val="22"/>
        </w:rPr>
        <w:t xml:space="preserve"> situó en 15.2% del PIB (Q111,189.0 millones) durante el 2022, </w:t>
      </w:r>
      <w:r>
        <w:rPr>
          <w:rFonts w:ascii="Times New Roman" w:hAnsi="Times New Roman" w:cs="Times New Roman"/>
          <w:sz w:val="22"/>
          <w:szCs w:val="22"/>
        </w:rPr>
        <w:t>mostrando</w:t>
      </w:r>
      <w:r w:rsidRPr="00156651">
        <w:rPr>
          <w:rFonts w:ascii="Times New Roman" w:hAnsi="Times New Roman" w:cs="Times New Roman"/>
          <w:sz w:val="22"/>
          <w:szCs w:val="22"/>
        </w:rPr>
        <w:t xml:space="preserve"> un aumento de 0.6 puntos porcentuales del PIB respecto al año previo. Dentro de esta cuenta, los gastos más significativos fueron</w:t>
      </w:r>
      <w:r>
        <w:rPr>
          <w:rFonts w:ascii="Times New Roman" w:hAnsi="Times New Roman" w:cs="Times New Roman"/>
          <w:sz w:val="22"/>
          <w:szCs w:val="22"/>
        </w:rPr>
        <w:t>:</w:t>
      </w:r>
      <w:r w:rsidRPr="00156651">
        <w:rPr>
          <w:rFonts w:ascii="Times New Roman" w:hAnsi="Times New Roman" w:cs="Times New Roman"/>
          <w:sz w:val="22"/>
          <w:szCs w:val="22"/>
        </w:rPr>
        <w:t xml:space="preserve"> remuneraciones a los empleados que ascienden a 6.9% del PIB (Q50,769.0 millones) </w:t>
      </w:r>
      <w:r>
        <w:rPr>
          <w:rFonts w:ascii="Times New Roman" w:hAnsi="Times New Roman" w:cs="Times New Roman"/>
          <w:sz w:val="22"/>
          <w:szCs w:val="22"/>
        </w:rPr>
        <w:t xml:space="preserve">que tiene </w:t>
      </w:r>
      <w:r w:rsidRPr="00156651">
        <w:rPr>
          <w:rFonts w:ascii="Times New Roman" w:hAnsi="Times New Roman" w:cs="Times New Roman"/>
          <w:sz w:val="22"/>
          <w:szCs w:val="22"/>
        </w:rPr>
        <w:t xml:space="preserve">una reducción </w:t>
      </w:r>
      <w:r>
        <w:rPr>
          <w:rFonts w:ascii="Times New Roman" w:hAnsi="Times New Roman" w:cs="Times New Roman"/>
          <w:sz w:val="22"/>
          <w:szCs w:val="22"/>
        </w:rPr>
        <w:t>de</w:t>
      </w:r>
      <w:r w:rsidRPr="00156651">
        <w:rPr>
          <w:rFonts w:ascii="Times New Roman" w:hAnsi="Times New Roman" w:cs="Times New Roman"/>
          <w:sz w:val="22"/>
          <w:szCs w:val="22"/>
        </w:rPr>
        <w:t xml:space="preserve"> 0.4 puntos porcentuales del PIB respecto al año previo, el gasto en bienes y servicios se situó en 3.3% del PIB (Q 24,414.3 millones) con un aumento de 0.4 puntos porcentuales, el pago en intereses equivale al 1.5% del PIB (Q11,006.1 millones) y no sufrió ninguna variación en términos del PIB respecto a 2021. Por último, cabe resaltar el gasto en subsidios, que fue de 0.5% del PIB (Q3,425.5 millones) con un aumento de 0.4 puntos porcentuales del PIB</w:t>
      </w:r>
      <w:r>
        <w:rPr>
          <w:rFonts w:ascii="Times New Roman" w:hAnsi="Times New Roman" w:cs="Times New Roman"/>
          <w:sz w:val="22"/>
          <w:szCs w:val="22"/>
        </w:rPr>
        <w:t>, realizado principalmente por entidades de gobierno central.</w:t>
      </w:r>
    </w:p>
    <w:p w14:paraId="0A07C37B" w14:textId="77777777" w:rsidR="00F635C1" w:rsidRPr="00156651" w:rsidRDefault="00F635C1" w:rsidP="00F635C1">
      <w:pPr>
        <w:spacing w:line="276" w:lineRule="auto"/>
        <w:contextualSpacing/>
        <w:jc w:val="both"/>
        <w:rPr>
          <w:rFonts w:ascii="Times New Roman" w:hAnsi="Times New Roman" w:cs="Times New Roman"/>
          <w:sz w:val="22"/>
          <w:szCs w:val="22"/>
        </w:rPr>
      </w:pPr>
    </w:p>
    <w:p w14:paraId="66E2EE4B" w14:textId="2ADC9E52" w:rsidR="00F635C1" w:rsidRDefault="00F635C1" w:rsidP="00F635C1">
      <w:pPr>
        <w:spacing w:line="276" w:lineRule="auto"/>
        <w:contextualSpacing/>
        <w:jc w:val="both"/>
        <w:rPr>
          <w:rFonts w:ascii="Times New Roman" w:hAnsi="Times New Roman" w:cs="Times New Roman"/>
          <w:sz w:val="22"/>
          <w:szCs w:val="22"/>
        </w:rPr>
      </w:pPr>
      <w:r w:rsidRPr="00156651">
        <w:rPr>
          <w:rFonts w:ascii="Times New Roman" w:hAnsi="Times New Roman" w:cs="Times New Roman"/>
          <w:sz w:val="22"/>
          <w:szCs w:val="22"/>
        </w:rPr>
        <w:t xml:space="preserve">En materia de inversión, la adquisición bruta en activos no financieros equivale al 2.3% del PIB (Q16,539.6 millones) para el 2022 y cabe destacar que el 67.9% del total de esta cuenta se </w:t>
      </w:r>
      <w:r>
        <w:rPr>
          <w:rFonts w:ascii="Times New Roman" w:hAnsi="Times New Roman" w:cs="Times New Roman"/>
          <w:sz w:val="22"/>
          <w:szCs w:val="22"/>
        </w:rPr>
        <w:t>genera</w:t>
      </w:r>
      <w:r w:rsidRPr="00156651">
        <w:rPr>
          <w:rFonts w:ascii="Times New Roman" w:hAnsi="Times New Roman" w:cs="Times New Roman"/>
          <w:sz w:val="22"/>
          <w:szCs w:val="22"/>
        </w:rPr>
        <w:t xml:space="preserve"> en los gobiernos locales, el 28.3% </w:t>
      </w:r>
      <w:r>
        <w:rPr>
          <w:rFonts w:ascii="Times New Roman" w:hAnsi="Times New Roman" w:cs="Times New Roman"/>
          <w:sz w:val="22"/>
          <w:szCs w:val="22"/>
        </w:rPr>
        <w:t>en el</w:t>
      </w:r>
      <w:r w:rsidRPr="00156651">
        <w:rPr>
          <w:rFonts w:ascii="Times New Roman" w:hAnsi="Times New Roman" w:cs="Times New Roman"/>
          <w:sz w:val="22"/>
          <w:szCs w:val="22"/>
        </w:rPr>
        <w:t xml:space="preserve"> Gobierno Central Presupuestario, un 3.9% por el Gobierno Central Extrapresupuestario. En el caso de los Fondos de Seguridad Social cabe mencionar que este experiment</w:t>
      </w:r>
      <w:r>
        <w:rPr>
          <w:rFonts w:ascii="Times New Roman" w:hAnsi="Times New Roman" w:cs="Times New Roman"/>
          <w:sz w:val="22"/>
          <w:szCs w:val="22"/>
        </w:rPr>
        <w:t>ó</w:t>
      </w:r>
      <w:r w:rsidRPr="00156651">
        <w:rPr>
          <w:rFonts w:ascii="Times New Roman" w:hAnsi="Times New Roman" w:cs="Times New Roman"/>
          <w:sz w:val="22"/>
          <w:szCs w:val="22"/>
        </w:rPr>
        <w:t xml:space="preserve"> una reducción (por el uso de existencias)</w:t>
      </w:r>
      <w:r>
        <w:rPr>
          <w:rFonts w:ascii="Times New Roman" w:hAnsi="Times New Roman" w:cs="Times New Roman"/>
          <w:sz w:val="22"/>
          <w:szCs w:val="22"/>
        </w:rPr>
        <w:t>,</w:t>
      </w:r>
      <w:r w:rsidRPr="00156651">
        <w:rPr>
          <w:rFonts w:ascii="Times New Roman" w:hAnsi="Times New Roman" w:cs="Times New Roman"/>
          <w:sz w:val="22"/>
          <w:szCs w:val="22"/>
        </w:rPr>
        <w:t xml:space="preserve"> </w:t>
      </w:r>
      <w:r>
        <w:rPr>
          <w:rFonts w:ascii="Times New Roman" w:hAnsi="Times New Roman" w:cs="Times New Roman"/>
          <w:sz w:val="22"/>
          <w:szCs w:val="22"/>
        </w:rPr>
        <w:t>de</w:t>
      </w:r>
      <w:r w:rsidRPr="00156651">
        <w:rPr>
          <w:rFonts w:ascii="Times New Roman" w:hAnsi="Times New Roman" w:cs="Times New Roman"/>
          <w:sz w:val="22"/>
          <w:szCs w:val="22"/>
        </w:rPr>
        <w:t xml:space="preserve"> -1.9%</w:t>
      </w:r>
      <w:r>
        <w:rPr>
          <w:rFonts w:ascii="Times New Roman" w:hAnsi="Times New Roman" w:cs="Times New Roman"/>
          <w:sz w:val="22"/>
          <w:szCs w:val="22"/>
        </w:rPr>
        <w:t>.</w:t>
      </w:r>
    </w:p>
    <w:p w14:paraId="6CB278EB" w14:textId="15D5B401" w:rsidR="00F635C1" w:rsidRDefault="00F635C1" w:rsidP="00F635C1">
      <w:pPr>
        <w:spacing w:line="276" w:lineRule="auto"/>
        <w:contextualSpacing/>
        <w:jc w:val="both"/>
        <w:rPr>
          <w:rFonts w:ascii="Times New Roman" w:hAnsi="Times New Roman" w:cs="Times New Roman"/>
          <w:sz w:val="22"/>
          <w:szCs w:val="22"/>
        </w:rPr>
      </w:pPr>
    </w:p>
    <w:p w14:paraId="42673BBE" w14:textId="0D6BB667" w:rsidR="00F635C1" w:rsidRDefault="00F635C1" w:rsidP="00F635C1">
      <w:pPr>
        <w:spacing w:line="276" w:lineRule="auto"/>
        <w:contextualSpacing/>
        <w:jc w:val="both"/>
        <w:rPr>
          <w:rFonts w:ascii="Times New Roman" w:hAnsi="Times New Roman" w:cs="Times New Roman"/>
          <w:sz w:val="22"/>
          <w:szCs w:val="22"/>
        </w:rPr>
      </w:pPr>
    </w:p>
    <w:p w14:paraId="784140BE" w14:textId="7A5DA31E" w:rsidR="00F635C1" w:rsidRDefault="00F635C1" w:rsidP="00F635C1">
      <w:pPr>
        <w:spacing w:line="276" w:lineRule="auto"/>
        <w:contextualSpacing/>
        <w:jc w:val="both"/>
        <w:rPr>
          <w:rFonts w:ascii="Times New Roman" w:hAnsi="Times New Roman" w:cs="Times New Roman"/>
          <w:sz w:val="22"/>
          <w:szCs w:val="22"/>
        </w:rPr>
      </w:pPr>
    </w:p>
    <w:p w14:paraId="7547BDE4" w14:textId="77777777" w:rsidR="00F635C1" w:rsidRDefault="00F635C1" w:rsidP="00F635C1">
      <w:pPr>
        <w:spacing w:line="276" w:lineRule="auto"/>
        <w:contextualSpacing/>
        <w:jc w:val="both"/>
        <w:rPr>
          <w:rFonts w:ascii="Times New Roman" w:hAnsi="Times New Roman" w:cs="Times New Roman"/>
          <w:sz w:val="22"/>
          <w:szCs w:val="22"/>
        </w:rPr>
      </w:pPr>
    </w:p>
    <w:p w14:paraId="74E85C78" w14:textId="77777777" w:rsidR="00F635C1" w:rsidRPr="00F635C1" w:rsidRDefault="00F635C1" w:rsidP="008D7BB4">
      <w:pPr>
        <w:spacing w:line="276" w:lineRule="auto"/>
        <w:contextualSpacing/>
        <w:jc w:val="both"/>
        <w:rPr>
          <w:rFonts w:ascii="Times New Roman" w:hAnsi="Times New Roman" w:cs="Times New Roman"/>
          <w:sz w:val="22"/>
          <w:szCs w:val="22"/>
        </w:rPr>
      </w:pPr>
    </w:p>
    <w:p w14:paraId="569573E7" w14:textId="77777777" w:rsidR="00156651" w:rsidRPr="00156651" w:rsidRDefault="00156651" w:rsidP="008D7BB4">
      <w:pPr>
        <w:spacing w:line="276" w:lineRule="auto"/>
        <w:contextualSpacing/>
        <w:jc w:val="both"/>
        <w:rPr>
          <w:rFonts w:ascii="Times New Roman" w:hAnsi="Times New Roman" w:cs="Times New Roman"/>
          <w:sz w:val="22"/>
          <w:szCs w:val="22"/>
          <w:lang w:val="es-MX"/>
        </w:rPr>
      </w:pPr>
    </w:p>
    <w:p w14:paraId="78C73FF6" w14:textId="188B251C" w:rsidR="00C85EF1" w:rsidRDefault="001567F3" w:rsidP="008D7BB4">
      <w:pPr>
        <w:spacing w:line="276" w:lineRule="auto"/>
        <w:contextualSpacing/>
        <w:jc w:val="center"/>
        <w:rPr>
          <w:rFonts w:ascii="Times New Roman" w:hAnsi="Times New Roman" w:cs="Times New Roman"/>
          <w:b/>
          <w:bCs/>
        </w:rPr>
      </w:pPr>
      <w:bookmarkStart w:id="160" w:name="_Toc125534820"/>
      <w:r w:rsidRPr="00FE0B42">
        <w:rPr>
          <w:rFonts w:ascii="Times New Roman" w:hAnsi="Times New Roman" w:cs="Times New Roman"/>
          <w:b/>
          <w:bCs/>
          <w:sz w:val="22"/>
          <w:szCs w:val="22"/>
        </w:rPr>
        <w:lastRenderedPageBreak/>
        <w:t xml:space="preserve">Tabla </w:t>
      </w:r>
      <w:r w:rsidRPr="00FE0B42">
        <w:rPr>
          <w:rFonts w:ascii="Times New Roman" w:hAnsi="Times New Roman" w:cs="Times New Roman"/>
          <w:b/>
          <w:bCs/>
          <w:sz w:val="22"/>
          <w:szCs w:val="22"/>
        </w:rPr>
        <w:fldChar w:fldCharType="begin"/>
      </w:r>
      <w:r w:rsidRPr="00FE0B42">
        <w:rPr>
          <w:rFonts w:ascii="Times New Roman" w:hAnsi="Times New Roman" w:cs="Times New Roman"/>
          <w:b/>
          <w:bCs/>
          <w:sz w:val="22"/>
          <w:szCs w:val="22"/>
        </w:rPr>
        <w:instrText xml:space="preserve"> SEQ Tabla \* ARABIC </w:instrText>
      </w:r>
      <w:r w:rsidRPr="00FE0B42">
        <w:rPr>
          <w:rFonts w:ascii="Times New Roman" w:hAnsi="Times New Roman" w:cs="Times New Roman"/>
          <w:b/>
          <w:bCs/>
          <w:sz w:val="22"/>
          <w:szCs w:val="22"/>
        </w:rPr>
        <w:fldChar w:fldCharType="separate"/>
      </w:r>
      <w:r w:rsidR="006F4BE5">
        <w:rPr>
          <w:rFonts w:ascii="Times New Roman" w:hAnsi="Times New Roman" w:cs="Times New Roman"/>
          <w:b/>
          <w:bCs/>
          <w:noProof/>
          <w:sz w:val="22"/>
          <w:szCs w:val="22"/>
        </w:rPr>
        <w:t>11</w:t>
      </w:r>
      <w:r w:rsidRPr="00FE0B42">
        <w:rPr>
          <w:rFonts w:ascii="Times New Roman" w:hAnsi="Times New Roman" w:cs="Times New Roman"/>
          <w:b/>
          <w:bCs/>
          <w:sz w:val="22"/>
          <w:szCs w:val="22"/>
        </w:rPr>
        <w:fldChar w:fldCharType="end"/>
      </w:r>
      <w:r w:rsidRPr="00FE0B42">
        <w:rPr>
          <w:rFonts w:ascii="Times New Roman" w:hAnsi="Times New Roman" w:cs="Times New Roman"/>
          <w:b/>
          <w:bCs/>
          <w:sz w:val="22"/>
          <w:szCs w:val="22"/>
        </w:rPr>
        <w:t>.</w:t>
      </w:r>
      <w:r w:rsidRPr="00FE0B42">
        <w:rPr>
          <w:sz w:val="22"/>
          <w:szCs w:val="22"/>
        </w:rPr>
        <w:t xml:space="preserve"> </w:t>
      </w:r>
      <w:r w:rsidR="00156651" w:rsidRPr="00E218AB">
        <w:rPr>
          <w:rFonts w:ascii="Times New Roman" w:hAnsi="Times New Roman" w:cs="Times New Roman"/>
          <w:b/>
          <w:bCs/>
        </w:rPr>
        <w:t>Estado de operaciones del Gobierno General Consolidado</w:t>
      </w:r>
      <w:bookmarkEnd w:id="160"/>
    </w:p>
    <w:p w14:paraId="041DC601" w14:textId="47FE1061" w:rsidR="00C85EF1" w:rsidRPr="00E218AB" w:rsidRDefault="00156651" w:rsidP="008D7BB4">
      <w:pPr>
        <w:spacing w:line="276" w:lineRule="auto"/>
        <w:contextualSpacing/>
        <w:jc w:val="center"/>
        <w:rPr>
          <w:rFonts w:ascii="Times New Roman" w:hAnsi="Times New Roman" w:cs="Times New Roman"/>
          <w:b/>
          <w:bCs/>
        </w:rPr>
      </w:pPr>
      <w:r w:rsidRPr="00E218AB">
        <w:rPr>
          <w:rFonts w:ascii="Times New Roman" w:hAnsi="Times New Roman" w:cs="Times New Roman"/>
          <w:b/>
          <w:bCs/>
        </w:rPr>
        <w:t xml:space="preserve"> </w:t>
      </w:r>
    </w:p>
    <w:tbl>
      <w:tblPr>
        <w:tblW w:w="8524" w:type="dxa"/>
        <w:jc w:val="center"/>
        <w:tblCellMar>
          <w:left w:w="70" w:type="dxa"/>
          <w:right w:w="70" w:type="dxa"/>
        </w:tblCellMar>
        <w:tblLook w:val="04A0" w:firstRow="1" w:lastRow="0" w:firstColumn="1" w:lastColumn="0" w:noHBand="0" w:noVBand="1"/>
      </w:tblPr>
      <w:tblGrid>
        <w:gridCol w:w="3905"/>
        <w:gridCol w:w="1212"/>
        <w:gridCol w:w="1212"/>
        <w:gridCol w:w="1093"/>
        <w:gridCol w:w="1094"/>
        <w:gridCol w:w="8"/>
      </w:tblGrid>
      <w:tr w:rsidR="00156651" w:rsidRPr="00156651" w14:paraId="3CC10992" w14:textId="77777777" w:rsidTr="00654363">
        <w:trPr>
          <w:gridAfter w:val="1"/>
          <w:wAfter w:w="8" w:type="dxa"/>
          <w:trHeight w:val="228"/>
          <w:jc w:val="center"/>
        </w:trPr>
        <w:tc>
          <w:tcPr>
            <w:tcW w:w="3905" w:type="dxa"/>
            <w:vMerge w:val="restart"/>
            <w:tcBorders>
              <w:top w:val="single" w:sz="8" w:space="0" w:color="auto"/>
              <w:left w:val="single" w:sz="8" w:space="0" w:color="auto"/>
              <w:bottom w:val="single" w:sz="8" w:space="0" w:color="000000"/>
              <w:right w:val="nil"/>
            </w:tcBorders>
            <w:shd w:val="clear" w:color="000000" w:fill="44546A"/>
            <w:noWrap/>
            <w:vAlign w:val="center"/>
            <w:hideMark/>
          </w:tcPr>
          <w:p w14:paraId="0D3E5D7E" w14:textId="77777777" w:rsidR="00156651" w:rsidRPr="00156651" w:rsidRDefault="00156651" w:rsidP="008D7BB4">
            <w:pPr>
              <w:spacing w:line="276" w:lineRule="auto"/>
              <w:contextualSpacing/>
              <w:jc w:val="center"/>
              <w:rPr>
                <w:rFonts w:ascii="Times New Roman" w:eastAsia="Times New Roman" w:hAnsi="Times New Roman" w:cs="Times New Roman"/>
                <w:b/>
                <w:bCs/>
                <w:color w:val="FFFFFF"/>
                <w:sz w:val="22"/>
                <w:szCs w:val="22"/>
                <w:lang w:eastAsia="es-GT"/>
              </w:rPr>
            </w:pPr>
            <w:r w:rsidRPr="00156651">
              <w:rPr>
                <w:rFonts w:ascii="Times New Roman" w:eastAsia="Times New Roman" w:hAnsi="Times New Roman" w:cs="Times New Roman"/>
                <w:b/>
                <w:bCs/>
                <w:color w:val="FFFFFF"/>
                <w:sz w:val="22"/>
                <w:szCs w:val="22"/>
                <w:lang w:eastAsia="es-GT"/>
              </w:rPr>
              <w:t>Descripción</w:t>
            </w:r>
          </w:p>
        </w:tc>
        <w:tc>
          <w:tcPr>
            <w:tcW w:w="2424" w:type="dxa"/>
            <w:gridSpan w:val="2"/>
            <w:tcBorders>
              <w:top w:val="single" w:sz="8" w:space="0" w:color="auto"/>
              <w:left w:val="single" w:sz="8" w:space="0" w:color="auto"/>
              <w:bottom w:val="single" w:sz="8" w:space="0" w:color="auto"/>
              <w:right w:val="single" w:sz="8" w:space="0" w:color="000000"/>
            </w:tcBorders>
            <w:shd w:val="clear" w:color="000000" w:fill="44546A"/>
            <w:vAlign w:val="center"/>
            <w:hideMark/>
          </w:tcPr>
          <w:p w14:paraId="2C957122" w14:textId="77777777" w:rsidR="00156651" w:rsidRPr="00156651" w:rsidRDefault="00156651" w:rsidP="008D7BB4">
            <w:pPr>
              <w:spacing w:line="276" w:lineRule="auto"/>
              <w:contextualSpacing/>
              <w:jc w:val="center"/>
              <w:rPr>
                <w:rFonts w:ascii="Times New Roman" w:eastAsia="Times New Roman" w:hAnsi="Times New Roman" w:cs="Times New Roman"/>
                <w:b/>
                <w:bCs/>
                <w:color w:val="FFFFFF"/>
                <w:sz w:val="22"/>
                <w:szCs w:val="22"/>
                <w:lang w:eastAsia="es-GT"/>
              </w:rPr>
            </w:pPr>
            <w:r w:rsidRPr="00156651">
              <w:rPr>
                <w:rFonts w:ascii="Times New Roman" w:eastAsia="Times New Roman" w:hAnsi="Times New Roman" w:cs="Times New Roman"/>
                <w:b/>
                <w:bCs/>
                <w:color w:val="FFFFFF"/>
                <w:sz w:val="22"/>
                <w:szCs w:val="22"/>
                <w:lang w:eastAsia="es-GT"/>
              </w:rPr>
              <w:t>En millones de Q</w:t>
            </w:r>
          </w:p>
        </w:tc>
        <w:tc>
          <w:tcPr>
            <w:tcW w:w="2187" w:type="dxa"/>
            <w:gridSpan w:val="2"/>
            <w:tcBorders>
              <w:top w:val="single" w:sz="8" w:space="0" w:color="auto"/>
              <w:left w:val="nil"/>
              <w:bottom w:val="single" w:sz="8" w:space="0" w:color="auto"/>
              <w:right w:val="single" w:sz="8" w:space="0" w:color="000000"/>
            </w:tcBorders>
            <w:shd w:val="clear" w:color="000000" w:fill="44546A"/>
            <w:vAlign w:val="center"/>
            <w:hideMark/>
          </w:tcPr>
          <w:p w14:paraId="7C21EE54" w14:textId="77777777" w:rsidR="00156651" w:rsidRPr="00156651" w:rsidRDefault="00156651" w:rsidP="008D7BB4">
            <w:pPr>
              <w:spacing w:line="276" w:lineRule="auto"/>
              <w:contextualSpacing/>
              <w:jc w:val="center"/>
              <w:rPr>
                <w:rFonts w:ascii="Times New Roman" w:eastAsia="Times New Roman" w:hAnsi="Times New Roman" w:cs="Times New Roman"/>
                <w:b/>
                <w:bCs/>
                <w:color w:val="FFFFFF"/>
                <w:sz w:val="22"/>
                <w:szCs w:val="22"/>
                <w:lang w:eastAsia="es-GT"/>
              </w:rPr>
            </w:pPr>
            <w:r w:rsidRPr="00156651">
              <w:rPr>
                <w:rFonts w:ascii="Times New Roman" w:eastAsia="Times New Roman" w:hAnsi="Times New Roman" w:cs="Times New Roman"/>
                <w:b/>
                <w:bCs/>
                <w:color w:val="FFFFFF"/>
                <w:sz w:val="22"/>
                <w:szCs w:val="22"/>
                <w:lang w:eastAsia="es-GT"/>
              </w:rPr>
              <w:t>Como porcentaje del PIB</w:t>
            </w:r>
          </w:p>
        </w:tc>
      </w:tr>
      <w:tr w:rsidR="00156651" w:rsidRPr="00156651" w14:paraId="479982A2" w14:textId="77777777" w:rsidTr="00654363">
        <w:trPr>
          <w:gridAfter w:val="1"/>
          <w:wAfter w:w="8" w:type="dxa"/>
          <w:trHeight w:val="228"/>
          <w:jc w:val="center"/>
        </w:trPr>
        <w:tc>
          <w:tcPr>
            <w:tcW w:w="3905" w:type="dxa"/>
            <w:vMerge/>
            <w:tcBorders>
              <w:top w:val="single" w:sz="8" w:space="0" w:color="auto"/>
              <w:left w:val="single" w:sz="8" w:space="0" w:color="auto"/>
              <w:bottom w:val="single" w:sz="8" w:space="0" w:color="000000"/>
              <w:right w:val="nil"/>
            </w:tcBorders>
            <w:vAlign w:val="center"/>
            <w:hideMark/>
          </w:tcPr>
          <w:p w14:paraId="54990605" w14:textId="77777777" w:rsidR="00156651" w:rsidRPr="00156651" w:rsidRDefault="00156651" w:rsidP="008D7BB4">
            <w:pPr>
              <w:spacing w:line="276" w:lineRule="auto"/>
              <w:contextualSpacing/>
              <w:rPr>
                <w:rFonts w:ascii="Times New Roman" w:eastAsia="Times New Roman" w:hAnsi="Times New Roman" w:cs="Times New Roman"/>
                <w:b/>
                <w:bCs/>
                <w:color w:val="FFFFFF"/>
                <w:sz w:val="22"/>
                <w:szCs w:val="22"/>
                <w:lang w:eastAsia="es-GT"/>
              </w:rPr>
            </w:pPr>
          </w:p>
        </w:tc>
        <w:tc>
          <w:tcPr>
            <w:tcW w:w="1212" w:type="dxa"/>
            <w:tcBorders>
              <w:top w:val="nil"/>
              <w:left w:val="single" w:sz="8" w:space="0" w:color="auto"/>
              <w:bottom w:val="single" w:sz="8" w:space="0" w:color="auto"/>
              <w:right w:val="nil"/>
            </w:tcBorders>
            <w:shd w:val="clear" w:color="000000" w:fill="808080"/>
            <w:vAlign w:val="center"/>
            <w:hideMark/>
          </w:tcPr>
          <w:p w14:paraId="0D88E1CF" w14:textId="77777777" w:rsidR="00156651" w:rsidRPr="00156651" w:rsidRDefault="00156651" w:rsidP="008D7BB4">
            <w:pPr>
              <w:spacing w:line="276" w:lineRule="auto"/>
              <w:contextualSpacing/>
              <w:jc w:val="center"/>
              <w:rPr>
                <w:rFonts w:ascii="Times New Roman" w:eastAsia="Times New Roman" w:hAnsi="Times New Roman" w:cs="Times New Roman"/>
                <w:b/>
                <w:bCs/>
                <w:color w:val="FFFFFF"/>
                <w:sz w:val="22"/>
                <w:szCs w:val="22"/>
                <w:lang w:eastAsia="es-GT"/>
              </w:rPr>
            </w:pPr>
            <w:r w:rsidRPr="00156651">
              <w:rPr>
                <w:rFonts w:ascii="Times New Roman" w:eastAsia="Times New Roman" w:hAnsi="Times New Roman" w:cs="Times New Roman"/>
                <w:b/>
                <w:bCs/>
                <w:color w:val="FFFFFF"/>
                <w:sz w:val="22"/>
                <w:szCs w:val="22"/>
                <w:lang w:eastAsia="es-GT"/>
              </w:rPr>
              <w:t>2021</w:t>
            </w:r>
          </w:p>
        </w:tc>
        <w:tc>
          <w:tcPr>
            <w:tcW w:w="1212" w:type="dxa"/>
            <w:tcBorders>
              <w:top w:val="nil"/>
              <w:left w:val="nil"/>
              <w:bottom w:val="single" w:sz="8" w:space="0" w:color="auto"/>
              <w:right w:val="single" w:sz="8" w:space="0" w:color="auto"/>
            </w:tcBorders>
            <w:shd w:val="clear" w:color="000000" w:fill="808080"/>
            <w:vAlign w:val="center"/>
            <w:hideMark/>
          </w:tcPr>
          <w:p w14:paraId="574B7C91" w14:textId="77777777" w:rsidR="00156651" w:rsidRPr="00156651" w:rsidRDefault="00156651" w:rsidP="008D7BB4">
            <w:pPr>
              <w:spacing w:line="276" w:lineRule="auto"/>
              <w:contextualSpacing/>
              <w:jc w:val="center"/>
              <w:rPr>
                <w:rFonts w:ascii="Times New Roman" w:eastAsia="Times New Roman" w:hAnsi="Times New Roman" w:cs="Times New Roman"/>
                <w:b/>
                <w:bCs/>
                <w:color w:val="FFFFFF"/>
                <w:sz w:val="22"/>
                <w:szCs w:val="22"/>
                <w:lang w:eastAsia="es-GT"/>
              </w:rPr>
            </w:pPr>
            <w:r w:rsidRPr="00156651">
              <w:rPr>
                <w:rFonts w:ascii="Times New Roman" w:eastAsia="Times New Roman" w:hAnsi="Times New Roman" w:cs="Times New Roman"/>
                <w:b/>
                <w:bCs/>
                <w:color w:val="FFFFFF"/>
                <w:sz w:val="22"/>
                <w:szCs w:val="22"/>
                <w:lang w:eastAsia="es-GT"/>
              </w:rPr>
              <w:t>2022*</w:t>
            </w:r>
          </w:p>
        </w:tc>
        <w:tc>
          <w:tcPr>
            <w:tcW w:w="1093" w:type="dxa"/>
            <w:tcBorders>
              <w:top w:val="nil"/>
              <w:left w:val="nil"/>
              <w:bottom w:val="single" w:sz="8" w:space="0" w:color="auto"/>
              <w:right w:val="nil"/>
            </w:tcBorders>
            <w:shd w:val="clear" w:color="000000" w:fill="808080"/>
            <w:vAlign w:val="center"/>
            <w:hideMark/>
          </w:tcPr>
          <w:p w14:paraId="05F6B3A0" w14:textId="77777777" w:rsidR="00156651" w:rsidRPr="00156651" w:rsidRDefault="00156651" w:rsidP="008D7BB4">
            <w:pPr>
              <w:spacing w:line="276" w:lineRule="auto"/>
              <w:contextualSpacing/>
              <w:jc w:val="center"/>
              <w:rPr>
                <w:rFonts w:ascii="Times New Roman" w:eastAsia="Times New Roman" w:hAnsi="Times New Roman" w:cs="Times New Roman"/>
                <w:b/>
                <w:bCs/>
                <w:color w:val="FFFFFF"/>
                <w:sz w:val="22"/>
                <w:szCs w:val="22"/>
                <w:lang w:eastAsia="es-GT"/>
              </w:rPr>
            </w:pPr>
            <w:r w:rsidRPr="00156651">
              <w:rPr>
                <w:rFonts w:ascii="Times New Roman" w:eastAsia="Times New Roman" w:hAnsi="Times New Roman" w:cs="Times New Roman"/>
                <w:b/>
                <w:bCs/>
                <w:color w:val="FFFFFF"/>
                <w:sz w:val="22"/>
                <w:szCs w:val="22"/>
                <w:lang w:eastAsia="es-GT"/>
              </w:rPr>
              <w:t>2021</w:t>
            </w:r>
          </w:p>
        </w:tc>
        <w:tc>
          <w:tcPr>
            <w:tcW w:w="1094" w:type="dxa"/>
            <w:tcBorders>
              <w:top w:val="nil"/>
              <w:left w:val="nil"/>
              <w:bottom w:val="single" w:sz="8" w:space="0" w:color="auto"/>
              <w:right w:val="single" w:sz="8" w:space="0" w:color="auto"/>
            </w:tcBorders>
            <w:shd w:val="clear" w:color="000000" w:fill="808080"/>
            <w:vAlign w:val="center"/>
            <w:hideMark/>
          </w:tcPr>
          <w:p w14:paraId="6455B8A5" w14:textId="77777777" w:rsidR="00156651" w:rsidRPr="00156651" w:rsidRDefault="00156651" w:rsidP="008D7BB4">
            <w:pPr>
              <w:spacing w:line="276" w:lineRule="auto"/>
              <w:contextualSpacing/>
              <w:jc w:val="center"/>
              <w:rPr>
                <w:rFonts w:ascii="Times New Roman" w:eastAsia="Times New Roman" w:hAnsi="Times New Roman" w:cs="Times New Roman"/>
                <w:b/>
                <w:bCs/>
                <w:color w:val="FFFFFF"/>
                <w:sz w:val="22"/>
                <w:szCs w:val="22"/>
                <w:lang w:eastAsia="es-GT"/>
              </w:rPr>
            </w:pPr>
            <w:r w:rsidRPr="00156651">
              <w:rPr>
                <w:rFonts w:ascii="Times New Roman" w:eastAsia="Times New Roman" w:hAnsi="Times New Roman" w:cs="Times New Roman"/>
                <w:b/>
                <w:bCs/>
                <w:color w:val="FFFFFF"/>
                <w:sz w:val="22"/>
                <w:szCs w:val="22"/>
                <w:lang w:eastAsia="es-GT"/>
              </w:rPr>
              <w:t>2022*</w:t>
            </w:r>
          </w:p>
        </w:tc>
      </w:tr>
      <w:tr w:rsidR="00156651" w:rsidRPr="00156651" w14:paraId="5401FDE3" w14:textId="77777777" w:rsidTr="00654363">
        <w:trPr>
          <w:gridAfter w:val="1"/>
          <w:wAfter w:w="8" w:type="dxa"/>
          <w:trHeight w:val="228"/>
          <w:jc w:val="center"/>
        </w:trPr>
        <w:tc>
          <w:tcPr>
            <w:tcW w:w="3905" w:type="dxa"/>
            <w:tcBorders>
              <w:top w:val="nil"/>
              <w:left w:val="nil"/>
              <w:bottom w:val="nil"/>
              <w:right w:val="nil"/>
            </w:tcBorders>
            <w:shd w:val="clear" w:color="auto" w:fill="auto"/>
            <w:noWrap/>
            <w:vAlign w:val="center"/>
            <w:hideMark/>
          </w:tcPr>
          <w:p w14:paraId="673561E2" w14:textId="77777777" w:rsidR="00156651" w:rsidRPr="00156651" w:rsidRDefault="00156651" w:rsidP="008D7BB4">
            <w:pPr>
              <w:spacing w:line="276" w:lineRule="auto"/>
              <w:contextualSpacing/>
              <w:jc w:val="both"/>
              <w:rPr>
                <w:rFonts w:ascii="Times New Roman" w:eastAsia="Times New Roman" w:hAnsi="Times New Roman" w:cs="Times New Roman"/>
                <w:b/>
                <w:bCs/>
                <w:color w:val="000000"/>
                <w:sz w:val="22"/>
                <w:szCs w:val="22"/>
                <w:lang w:eastAsia="es-GT"/>
              </w:rPr>
            </w:pPr>
            <w:r w:rsidRPr="00156651">
              <w:rPr>
                <w:rFonts w:ascii="Times New Roman" w:eastAsia="Times New Roman" w:hAnsi="Times New Roman" w:cs="Times New Roman"/>
                <w:b/>
                <w:bCs/>
                <w:color w:val="000000"/>
                <w:sz w:val="22"/>
                <w:szCs w:val="22"/>
                <w:lang w:eastAsia="es-GT"/>
              </w:rPr>
              <w:t>INGRESO</w:t>
            </w:r>
          </w:p>
        </w:tc>
        <w:tc>
          <w:tcPr>
            <w:tcW w:w="1212" w:type="dxa"/>
            <w:tcBorders>
              <w:top w:val="nil"/>
              <w:left w:val="nil"/>
              <w:bottom w:val="nil"/>
              <w:right w:val="nil"/>
            </w:tcBorders>
            <w:shd w:val="clear" w:color="auto" w:fill="auto"/>
            <w:noWrap/>
            <w:vAlign w:val="center"/>
            <w:hideMark/>
          </w:tcPr>
          <w:p w14:paraId="05F8FD90"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156651">
              <w:rPr>
                <w:rFonts w:ascii="Times New Roman" w:hAnsi="Times New Roman" w:cs="Times New Roman"/>
                <w:b/>
                <w:bCs/>
                <w:color w:val="000000"/>
                <w:sz w:val="22"/>
                <w:szCs w:val="22"/>
              </w:rPr>
              <w:t>107,714.0</w:t>
            </w:r>
          </w:p>
        </w:tc>
        <w:tc>
          <w:tcPr>
            <w:tcW w:w="1212" w:type="dxa"/>
            <w:tcBorders>
              <w:top w:val="nil"/>
              <w:left w:val="nil"/>
              <w:bottom w:val="nil"/>
              <w:right w:val="nil"/>
            </w:tcBorders>
            <w:shd w:val="clear" w:color="auto" w:fill="auto"/>
            <w:noWrap/>
            <w:vAlign w:val="center"/>
            <w:hideMark/>
          </w:tcPr>
          <w:p w14:paraId="3C24245A"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156651">
              <w:rPr>
                <w:rFonts w:ascii="Times New Roman" w:hAnsi="Times New Roman" w:cs="Times New Roman"/>
                <w:b/>
                <w:bCs/>
                <w:color w:val="000000"/>
                <w:sz w:val="22"/>
                <w:szCs w:val="22"/>
              </w:rPr>
              <w:t>120,296.7</w:t>
            </w:r>
          </w:p>
        </w:tc>
        <w:tc>
          <w:tcPr>
            <w:tcW w:w="1093" w:type="dxa"/>
            <w:tcBorders>
              <w:top w:val="nil"/>
              <w:left w:val="dotDash" w:sz="4" w:space="0" w:color="auto"/>
              <w:bottom w:val="nil"/>
              <w:right w:val="nil"/>
            </w:tcBorders>
            <w:shd w:val="clear" w:color="auto" w:fill="auto"/>
            <w:noWrap/>
            <w:vAlign w:val="center"/>
            <w:hideMark/>
          </w:tcPr>
          <w:p w14:paraId="51935C86"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156651">
              <w:rPr>
                <w:rFonts w:ascii="Times New Roman" w:hAnsi="Times New Roman" w:cs="Times New Roman"/>
                <w:b/>
                <w:bCs/>
                <w:color w:val="000000"/>
                <w:sz w:val="22"/>
                <w:szCs w:val="22"/>
              </w:rPr>
              <w:t>16.2</w:t>
            </w:r>
          </w:p>
        </w:tc>
        <w:tc>
          <w:tcPr>
            <w:tcW w:w="1094" w:type="dxa"/>
            <w:tcBorders>
              <w:top w:val="nil"/>
              <w:left w:val="nil"/>
              <w:bottom w:val="nil"/>
              <w:right w:val="nil"/>
            </w:tcBorders>
            <w:shd w:val="clear" w:color="auto" w:fill="auto"/>
            <w:noWrap/>
            <w:vAlign w:val="center"/>
            <w:hideMark/>
          </w:tcPr>
          <w:p w14:paraId="1D5153A1"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156651">
              <w:rPr>
                <w:rFonts w:ascii="Times New Roman" w:hAnsi="Times New Roman" w:cs="Times New Roman"/>
                <w:b/>
                <w:bCs/>
                <w:color w:val="000000"/>
                <w:sz w:val="22"/>
                <w:szCs w:val="22"/>
              </w:rPr>
              <w:t>16.4</w:t>
            </w:r>
          </w:p>
        </w:tc>
      </w:tr>
      <w:tr w:rsidR="00156651" w:rsidRPr="00156651" w14:paraId="726F4021" w14:textId="77777777" w:rsidTr="00654363">
        <w:trPr>
          <w:gridAfter w:val="1"/>
          <w:wAfter w:w="8" w:type="dxa"/>
          <w:trHeight w:val="228"/>
          <w:jc w:val="center"/>
        </w:trPr>
        <w:tc>
          <w:tcPr>
            <w:tcW w:w="3905" w:type="dxa"/>
            <w:tcBorders>
              <w:top w:val="nil"/>
              <w:left w:val="nil"/>
              <w:bottom w:val="nil"/>
              <w:right w:val="nil"/>
            </w:tcBorders>
            <w:shd w:val="clear" w:color="auto" w:fill="auto"/>
            <w:noWrap/>
            <w:vAlign w:val="center"/>
            <w:hideMark/>
          </w:tcPr>
          <w:p w14:paraId="6B75C25B" w14:textId="77777777" w:rsidR="00156651" w:rsidRPr="00156651" w:rsidRDefault="00156651" w:rsidP="008D7BB4">
            <w:pPr>
              <w:spacing w:line="276" w:lineRule="auto"/>
              <w:ind w:firstLineChars="100" w:firstLine="220"/>
              <w:contextualSpacing/>
              <w:rPr>
                <w:rFonts w:ascii="Times New Roman" w:eastAsia="Times New Roman" w:hAnsi="Times New Roman" w:cs="Times New Roman"/>
                <w:color w:val="000000"/>
                <w:sz w:val="22"/>
                <w:szCs w:val="22"/>
                <w:lang w:eastAsia="es-GT"/>
              </w:rPr>
            </w:pPr>
            <w:r w:rsidRPr="00156651">
              <w:rPr>
                <w:rFonts w:ascii="Times New Roman" w:eastAsia="Times New Roman" w:hAnsi="Times New Roman" w:cs="Times New Roman"/>
                <w:color w:val="000000"/>
                <w:sz w:val="22"/>
                <w:szCs w:val="22"/>
                <w:lang w:eastAsia="es-GT"/>
              </w:rPr>
              <w:t>Impuestos</w:t>
            </w:r>
          </w:p>
        </w:tc>
        <w:tc>
          <w:tcPr>
            <w:tcW w:w="1212" w:type="dxa"/>
            <w:tcBorders>
              <w:top w:val="nil"/>
              <w:left w:val="nil"/>
              <w:bottom w:val="nil"/>
              <w:right w:val="nil"/>
            </w:tcBorders>
            <w:shd w:val="clear" w:color="auto" w:fill="auto"/>
            <w:noWrap/>
            <w:vAlign w:val="center"/>
            <w:hideMark/>
          </w:tcPr>
          <w:p w14:paraId="1FAE158C"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80,858.7</w:t>
            </w:r>
          </w:p>
        </w:tc>
        <w:tc>
          <w:tcPr>
            <w:tcW w:w="1212" w:type="dxa"/>
            <w:tcBorders>
              <w:top w:val="nil"/>
              <w:left w:val="nil"/>
              <w:bottom w:val="nil"/>
              <w:right w:val="nil"/>
            </w:tcBorders>
            <w:shd w:val="clear" w:color="auto" w:fill="auto"/>
            <w:noWrap/>
            <w:vAlign w:val="center"/>
            <w:hideMark/>
          </w:tcPr>
          <w:p w14:paraId="747D5254"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91,573.9</w:t>
            </w:r>
          </w:p>
        </w:tc>
        <w:tc>
          <w:tcPr>
            <w:tcW w:w="1093" w:type="dxa"/>
            <w:tcBorders>
              <w:top w:val="nil"/>
              <w:left w:val="dotDash" w:sz="4" w:space="0" w:color="auto"/>
              <w:bottom w:val="nil"/>
              <w:right w:val="nil"/>
            </w:tcBorders>
            <w:shd w:val="clear" w:color="auto" w:fill="auto"/>
            <w:noWrap/>
            <w:vAlign w:val="center"/>
            <w:hideMark/>
          </w:tcPr>
          <w:p w14:paraId="06CC62BF"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12.2</w:t>
            </w:r>
          </w:p>
        </w:tc>
        <w:tc>
          <w:tcPr>
            <w:tcW w:w="1094" w:type="dxa"/>
            <w:tcBorders>
              <w:top w:val="nil"/>
              <w:left w:val="nil"/>
              <w:bottom w:val="nil"/>
              <w:right w:val="nil"/>
            </w:tcBorders>
            <w:shd w:val="clear" w:color="auto" w:fill="auto"/>
            <w:noWrap/>
            <w:vAlign w:val="center"/>
            <w:hideMark/>
          </w:tcPr>
          <w:p w14:paraId="69F4E12C"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12.5</w:t>
            </w:r>
          </w:p>
        </w:tc>
      </w:tr>
      <w:tr w:rsidR="00156651" w:rsidRPr="00156651" w14:paraId="3CB345E6" w14:textId="77777777" w:rsidTr="00654363">
        <w:trPr>
          <w:gridAfter w:val="1"/>
          <w:wAfter w:w="8" w:type="dxa"/>
          <w:trHeight w:val="228"/>
          <w:jc w:val="center"/>
        </w:trPr>
        <w:tc>
          <w:tcPr>
            <w:tcW w:w="3905" w:type="dxa"/>
            <w:tcBorders>
              <w:top w:val="nil"/>
              <w:left w:val="nil"/>
              <w:bottom w:val="nil"/>
              <w:right w:val="nil"/>
            </w:tcBorders>
            <w:shd w:val="clear" w:color="auto" w:fill="auto"/>
            <w:noWrap/>
            <w:vAlign w:val="center"/>
            <w:hideMark/>
          </w:tcPr>
          <w:p w14:paraId="30FC2873" w14:textId="77777777" w:rsidR="00156651" w:rsidRPr="00156651" w:rsidRDefault="00156651" w:rsidP="008D7BB4">
            <w:pPr>
              <w:spacing w:line="276" w:lineRule="auto"/>
              <w:ind w:firstLineChars="100" w:firstLine="220"/>
              <w:contextualSpacing/>
              <w:rPr>
                <w:rFonts w:ascii="Times New Roman" w:eastAsia="Times New Roman" w:hAnsi="Times New Roman" w:cs="Times New Roman"/>
                <w:color w:val="000000"/>
                <w:sz w:val="22"/>
                <w:szCs w:val="22"/>
                <w:lang w:eastAsia="es-GT"/>
              </w:rPr>
            </w:pPr>
            <w:r w:rsidRPr="00156651">
              <w:rPr>
                <w:rFonts w:ascii="Times New Roman" w:eastAsia="Times New Roman" w:hAnsi="Times New Roman" w:cs="Times New Roman"/>
                <w:color w:val="000000"/>
                <w:sz w:val="22"/>
                <w:szCs w:val="22"/>
                <w:lang w:eastAsia="es-GT"/>
              </w:rPr>
              <w:t xml:space="preserve">Contribuciones sociales </w:t>
            </w:r>
          </w:p>
        </w:tc>
        <w:tc>
          <w:tcPr>
            <w:tcW w:w="1212" w:type="dxa"/>
            <w:tcBorders>
              <w:top w:val="nil"/>
              <w:left w:val="nil"/>
              <w:bottom w:val="nil"/>
              <w:right w:val="nil"/>
            </w:tcBorders>
            <w:shd w:val="clear" w:color="auto" w:fill="auto"/>
            <w:noWrap/>
            <w:vAlign w:val="center"/>
            <w:hideMark/>
          </w:tcPr>
          <w:p w14:paraId="54A8A45C"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18,429.6</w:t>
            </w:r>
          </w:p>
        </w:tc>
        <w:tc>
          <w:tcPr>
            <w:tcW w:w="1212" w:type="dxa"/>
            <w:tcBorders>
              <w:top w:val="nil"/>
              <w:left w:val="nil"/>
              <w:bottom w:val="nil"/>
              <w:right w:val="nil"/>
            </w:tcBorders>
            <w:shd w:val="clear" w:color="auto" w:fill="auto"/>
            <w:noWrap/>
            <w:vAlign w:val="center"/>
            <w:hideMark/>
          </w:tcPr>
          <w:p w14:paraId="64B63C6E"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19,760.7</w:t>
            </w:r>
          </w:p>
        </w:tc>
        <w:tc>
          <w:tcPr>
            <w:tcW w:w="1093" w:type="dxa"/>
            <w:tcBorders>
              <w:top w:val="nil"/>
              <w:left w:val="dotDash" w:sz="4" w:space="0" w:color="auto"/>
              <w:bottom w:val="nil"/>
              <w:right w:val="nil"/>
            </w:tcBorders>
            <w:shd w:val="clear" w:color="auto" w:fill="auto"/>
            <w:noWrap/>
            <w:vAlign w:val="center"/>
            <w:hideMark/>
          </w:tcPr>
          <w:p w14:paraId="3E392E17"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2.8</w:t>
            </w:r>
          </w:p>
        </w:tc>
        <w:tc>
          <w:tcPr>
            <w:tcW w:w="1094" w:type="dxa"/>
            <w:tcBorders>
              <w:top w:val="nil"/>
              <w:left w:val="nil"/>
              <w:bottom w:val="nil"/>
              <w:right w:val="nil"/>
            </w:tcBorders>
            <w:shd w:val="clear" w:color="auto" w:fill="auto"/>
            <w:noWrap/>
            <w:vAlign w:val="center"/>
            <w:hideMark/>
          </w:tcPr>
          <w:p w14:paraId="32A9F1F0"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2.7</w:t>
            </w:r>
          </w:p>
        </w:tc>
      </w:tr>
      <w:tr w:rsidR="00156651" w:rsidRPr="00156651" w14:paraId="74FE017B" w14:textId="77777777" w:rsidTr="00654363">
        <w:trPr>
          <w:gridAfter w:val="1"/>
          <w:wAfter w:w="8" w:type="dxa"/>
          <w:trHeight w:val="228"/>
          <w:jc w:val="center"/>
        </w:trPr>
        <w:tc>
          <w:tcPr>
            <w:tcW w:w="3905" w:type="dxa"/>
            <w:tcBorders>
              <w:top w:val="nil"/>
              <w:left w:val="nil"/>
              <w:bottom w:val="nil"/>
              <w:right w:val="nil"/>
            </w:tcBorders>
            <w:shd w:val="clear" w:color="auto" w:fill="auto"/>
            <w:noWrap/>
            <w:vAlign w:val="center"/>
            <w:hideMark/>
          </w:tcPr>
          <w:p w14:paraId="448D6DDC" w14:textId="77777777" w:rsidR="00156651" w:rsidRPr="00156651" w:rsidRDefault="00156651" w:rsidP="008D7BB4">
            <w:pPr>
              <w:spacing w:line="276" w:lineRule="auto"/>
              <w:ind w:firstLineChars="100" w:firstLine="220"/>
              <w:contextualSpacing/>
              <w:rPr>
                <w:rFonts w:ascii="Times New Roman" w:eastAsia="Times New Roman" w:hAnsi="Times New Roman" w:cs="Times New Roman"/>
                <w:color w:val="000000"/>
                <w:sz w:val="22"/>
                <w:szCs w:val="22"/>
                <w:lang w:eastAsia="es-GT"/>
              </w:rPr>
            </w:pPr>
            <w:r w:rsidRPr="00156651">
              <w:rPr>
                <w:rFonts w:ascii="Times New Roman" w:eastAsia="Times New Roman" w:hAnsi="Times New Roman" w:cs="Times New Roman"/>
                <w:color w:val="000000"/>
                <w:sz w:val="22"/>
                <w:szCs w:val="22"/>
                <w:lang w:eastAsia="es-GT"/>
              </w:rPr>
              <w:t>Donaciones</w:t>
            </w:r>
          </w:p>
        </w:tc>
        <w:tc>
          <w:tcPr>
            <w:tcW w:w="1212" w:type="dxa"/>
            <w:tcBorders>
              <w:top w:val="nil"/>
              <w:left w:val="nil"/>
              <w:bottom w:val="nil"/>
              <w:right w:val="nil"/>
            </w:tcBorders>
            <w:shd w:val="clear" w:color="auto" w:fill="auto"/>
            <w:noWrap/>
            <w:vAlign w:val="center"/>
            <w:hideMark/>
          </w:tcPr>
          <w:p w14:paraId="00BC5A95"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285.6</w:t>
            </w:r>
          </w:p>
        </w:tc>
        <w:tc>
          <w:tcPr>
            <w:tcW w:w="1212" w:type="dxa"/>
            <w:tcBorders>
              <w:top w:val="nil"/>
              <w:left w:val="nil"/>
              <w:bottom w:val="nil"/>
              <w:right w:val="nil"/>
            </w:tcBorders>
            <w:shd w:val="clear" w:color="auto" w:fill="auto"/>
            <w:noWrap/>
            <w:vAlign w:val="center"/>
            <w:hideMark/>
          </w:tcPr>
          <w:p w14:paraId="54EBA872"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171.1</w:t>
            </w:r>
          </w:p>
        </w:tc>
        <w:tc>
          <w:tcPr>
            <w:tcW w:w="1093" w:type="dxa"/>
            <w:tcBorders>
              <w:top w:val="nil"/>
              <w:left w:val="dotDash" w:sz="4" w:space="0" w:color="auto"/>
              <w:bottom w:val="nil"/>
              <w:right w:val="nil"/>
            </w:tcBorders>
            <w:shd w:val="clear" w:color="auto" w:fill="auto"/>
            <w:noWrap/>
            <w:vAlign w:val="center"/>
            <w:hideMark/>
          </w:tcPr>
          <w:p w14:paraId="6FA9FE98"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0.0</w:t>
            </w:r>
          </w:p>
        </w:tc>
        <w:tc>
          <w:tcPr>
            <w:tcW w:w="1094" w:type="dxa"/>
            <w:tcBorders>
              <w:top w:val="nil"/>
              <w:left w:val="nil"/>
              <w:bottom w:val="nil"/>
              <w:right w:val="nil"/>
            </w:tcBorders>
            <w:shd w:val="clear" w:color="auto" w:fill="auto"/>
            <w:noWrap/>
            <w:vAlign w:val="center"/>
            <w:hideMark/>
          </w:tcPr>
          <w:p w14:paraId="67990913"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0.0</w:t>
            </w:r>
          </w:p>
        </w:tc>
      </w:tr>
      <w:tr w:rsidR="00156651" w:rsidRPr="00156651" w14:paraId="102A2DE2" w14:textId="77777777" w:rsidTr="00654363">
        <w:trPr>
          <w:gridAfter w:val="1"/>
          <w:wAfter w:w="8" w:type="dxa"/>
          <w:trHeight w:val="228"/>
          <w:jc w:val="center"/>
        </w:trPr>
        <w:tc>
          <w:tcPr>
            <w:tcW w:w="3905" w:type="dxa"/>
            <w:tcBorders>
              <w:top w:val="nil"/>
              <w:left w:val="nil"/>
              <w:bottom w:val="nil"/>
              <w:right w:val="nil"/>
            </w:tcBorders>
            <w:shd w:val="clear" w:color="auto" w:fill="auto"/>
            <w:noWrap/>
            <w:vAlign w:val="center"/>
            <w:hideMark/>
          </w:tcPr>
          <w:p w14:paraId="4F8BB4E2" w14:textId="77777777" w:rsidR="00156651" w:rsidRPr="00156651" w:rsidRDefault="00156651" w:rsidP="008D7BB4">
            <w:pPr>
              <w:spacing w:line="276" w:lineRule="auto"/>
              <w:ind w:firstLineChars="100" w:firstLine="220"/>
              <w:contextualSpacing/>
              <w:rPr>
                <w:rFonts w:ascii="Times New Roman" w:eastAsia="Times New Roman" w:hAnsi="Times New Roman" w:cs="Times New Roman"/>
                <w:color w:val="000000"/>
                <w:sz w:val="22"/>
                <w:szCs w:val="22"/>
                <w:lang w:eastAsia="es-GT"/>
              </w:rPr>
            </w:pPr>
            <w:r w:rsidRPr="00156651">
              <w:rPr>
                <w:rFonts w:ascii="Times New Roman" w:eastAsia="Times New Roman" w:hAnsi="Times New Roman" w:cs="Times New Roman"/>
                <w:color w:val="000000"/>
                <w:sz w:val="22"/>
                <w:szCs w:val="22"/>
                <w:lang w:eastAsia="es-GT"/>
              </w:rPr>
              <w:t xml:space="preserve">Otros ingresos </w:t>
            </w:r>
          </w:p>
        </w:tc>
        <w:tc>
          <w:tcPr>
            <w:tcW w:w="1212" w:type="dxa"/>
            <w:tcBorders>
              <w:top w:val="nil"/>
              <w:left w:val="nil"/>
              <w:bottom w:val="nil"/>
              <w:right w:val="nil"/>
            </w:tcBorders>
            <w:shd w:val="clear" w:color="auto" w:fill="auto"/>
            <w:noWrap/>
            <w:vAlign w:val="center"/>
            <w:hideMark/>
          </w:tcPr>
          <w:p w14:paraId="3DA71CD7"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8,140.1</w:t>
            </w:r>
          </w:p>
        </w:tc>
        <w:tc>
          <w:tcPr>
            <w:tcW w:w="1212" w:type="dxa"/>
            <w:tcBorders>
              <w:top w:val="nil"/>
              <w:left w:val="nil"/>
              <w:bottom w:val="nil"/>
              <w:right w:val="nil"/>
            </w:tcBorders>
            <w:shd w:val="clear" w:color="auto" w:fill="auto"/>
            <w:noWrap/>
            <w:vAlign w:val="center"/>
            <w:hideMark/>
          </w:tcPr>
          <w:p w14:paraId="4F0A3CAC"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8,791.0</w:t>
            </w:r>
          </w:p>
        </w:tc>
        <w:tc>
          <w:tcPr>
            <w:tcW w:w="1093" w:type="dxa"/>
            <w:tcBorders>
              <w:top w:val="nil"/>
              <w:left w:val="dotDash" w:sz="4" w:space="0" w:color="auto"/>
              <w:bottom w:val="nil"/>
              <w:right w:val="nil"/>
            </w:tcBorders>
            <w:shd w:val="clear" w:color="auto" w:fill="auto"/>
            <w:noWrap/>
            <w:vAlign w:val="center"/>
            <w:hideMark/>
          </w:tcPr>
          <w:p w14:paraId="56C660C9"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1.2</w:t>
            </w:r>
          </w:p>
        </w:tc>
        <w:tc>
          <w:tcPr>
            <w:tcW w:w="1094" w:type="dxa"/>
            <w:tcBorders>
              <w:top w:val="nil"/>
              <w:left w:val="nil"/>
              <w:bottom w:val="nil"/>
              <w:right w:val="nil"/>
            </w:tcBorders>
            <w:shd w:val="clear" w:color="auto" w:fill="auto"/>
            <w:noWrap/>
            <w:vAlign w:val="center"/>
            <w:hideMark/>
          </w:tcPr>
          <w:p w14:paraId="137BD1BE"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1.2</w:t>
            </w:r>
          </w:p>
        </w:tc>
      </w:tr>
      <w:tr w:rsidR="00156651" w:rsidRPr="00156651" w14:paraId="7A33AFC1" w14:textId="77777777" w:rsidTr="00654363">
        <w:trPr>
          <w:gridAfter w:val="1"/>
          <w:wAfter w:w="8" w:type="dxa"/>
          <w:trHeight w:val="228"/>
          <w:jc w:val="center"/>
        </w:trPr>
        <w:tc>
          <w:tcPr>
            <w:tcW w:w="3905" w:type="dxa"/>
            <w:tcBorders>
              <w:top w:val="nil"/>
              <w:left w:val="nil"/>
              <w:bottom w:val="nil"/>
              <w:right w:val="nil"/>
            </w:tcBorders>
            <w:shd w:val="clear" w:color="auto" w:fill="auto"/>
            <w:noWrap/>
            <w:vAlign w:val="center"/>
            <w:hideMark/>
          </w:tcPr>
          <w:p w14:paraId="3D2EF1FF" w14:textId="77777777" w:rsidR="00156651" w:rsidRPr="00156651" w:rsidRDefault="00156651" w:rsidP="008D7BB4">
            <w:pPr>
              <w:spacing w:line="276" w:lineRule="auto"/>
              <w:contextualSpacing/>
              <w:jc w:val="both"/>
              <w:rPr>
                <w:rFonts w:ascii="Times New Roman" w:eastAsia="Times New Roman" w:hAnsi="Times New Roman" w:cs="Times New Roman"/>
                <w:b/>
                <w:bCs/>
                <w:color w:val="000000"/>
                <w:sz w:val="22"/>
                <w:szCs w:val="22"/>
                <w:lang w:eastAsia="es-GT"/>
              </w:rPr>
            </w:pPr>
            <w:r w:rsidRPr="00156651">
              <w:rPr>
                <w:rFonts w:ascii="Times New Roman" w:eastAsia="Times New Roman" w:hAnsi="Times New Roman" w:cs="Times New Roman"/>
                <w:b/>
                <w:bCs/>
                <w:color w:val="000000"/>
                <w:sz w:val="22"/>
                <w:szCs w:val="22"/>
                <w:lang w:eastAsia="es-GT"/>
              </w:rPr>
              <w:t>GASTO</w:t>
            </w:r>
          </w:p>
        </w:tc>
        <w:tc>
          <w:tcPr>
            <w:tcW w:w="1212" w:type="dxa"/>
            <w:tcBorders>
              <w:top w:val="nil"/>
              <w:left w:val="nil"/>
              <w:bottom w:val="nil"/>
              <w:right w:val="nil"/>
            </w:tcBorders>
            <w:shd w:val="clear" w:color="auto" w:fill="auto"/>
            <w:noWrap/>
            <w:vAlign w:val="center"/>
            <w:hideMark/>
          </w:tcPr>
          <w:p w14:paraId="4D0694A2"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156651">
              <w:rPr>
                <w:rFonts w:ascii="Times New Roman" w:hAnsi="Times New Roman" w:cs="Times New Roman"/>
                <w:b/>
                <w:bCs/>
                <w:color w:val="000000"/>
                <w:sz w:val="22"/>
                <w:szCs w:val="22"/>
              </w:rPr>
              <w:t>96,804.4</w:t>
            </w:r>
          </w:p>
        </w:tc>
        <w:tc>
          <w:tcPr>
            <w:tcW w:w="1212" w:type="dxa"/>
            <w:tcBorders>
              <w:top w:val="nil"/>
              <w:left w:val="nil"/>
              <w:bottom w:val="nil"/>
              <w:right w:val="nil"/>
            </w:tcBorders>
            <w:shd w:val="clear" w:color="auto" w:fill="auto"/>
            <w:noWrap/>
            <w:vAlign w:val="center"/>
            <w:hideMark/>
          </w:tcPr>
          <w:p w14:paraId="1080F241"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156651">
              <w:rPr>
                <w:rFonts w:ascii="Times New Roman" w:hAnsi="Times New Roman" w:cs="Times New Roman"/>
                <w:b/>
                <w:bCs/>
                <w:color w:val="000000"/>
                <w:sz w:val="22"/>
                <w:szCs w:val="22"/>
              </w:rPr>
              <w:t>111,189.0</w:t>
            </w:r>
          </w:p>
        </w:tc>
        <w:tc>
          <w:tcPr>
            <w:tcW w:w="1093" w:type="dxa"/>
            <w:tcBorders>
              <w:top w:val="nil"/>
              <w:left w:val="dotDash" w:sz="4" w:space="0" w:color="auto"/>
              <w:bottom w:val="nil"/>
              <w:right w:val="nil"/>
            </w:tcBorders>
            <w:shd w:val="clear" w:color="auto" w:fill="auto"/>
            <w:noWrap/>
            <w:vAlign w:val="center"/>
            <w:hideMark/>
          </w:tcPr>
          <w:p w14:paraId="3DDA7491"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156651">
              <w:rPr>
                <w:rFonts w:ascii="Times New Roman" w:hAnsi="Times New Roman" w:cs="Times New Roman"/>
                <w:b/>
                <w:bCs/>
                <w:color w:val="000000"/>
                <w:sz w:val="22"/>
                <w:szCs w:val="22"/>
              </w:rPr>
              <w:t>14.6</w:t>
            </w:r>
          </w:p>
        </w:tc>
        <w:tc>
          <w:tcPr>
            <w:tcW w:w="1094" w:type="dxa"/>
            <w:tcBorders>
              <w:top w:val="nil"/>
              <w:left w:val="nil"/>
              <w:bottom w:val="nil"/>
              <w:right w:val="nil"/>
            </w:tcBorders>
            <w:shd w:val="clear" w:color="auto" w:fill="auto"/>
            <w:noWrap/>
            <w:vAlign w:val="center"/>
            <w:hideMark/>
          </w:tcPr>
          <w:p w14:paraId="00B6A710"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156651">
              <w:rPr>
                <w:rFonts w:ascii="Times New Roman" w:hAnsi="Times New Roman" w:cs="Times New Roman"/>
                <w:b/>
                <w:bCs/>
                <w:color w:val="000000"/>
                <w:sz w:val="22"/>
                <w:szCs w:val="22"/>
              </w:rPr>
              <w:t>15.2</w:t>
            </w:r>
          </w:p>
        </w:tc>
      </w:tr>
      <w:tr w:rsidR="00156651" w:rsidRPr="00156651" w14:paraId="5D5B37FA" w14:textId="77777777" w:rsidTr="00654363">
        <w:trPr>
          <w:gridAfter w:val="1"/>
          <w:wAfter w:w="8" w:type="dxa"/>
          <w:trHeight w:val="228"/>
          <w:jc w:val="center"/>
        </w:trPr>
        <w:tc>
          <w:tcPr>
            <w:tcW w:w="3905" w:type="dxa"/>
            <w:tcBorders>
              <w:top w:val="nil"/>
              <w:left w:val="nil"/>
              <w:bottom w:val="nil"/>
              <w:right w:val="nil"/>
            </w:tcBorders>
            <w:shd w:val="clear" w:color="auto" w:fill="auto"/>
            <w:noWrap/>
            <w:vAlign w:val="center"/>
            <w:hideMark/>
          </w:tcPr>
          <w:p w14:paraId="2BEA7FFE" w14:textId="77777777" w:rsidR="00156651" w:rsidRPr="00156651" w:rsidRDefault="00156651" w:rsidP="008D7BB4">
            <w:pPr>
              <w:spacing w:line="276" w:lineRule="auto"/>
              <w:ind w:firstLineChars="100" w:firstLine="220"/>
              <w:contextualSpacing/>
              <w:rPr>
                <w:rFonts w:ascii="Times New Roman" w:eastAsia="Times New Roman" w:hAnsi="Times New Roman" w:cs="Times New Roman"/>
                <w:color w:val="000000"/>
                <w:sz w:val="22"/>
                <w:szCs w:val="22"/>
                <w:lang w:eastAsia="es-GT"/>
              </w:rPr>
            </w:pPr>
            <w:r w:rsidRPr="00156651">
              <w:rPr>
                <w:rFonts w:ascii="Times New Roman" w:eastAsia="Times New Roman" w:hAnsi="Times New Roman" w:cs="Times New Roman"/>
                <w:color w:val="000000"/>
                <w:sz w:val="22"/>
                <w:szCs w:val="22"/>
                <w:lang w:eastAsia="es-GT"/>
              </w:rPr>
              <w:t xml:space="preserve">Remuneración a los empleados </w:t>
            </w:r>
          </w:p>
        </w:tc>
        <w:tc>
          <w:tcPr>
            <w:tcW w:w="1212" w:type="dxa"/>
            <w:tcBorders>
              <w:top w:val="nil"/>
              <w:left w:val="nil"/>
              <w:bottom w:val="nil"/>
              <w:right w:val="nil"/>
            </w:tcBorders>
            <w:shd w:val="clear" w:color="auto" w:fill="auto"/>
            <w:noWrap/>
            <w:vAlign w:val="center"/>
            <w:hideMark/>
          </w:tcPr>
          <w:p w14:paraId="5E3D0279"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48,645.1</w:t>
            </w:r>
          </w:p>
        </w:tc>
        <w:tc>
          <w:tcPr>
            <w:tcW w:w="1212" w:type="dxa"/>
            <w:tcBorders>
              <w:top w:val="nil"/>
              <w:left w:val="nil"/>
              <w:bottom w:val="nil"/>
              <w:right w:val="nil"/>
            </w:tcBorders>
            <w:shd w:val="clear" w:color="auto" w:fill="auto"/>
            <w:noWrap/>
            <w:vAlign w:val="center"/>
            <w:hideMark/>
          </w:tcPr>
          <w:p w14:paraId="6594B592"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50,769.0</w:t>
            </w:r>
          </w:p>
        </w:tc>
        <w:tc>
          <w:tcPr>
            <w:tcW w:w="1093" w:type="dxa"/>
            <w:tcBorders>
              <w:top w:val="nil"/>
              <w:left w:val="dotDash" w:sz="4" w:space="0" w:color="auto"/>
              <w:bottom w:val="nil"/>
              <w:right w:val="nil"/>
            </w:tcBorders>
            <w:shd w:val="clear" w:color="auto" w:fill="auto"/>
            <w:noWrap/>
            <w:vAlign w:val="center"/>
            <w:hideMark/>
          </w:tcPr>
          <w:p w14:paraId="1506852C"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7.3</w:t>
            </w:r>
          </w:p>
        </w:tc>
        <w:tc>
          <w:tcPr>
            <w:tcW w:w="1094" w:type="dxa"/>
            <w:tcBorders>
              <w:top w:val="nil"/>
              <w:left w:val="nil"/>
              <w:bottom w:val="nil"/>
              <w:right w:val="nil"/>
            </w:tcBorders>
            <w:shd w:val="clear" w:color="auto" w:fill="auto"/>
            <w:noWrap/>
            <w:vAlign w:val="center"/>
            <w:hideMark/>
          </w:tcPr>
          <w:p w14:paraId="362FA860"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6.9</w:t>
            </w:r>
          </w:p>
        </w:tc>
      </w:tr>
      <w:tr w:rsidR="00156651" w:rsidRPr="00156651" w14:paraId="3CDFB3BB" w14:textId="77777777" w:rsidTr="00654363">
        <w:trPr>
          <w:gridAfter w:val="1"/>
          <w:wAfter w:w="8" w:type="dxa"/>
          <w:trHeight w:val="228"/>
          <w:jc w:val="center"/>
        </w:trPr>
        <w:tc>
          <w:tcPr>
            <w:tcW w:w="3905" w:type="dxa"/>
            <w:tcBorders>
              <w:top w:val="nil"/>
              <w:left w:val="nil"/>
              <w:bottom w:val="nil"/>
              <w:right w:val="nil"/>
            </w:tcBorders>
            <w:shd w:val="clear" w:color="auto" w:fill="auto"/>
            <w:noWrap/>
            <w:vAlign w:val="center"/>
            <w:hideMark/>
          </w:tcPr>
          <w:p w14:paraId="0F7F4824" w14:textId="77777777" w:rsidR="00156651" w:rsidRPr="00156651" w:rsidRDefault="00156651" w:rsidP="008D7BB4">
            <w:pPr>
              <w:spacing w:line="276" w:lineRule="auto"/>
              <w:ind w:firstLineChars="100" w:firstLine="220"/>
              <w:contextualSpacing/>
              <w:rPr>
                <w:rFonts w:ascii="Times New Roman" w:eastAsia="Times New Roman" w:hAnsi="Times New Roman" w:cs="Times New Roman"/>
                <w:color w:val="000000"/>
                <w:sz w:val="22"/>
                <w:szCs w:val="22"/>
                <w:lang w:eastAsia="es-GT"/>
              </w:rPr>
            </w:pPr>
            <w:r w:rsidRPr="00156651">
              <w:rPr>
                <w:rFonts w:ascii="Times New Roman" w:eastAsia="Times New Roman" w:hAnsi="Times New Roman" w:cs="Times New Roman"/>
                <w:color w:val="000000"/>
                <w:sz w:val="22"/>
                <w:szCs w:val="22"/>
                <w:lang w:eastAsia="es-GT"/>
              </w:rPr>
              <w:t xml:space="preserve">Uso de bienes y servicios  </w:t>
            </w:r>
          </w:p>
        </w:tc>
        <w:tc>
          <w:tcPr>
            <w:tcW w:w="1212" w:type="dxa"/>
            <w:tcBorders>
              <w:top w:val="nil"/>
              <w:left w:val="nil"/>
              <w:bottom w:val="nil"/>
              <w:right w:val="nil"/>
            </w:tcBorders>
            <w:shd w:val="clear" w:color="auto" w:fill="auto"/>
            <w:noWrap/>
            <w:vAlign w:val="center"/>
            <w:hideMark/>
          </w:tcPr>
          <w:p w14:paraId="20FF4A26"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19,511.5</w:t>
            </w:r>
          </w:p>
        </w:tc>
        <w:tc>
          <w:tcPr>
            <w:tcW w:w="1212" w:type="dxa"/>
            <w:tcBorders>
              <w:top w:val="nil"/>
              <w:left w:val="nil"/>
              <w:bottom w:val="nil"/>
              <w:right w:val="nil"/>
            </w:tcBorders>
            <w:shd w:val="clear" w:color="auto" w:fill="auto"/>
            <w:noWrap/>
            <w:vAlign w:val="center"/>
            <w:hideMark/>
          </w:tcPr>
          <w:p w14:paraId="7CCC48B3"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24,414.3</w:t>
            </w:r>
          </w:p>
        </w:tc>
        <w:tc>
          <w:tcPr>
            <w:tcW w:w="1093" w:type="dxa"/>
            <w:tcBorders>
              <w:top w:val="nil"/>
              <w:left w:val="dotDash" w:sz="4" w:space="0" w:color="auto"/>
              <w:bottom w:val="nil"/>
              <w:right w:val="nil"/>
            </w:tcBorders>
            <w:shd w:val="clear" w:color="auto" w:fill="auto"/>
            <w:noWrap/>
            <w:vAlign w:val="center"/>
            <w:hideMark/>
          </w:tcPr>
          <w:p w14:paraId="440E045F"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2.9</w:t>
            </w:r>
          </w:p>
        </w:tc>
        <w:tc>
          <w:tcPr>
            <w:tcW w:w="1094" w:type="dxa"/>
            <w:tcBorders>
              <w:top w:val="nil"/>
              <w:left w:val="nil"/>
              <w:bottom w:val="nil"/>
              <w:right w:val="nil"/>
            </w:tcBorders>
            <w:shd w:val="clear" w:color="auto" w:fill="auto"/>
            <w:noWrap/>
            <w:vAlign w:val="center"/>
            <w:hideMark/>
          </w:tcPr>
          <w:p w14:paraId="68CA8867"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3.3</w:t>
            </w:r>
          </w:p>
        </w:tc>
      </w:tr>
      <w:tr w:rsidR="00156651" w:rsidRPr="00156651" w14:paraId="71405D31" w14:textId="77777777" w:rsidTr="00654363">
        <w:trPr>
          <w:gridAfter w:val="1"/>
          <w:wAfter w:w="8" w:type="dxa"/>
          <w:trHeight w:val="228"/>
          <w:jc w:val="center"/>
        </w:trPr>
        <w:tc>
          <w:tcPr>
            <w:tcW w:w="3905" w:type="dxa"/>
            <w:tcBorders>
              <w:top w:val="nil"/>
              <w:left w:val="nil"/>
              <w:bottom w:val="nil"/>
              <w:right w:val="nil"/>
            </w:tcBorders>
            <w:shd w:val="clear" w:color="auto" w:fill="auto"/>
            <w:noWrap/>
            <w:vAlign w:val="center"/>
            <w:hideMark/>
          </w:tcPr>
          <w:p w14:paraId="6CFEDE61" w14:textId="77777777" w:rsidR="00156651" w:rsidRPr="00156651" w:rsidRDefault="00156651" w:rsidP="008D7BB4">
            <w:pPr>
              <w:spacing w:line="276" w:lineRule="auto"/>
              <w:ind w:firstLineChars="100" w:firstLine="220"/>
              <w:contextualSpacing/>
              <w:rPr>
                <w:rFonts w:ascii="Times New Roman" w:eastAsia="Times New Roman" w:hAnsi="Times New Roman" w:cs="Times New Roman"/>
                <w:color w:val="000000"/>
                <w:sz w:val="22"/>
                <w:szCs w:val="22"/>
                <w:lang w:eastAsia="es-GT"/>
              </w:rPr>
            </w:pPr>
            <w:r w:rsidRPr="00156651">
              <w:rPr>
                <w:rFonts w:ascii="Times New Roman" w:eastAsia="Times New Roman" w:hAnsi="Times New Roman" w:cs="Times New Roman"/>
                <w:color w:val="000000"/>
                <w:sz w:val="22"/>
                <w:szCs w:val="22"/>
                <w:lang w:eastAsia="es-GT"/>
              </w:rPr>
              <w:t xml:space="preserve">Intereses </w:t>
            </w:r>
          </w:p>
        </w:tc>
        <w:tc>
          <w:tcPr>
            <w:tcW w:w="1212" w:type="dxa"/>
            <w:tcBorders>
              <w:top w:val="nil"/>
              <w:left w:val="nil"/>
              <w:bottom w:val="nil"/>
              <w:right w:val="nil"/>
            </w:tcBorders>
            <w:shd w:val="clear" w:color="auto" w:fill="auto"/>
            <w:noWrap/>
            <w:vAlign w:val="center"/>
            <w:hideMark/>
          </w:tcPr>
          <w:p w14:paraId="08A61A17"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10,302.9</w:t>
            </w:r>
          </w:p>
        </w:tc>
        <w:tc>
          <w:tcPr>
            <w:tcW w:w="1212" w:type="dxa"/>
            <w:tcBorders>
              <w:top w:val="nil"/>
              <w:left w:val="nil"/>
              <w:bottom w:val="nil"/>
              <w:right w:val="nil"/>
            </w:tcBorders>
            <w:shd w:val="clear" w:color="auto" w:fill="auto"/>
            <w:noWrap/>
            <w:vAlign w:val="center"/>
            <w:hideMark/>
          </w:tcPr>
          <w:p w14:paraId="674398BA"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11,006.1</w:t>
            </w:r>
          </w:p>
        </w:tc>
        <w:tc>
          <w:tcPr>
            <w:tcW w:w="1093" w:type="dxa"/>
            <w:tcBorders>
              <w:top w:val="nil"/>
              <w:left w:val="dotDash" w:sz="4" w:space="0" w:color="auto"/>
              <w:bottom w:val="nil"/>
              <w:right w:val="nil"/>
            </w:tcBorders>
            <w:shd w:val="clear" w:color="auto" w:fill="auto"/>
            <w:noWrap/>
            <w:vAlign w:val="center"/>
            <w:hideMark/>
          </w:tcPr>
          <w:p w14:paraId="27471680"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1.5</w:t>
            </w:r>
          </w:p>
        </w:tc>
        <w:tc>
          <w:tcPr>
            <w:tcW w:w="1094" w:type="dxa"/>
            <w:tcBorders>
              <w:top w:val="nil"/>
              <w:left w:val="nil"/>
              <w:bottom w:val="nil"/>
              <w:right w:val="nil"/>
            </w:tcBorders>
            <w:shd w:val="clear" w:color="auto" w:fill="auto"/>
            <w:noWrap/>
            <w:vAlign w:val="center"/>
            <w:hideMark/>
          </w:tcPr>
          <w:p w14:paraId="6D36FACC"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1.5</w:t>
            </w:r>
          </w:p>
        </w:tc>
      </w:tr>
      <w:tr w:rsidR="00156651" w:rsidRPr="00156651" w14:paraId="441B5CC1" w14:textId="77777777" w:rsidTr="00654363">
        <w:trPr>
          <w:gridAfter w:val="1"/>
          <w:wAfter w:w="8" w:type="dxa"/>
          <w:trHeight w:val="228"/>
          <w:jc w:val="center"/>
        </w:trPr>
        <w:tc>
          <w:tcPr>
            <w:tcW w:w="3905" w:type="dxa"/>
            <w:tcBorders>
              <w:top w:val="nil"/>
              <w:left w:val="nil"/>
              <w:bottom w:val="nil"/>
              <w:right w:val="nil"/>
            </w:tcBorders>
            <w:shd w:val="clear" w:color="auto" w:fill="auto"/>
            <w:noWrap/>
            <w:vAlign w:val="center"/>
            <w:hideMark/>
          </w:tcPr>
          <w:p w14:paraId="4D440F05" w14:textId="77777777" w:rsidR="00156651" w:rsidRPr="00156651" w:rsidRDefault="00156651" w:rsidP="008D7BB4">
            <w:pPr>
              <w:spacing w:line="276" w:lineRule="auto"/>
              <w:ind w:firstLineChars="100" w:firstLine="220"/>
              <w:contextualSpacing/>
              <w:rPr>
                <w:rFonts w:ascii="Times New Roman" w:eastAsia="Times New Roman" w:hAnsi="Times New Roman" w:cs="Times New Roman"/>
                <w:color w:val="000000"/>
                <w:sz w:val="22"/>
                <w:szCs w:val="22"/>
                <w:lang w:eastAsia="es-GT"/>
              </w:rPr>
            </w:pPr>
            <w:r w:rsidRPr="00156651">
              <w:rPr>
                <w:rFonts w:ascii="Times New Roman" w:eastAsia="Times New Roman" w:hAnsi="Times New Roman" w:cs="Times New Roman"/>
                <w:color w:val="000000"/>
                <w:sz w:val="22"/>
                <w:szCs w:val="22"/>
                <w:lang w:eastAsia="es-GT"/>
              </w:rPr>
              <w:t xml:space="preserve">Subsidios </w:t>
            </w:r>
          </w:p>
        </w:tc>
        <w:tc>
          <w:tcPr>
            <w:tcW w:w="1212" w:type="dxa"/>
            <w:tcBorders>
              <w:top w:val="nil"/>
              <w:left w:val="nil"/>
              <w:bottom w:val="nil"/>
              <w:right w:val="nil"/>
            </w:tcBorders>
            <w:shd w:val="clear" w:color="auto" w:fill="auto"/>
            <w:noWrap/>
            <w:vAlign w:val="center"/>
            <w:hideMark/>
          </w:tcPr>
          <w:p w14:paraId="47011426"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433.4</w:t>
            </w:r>
          </w:p>
        </w:tc>
        <w:tc>
          <w:tcPr>
            <w:tcW w:w="1212" w:type="dxa"/>
            <w:tcBorders>
              <w:top w:val="nil"/>
              <w:left w:val="nil"/>
              <w:bottom w:val="nil"/>
              <w:right w:val="nil"/>
            </w:tcBorders>
            <w:shd w:val="clear" w:color="auto" w:fill="auto"/>
            <w:noWrap/>
            <w:vAlign w:val="center"/>
            <w:hideMark/>
          </w:tcPr>
          <w:p w14:paraId="0F6ECDC6"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3,425.5</w:t>
            </w:r>
          </w:p>
        </w:tc>
        <w:tc>
          <w:tcPr>
            <w:tcW w:w="1093" w:type="dxa"/>
            <w:tcBorders>
              <w:top w:val="nil"/>
              <w:left w:val="dotDash" w:sz="4" w:space="0" w:color="auto"/>
              <w:bottom w:val="nil"/>
              <w:right w:val="nil"/>
            </w:tcBorders>
            <w:shd w:val="clear" w:color="auto" w:fill="auto"/>
            <w:noWrap/>
            <w:vAlign w:val="center"/>
            <w:hideMark/>
          </w:tcPr>
          <w:p w14:paraId="28D8E1D9"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0.1</w:t>
            </w:r>
          </w:p>
        </w:tc>
        <w:tc>
          <w:tcPr>
            <w:tcW w:w="1094" w:type="dxa"/>
            <w:tcBorders>
              <w:top w:val="nil"/>
              <w:left w:val="nil"/>
              <w:bottom w:val="nil"/>
              <w:right w:val="nil"/>
            </w:tcBorders>
            <w:shd w:val="clear" w:color="auto" w:fill="auto"/>
            <w:noWrap/>
            <w:vAlign w:val="center"/>
            <w:hideMark/>
          </w:tcPr>
          <w:p w14:paraId="235D0F29"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0.5</w:t>
            </w:r>
          </w:p>
        </w:tc>
      </w:tr>
      <w:tr w:rsidR="00156651" w:rsidRPr="00156651" w14:paraId="66E3B85B" w14:textId="77777777" w:rsidTr="00654363">
        <w:trPr>
          <w:gridAfter w:val="1"/>
          <w:wAfter w:w="8" w:type="dxa"/>
          <w:trHeight w:val="228"/>
          <w:jc w:val="center"/>
        </w:trPr>
        <w:tc>
          <w:tcPr>
            <w:tcW w:w="3905" w:type="dxa"/>
            <w:tcBorders>
              <w:top w:val="nil"/>
              <w:left w:val="nil"/>
              <w:bottom w:val="nil"/>
              <w:right w:val="nil"/>
            </w:tcBorders>
            <w:shd w:val="clear" w:color="auto" w:fill="auto"/>
            <w:noWrap/>
            <w:vAlign w:val="center"/>
            <w:hideMark/>
          </w:tcPr>
          <w:p w14:paraId="68C22F2E" w14:textId="77777777" w:rsidR="00156651" w:rsidRPr="00156651" w:rsidRDefault="00156651" w:rsidP="008D7BB4">
            <w:pPr>
              <w:spacing w:line="276" w:lineRule="auto"/>
              <w:ind w:firstLineChars="100" w:firstLine="220"/>
              <w:contextualSpacing/>
              <w:rPr>
                <w:rFonts w:ascii="Times New Roman" w:eastAsia="Times New Roman" w:hAnsi="Times New Roman" w:cs="Times New Roman"/>
                <w:color w:val="000000"/>
                <w:sz w:val="22"/>
                <w:szCs w:val="22"/>
                <w:lang w:eastAsia="es-GT"/>
              </w:rPr>
            </w:pPr>
            <w:r w:rsidRPr="00156651">
              <w:rPr>
                <w:rFonts w:ascii="Times New Roman" w:eastAsia="Times New Roman" w:hAnsi="Times New Roman" w:cs="Times New Roman"/>
                <w:color w:val="000000"/>
                <w:sz w:val="22"/>
                <w:szCs w:val="22"/>
                <w:lang w:eastAsia="es-GT"/>
              </w:rPr>
              <w:t xml:space="preserve">Donaciones </w:t>
            </w:r>
          </w:p>
        </w:tc>
        <w:tc>
          <w:tcPr>
            <w:tcW w:w="1212" w:type="dxa"/>
            <w:tcBorders>
              <w:top w:val="nil"/>
              <w:left w:val="nil"/>
              <w:bottom w:val="nil"/>
              <w:right w:val="nil"/>
            </w:tcBorders>
            <w:shd w:val="clear" w:color="auto" w:fill="auto"/>
            <w:noWrap/>
            <w:vAlign w:val="center"/>
            <w:hideMark/>
          </w:tcPr>
          <w:p w14:paraId="7C98D418"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266.8</w:t>
            </w:r>
          </w:p>
        </w:tc>
        <w:tc>
          <w:tcPr>
            <w:tcW w:w="1212" w:type="dxa"/>
            <w:tcBorders>
              <w:top w:val="nil"/>
              <w:left w:val="nil"/>
              <w:bottom w:val="nil"/>
              <w:right w:val="nil"/>
            </w:tcBorders>
            <w:shd w:val="clear" w:color="auto" w:fill="auto"/>
            <w:noWrap/>
            <w:vAlign w:val="center"/>
            <w:hideMark/>
          </w:tcPr>
          <w:p w14:paraId="0E0D9B80"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587.8</w:t>
            </w:r>
          </w:p>
        </w:tc>
        <w:tc>
          <w:tcPr>
            <w:tcW w:w="1093" w:type="dxa"/>
            <w:tcBorders>
              <w:top w:val="nil"/>
              <w:left w:val="dotDash" w:sz="4" w:space="0" w:color="auto"/>
              <w:bottom w:val="nil"/>
              <w:right w:val="nil"/>
            </w:tcBorders>
            <w:shd w:val="clear" w:color="auto" w:fill="auto"/>
            <w:noWrap/>
            <w:vAlign w:val="center"/>
            <w:hideMark/>
          </w:tcPr>
          <w:p w14:paraId="3B133DDD"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0.0</w:t>
            </w:r>
          </w:p>
        </w:tc>
        <w:tc>
          <w:tcPr>
            <w:tcW w:w="1094" w:type="dxa"/>
            <w:tcBorders>
              <w:top w:val="nil"/>
              <w:left w:val="nil"/>
              <w:bottom w:val="nil"/>
              <w:right w:val="nil"/>
            </w:tcBorders>
            <w:shd w:val="clear" w:color="auto" w:fill="auto"/>
            <w:noWrap/>
            <w:vAlign w:val="center"/>
            <w:hideMark/>
          </w:tcPr>
          <w:p w14:paraId="6C39223F"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0.1</w:t>
            </w:r>
          </w:p>
        </w:tc>
      </w:tr>
      <w:tr w:rsidR="00156651" w:rsidRPr="00156651" w14:paraId="3A2FE987" w14:textId="77777777" w:rsidTr="00654363">
        <w:trPr>
          <w:gridAfter w:val="1"/>
          <w:wAfter w:w="8" w:type="dxa"/>
          <w:trHeight w:val="228"/>
          <w:jc w:val="center"/>
        </w:trPr>
        <w:tc>
          <w:tcPr>
            <w:tcW w:w="3905" w:type="dxa"/>
            <w:tcBorders>
              <w:top w:val="nil"/>
              <w:left w:val="nil"/>
              <w:bottom w:val="nil"/>
              <w:right w:val="nil"/>
            </w:tcBorders>
            <w:shd w:val="clear" w:color="auto" w:fill="auto"/>
            <w:noWrap/>
            <w:vAlign w:val="center"/>
            <w:hideMark/>
          </w:tcPr>
          <w:p w14:paraId="4924636F" w14:textId="77777777" w:rsidR="00156651" w:rsidRPr="00156651" w:rsidRDefault="00156651" w:rsidP="008D7BB4">
            <w:pPr>
              <w:spacing w:line="276" w:lineRule="auto"/>
              <w:ind w:firstLineChars="100" w:firstLine="220"/>
              <w:contextualSpacing/>
              <w:rPr>
                <w:rFonts w:ascii="Times New Roman" w:eastAsia="Times New Roman" w:hAnsi="Times New Roman" w:cs="Times New Roman"/>
                <w:color w:val="000000"/>
                <w:sz w:val="22"/>
                <w:szCs w:val="22"/>
                <w:lang w:eastAsia="es-GT"/>
              </w:rPr>
            </w:pPr>
            <w:r w:rsidRPr="00156651">
              <w:rPr>
                <w:rFonts w:ascii="Times New Roman" w:eastAsia="Times New Roman" w:hAnsi="Times New Roman" w:cs="Times New Roman"/>
                <w:color w:val="000000"/>
                <w:sz w:val="22"/>
                <w:szCs w:val="22"/>
                <w:lang w:eastAsia="es-GT"/>
              </w:rPr>
              <w:t xml:space="preserve">Prestaciones sociales </w:t>
            </w:r>
          </w:p>
        </w:tc>
        <w:tc>
          <w:tcPr>
            <w:tcW w:w="1212" w:type="dxa"/>
            <w:tcBorders>
              <w:top w:val="nil"/>
              <w:left w:val="nil"/>
              <w:bottom w:val="nil"/>
              <w:right w:val="nil"/>
            </w:tcBorders>
            <w:shd w:val="clear" w:color="auto" w:fill="auto"/>
            <w:noWrap/>
            <w:vAlign w:val="center"/>
            <w:hideMark/>
          </w:tcPr>
          <w:p w14:paraId="14077424"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11,812.0</w:t>
            </w:r>
          </w:p>
        </w:tc>
        <w:tc>
          <w:tcPr>
            <w:tcW w:w="1212" w:type="dxa"/>
            <w:tcBorders>
              <w:top w:val="nil"/>
              <w:left w:val="nil"/>
              <w:bottom w:val="nil"/>
              <w:right w:val="nil"/>
            </w:tcBorders>
            <w:shd w:val="clear" w:color="auto" w:fill="auto"/>
            <w:noWrap/>
            <w:vAlign w:val="center"/>
            <w:hideMark/>
          </w:tcPr>
          <w:p w14:paraId="7CFF423F"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12,921.6</w:t>
            </w:r>
          </w:p>
        </w:tc>
        <w:tc>
          <w:tcPr>
            <w:tcW w:w="1093" w:type="dxa"/>
            <w:tcBorders>
              <w:top w:val="nil"/>
              <w:left w:val="dotDash" w:sz="4" w:space="0" w:color="auto"/>
              <w:bottom w:val="nil"/>
              <w:right w:val="nil"/>
            </w:tcBorders>
            <w:shd w:val="clear" w:color="auto" w:fill="auto"/>
            <w:noWrap/>
            <w:vAlign w:val="center"/>
            <w:hideMark/>
          </w:tcPr>
          <w:p w14:paraId="679D5B6D"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1.8</w:t>
            </w:r>
          </w:p>
        </w:tc>
        <w:tc>
          <w:tcPr>
            <w:tcW w:w="1094" w:type="dxa"/>
            <w:tcBorders>
              <w:top w:val="nil"/>
              <w:left w:val="nil"/>
              <w:bottom w:val="nil"/>
              <w:right w:val="nil"/>
            </w:tcBorders>
            <w:shd w:val="clear" w:color="auto" w:fill="auto"/>
            <w:noWrap/>
            <w:vAlign w:val="center"/>
            <w:hideMark/>
          </w:tcPr>
          <w:p w14:paraId="1AC95E35"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1.8</w:t>
            </w:r>
          </w:p>
        </w:tc>
      </w:tr>
      <w:tr w:rsidR="00156651" w:rsidRPr="00156651" w14:paraId="20B303BC" w14:textId="77777777" w:rsidTr="00654363">
        <w:trPr>
          <w:gridAfter w:val="1"/>
          <w:wAfter w:w="8" w:type="dxa"/>
          <w:trHeight w:val="228"/>
          <w:jc w:val="center"/>
        </w:trPr>
        <w:tc>
          <w:tcPr>
            <w:tcW w:w="3905" w:type="dxa"/>
            <w:tcBorders>
              <w:top w:val="nil"/>
              <w:left w:val="nil"/>
              <w:bottom w:val="nil"/>
              <w:right w:val="nil"/>
            </w:tcBorders>
            <w:shd w:val="clear" w:color="auto" w:fill="auto"/>
            <w:noWrap/>
            <w:vAlign w:val="center"/>
            <w:hideMark/>
          </w:tcPr>
          <w:p w14:paraId="5B1EA474" w14:textId="77777777" w:rsidR="00156651" w:rsidRPr="00156651" w:rsidRDefault="00156651" w:rsidP="008D7BB4">
            <w:pPr>
              <w:spacing w:line="276" w:lineRule="auto"/>
              <w:ind w:firstLineChars="100" w:firstLine="220"/>
              <w:contextualSpacing/>
              <w:rPr>
                <w:rFonts w:ascii="Times New Roman" w:eastAsia="Times New Roman" w:hAnsi="Times New Roman" w:cs="Times New Roman"/>
                <w:color w:val="000000"/>
                <w:sz w:val="22"/>
                <w:szCs w:val="22"/>
                <w:lang w:eastAsia="es-GT"/>
              </w:rPr>
            </w:pPr>
            <w:r w:rsidRPr="00156651">
              <w:rPr>
                <w:rFonts w:ascii="Times New Roman" w:eastAsia="Times New Roman" w:hAnsi="Times New Roman" w:cs="Times New Roman"/>
                <w:color w:val="000000"/>
                <w:sz w:val="22"/>
                <w:szCs w:val="22"/>
                <w:lang w:eastAsia="es-GT"/>
              </w:rPr>
              <w:t xml:space="preserve">Otros gastos </w:t>
            </w:r>
          </w:p>
        </w:tc>
        <w:tc>
          <w:tcPr>
            <w:tcW w:w="1212" w:type="dxa"/>
            <w:tcBorders>
              <w:top w:val="nil"/>
              <w:left w:val="nil"/>
              <w:bottom w:val="nil"/>
              <w:right w:val="nil"/>
            </w:tcBorders>
            <w:shd w:val="clear" w:color="auto" w:fill="auto"/>
            <w:noWrap/>
            <w:vAlign w:val="center"/>
            <w:hideMark/>
          </w:tcPr>
          <w:p w14:paraId="4197C9C3"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5,832.6</w:t>
            </w:r>
          </w:p>
        </w:tc>
        <w:tc>
          <w:tcPr>
            <w:tcW w:w="1212" w:type="dxa"/>
            <w:tcBorders>
              <w:top w:val="nil"/>
              <w:left w:val="nil"/>
              <w:bottom w:val="nil"/>
              <w:right w:val="nil"/>
            </w:tcBorders>
            <w:shd w:val="clear" w:color="auto" w:fill="auto"/>
            <w:noWrap/>
            <w:vAlign w:val="center"/>
            <w:hideMark/>
          </w:tcPr>
          <w:p w14:paraId="77240C96"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8,064.8</w:t>
            </w:r>
          </w:p>
        </w:tc>
        <w:tc>
          <w:tcPr>
            <w:tcW w:w="1093" w:type="dxa"/>
            <w:tcBorders>
              <w:top w:val="nil"/>
              <w:left w:val="dotDash" w:sz="4" w:space="0" w:color="auto"/>
              <w:bottom w:val="nil"/>
              <w:right w:val="nil"/>
            </w:tcBorders>
            <w:shd w:val="clear" w:color="auto" w:fill="auto"/>
            <w:noWrap/>
            <w:vAlign w:val="center"/>
            <w:hideMark/>
          </w:tcPr>
          <w:p w14:paraId="3D03D306"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0.9</w:t>
            </w:r>
          </w:p>
        </w:tc>
        <w:tc>
          <w:tcPr>
            <w:tcW w:w="1094" w:type="dxa"/>
            <w:tcBorders>
              <w:top w:val="nil"/>
              <w:left w:val="nil"/>
              <w:bottom w:val="nil"/>
              <w:right w:val="nil"/>
            </w:tcBorders>
            <w:shd w:val="clear" w:color="auto" w:fill="auto"/>
            <w:noWrap/>
            <w:vAlign w:val="center"/>
            <w:hideMark/>
          </w:tcPr>
          <w:p w14:paraId="56C362D2"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1.1</w:t>
            </w:r>
          </w:p>
        </w:tc>
      </w:tr>
      <w:tr w:rsidR="00156651" w:rsidRPr="00156651" w14:paraId="28DA17DE" w14:textId="77777777" w:rsidTr="00654363">
        <w:trPr>
          <w:gridAfter w:val="1"/>
          <w:wAfter w:w="8" w:type="dxa"/>
          <w:trHeight w:val="228"/>
          <w:jc w:val="center"/>
        </w:trPr>
        <w:tc>
          <w:tcPr>
            <w:tcW w:w="3905" w:type="dxa"/>
            <w:tcBorders>
              <w:top w:val="nil"/>
              <w:left w:val="nil"/>
              <w:bottom w:val="nil"/>
              <w:right w:val="nil"/>
            </w:tcBorders>
            <w:shd w:val="clear" w:color="auto" w:fill="auto"/>
            <w:noWrap/>
            <w:vAlign w:val="center"/>
            <w:hideMark/>
          </w:tcPr>
          <w:p w14:paraId="0EA2F6ED" w14:textId="77777777" w:rsidR="00156651" w:rsidRPr="00156651" w:rsidRDefault="00156651" w:rsidP="008D7BB4">
            <w:pPr>
              <w:spacing w:line="276" w:lineRule="auto"/>
              <w:contextualSpacing/>
              <w:jc w:val="both"/>
              <w:rPr>
                <w:rFonts w:ascii="Times New Roman" w:eastAsia="Times New Roman" w:hAnsi="Times New Roman" w:cs="Times New Roman"/>
                <w:b/>
                <w:bCs/>
                <w:color w:val="000000"/>
                <w:sz w:val="22"/>
                <w:szCs w:val="22"/>
                <w:lang w:eastAsia="es-GT"/>
              </w:rPr>
            </w:pPr>
            <w:r w:rsidRPr="00156651">
              <w:rPr>
                <w:rFonts w:ascii="Times New Roman" w:eastAsia="Times New Roman" w:hAnsi="Times New Roman" w:cs="Times New Roman"/>
                <w:b/>
                <w:bCs/>
                <w:color w:val="000000"/>
                <w:sz w:val="22"/>
                <w:szCs w:val="22"/>
                <w:lang w:eastAsia="es-GT"/>
              </w:rPr>
              <w:t>Resultado Operativo Primario</w:t>
            </w:r>
          </w:p>
        </w:tc>
        <w:tc>
          <w:tcPr>
            <w:tcW w:w="1212" w:type="dxa"/>
            <w:tcBorders>
              <w:top w:val="nil"/>
              <w:left w:val="nil"/>
              <w:bottom w:val="nil"/>
              <w:right w:val="nil"/>
            </w:tcBorders>
            <w:shd w:val="clear" w:color="auto" w:fill="auto"/>
            <w:noWrap/>
            <w:vAlign w:val="center"/>
            <w:hideMark/>
          </w:tcPr>
          <w:p w14:paraId="1CE79B58"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156651">
              <w:rPr>
                <w:rFonts w:ascii="Times New Roman" w:hAnsi="Times New Roman" w:cs="Times New Roman"/>
                <w:b/>
                <w:bCs/>
                <w:color w:val="000000"/>
                <w:sz w:val="22"/>
                <w:szCs w:val="22"/>
              </w:rPr>
              <w:t>21,212.5</w:t>
            </w:r>
          </w:p>
        </w:tc>
        <w:tc>
          <w:tcPr>
            <w:tcW w:w="1212" w:type="dxa"/>
            <w:tcBorders>
              <w:top w:val="nil"/>
              <w:left w:val="nil"/>
              <w:bottom w:val="nil"/>
              <w:right w:val="nil"/>
            </w:tcBorders>
            <w:shd w:val="clear" w:color="auto" w:fill="auto"/>
            <w:noWrap/>
            <w:vAlign w:val="center"/>
            <w:hideMark/>
          </w:tcPr>
          <w:p w14:paraId="7C3F501D"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156651">
              <w:rPr>
                <w:rFonts w:ascii="Times New Roman" w:hAnsi="Times New Roman" w:cs="Times New Roman"/>
                <w:b/>
                <w:bCs/>
                <w:color w:val="000000"/>
                <w:sz w:val="22"/>
                <w:szCs w:val="22"/>
              </w:rPr>
              <w:t>20,113.8</w:t>
            </w:r>
          </w:p>
        </w:tc>
        <w:tc>
          <w:tcPr>
            <w:tcW w:w="1093" w:type="dxa"/>
            <w:tcBorders>
              <w:top w:val="nil"/>
              <w:left w:val="dotDash" w:sz="4" w:space="0" w:color="auto"/>
              <w:bottom w:val="nil"/>
              <w:right w:val="nil"/>
            </w:tcBorders>
            <w:shd w:val="clear" w:color="auto" w:fill="auto"/>
            <w:noWrap/>
            <w:vAlign w:val="center"/>
            <w:hideMark/>
          </w:tcPr>
          <w:p w14:paraId="23F15DE0"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156651">
              <w:rPr>
                <w:rFonts w:ascii="Times New Roman" w:hAnsi="Times New Roman" w:cs="Times New Roman"/>
                <w:b/>
                <w:bCs/>
                <w:color w:val="000000"/>
                <w:sz w:val="22"/>
                <w:szCs w:val="22"/>
              </w:rPr>
              <w:t>3.2</w:t>
            </w:r>
          </w:p>
        </w:tc>
        <w:tc>
          <w:tcPr>
            <w:tcW w:w="1094" w:type="dxa"/>
            <w:tcBorders>
              <w:top w:val="nil"/>
              <w:left w:val="nil"/>
              <w:bottom w:val="nil"/>
              <w:right w:val="nil"/>
            </w:tcBorders>
            <w:shd w:val="clear" w:color="auto" w:fill="auto"/>
            <w:noWrap/>
            <w:vAlign w:val="center"/>
            <w:hideMark/>
          </w:tcPr>
          <w:p w14:paraId="7DAB1F3B"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156651">
              <w:rPr>
                <w:rFonts w:ascii="Times New Roman" w:hAnsi="Times New Roman" w:cs="Times New Roman"/>
                <w:b/>
                <w:bCs/>
                <w:color w:val="000000"/>
                <w:sz w:val="22"/>
                <w:szCs w:val="22"/>
              </w:rPr>
              <w:t>2.7</w:t>
            </w:r>
          </w:p>
        </w:tc>
      </w:tr>
      <w:tr w:rsidR="00156651" w:rsidRPr="00156651" w14:paraId="603FE943" w14:textId="77777777" w:rsidTr="00654363">
        <w:trPr>
          <w:gridAfter w:val="1"/>
          <w:wAfter w:w="8" w:type="dxa"/>
          <w:trHeight w:val="228"/>
          <w:jc w:val="center"/>
        </w:trPr>
        <w:tc>
          <w:tcPr>
            <w:tcW w:w="3905" w:type="dxa"/>
            <w:tcBorders>
              <w:top w:val="nil"/>
              <w:left w:val="nil"/>
              <w:bottom w:val="nil"/>
              <w:right w:val="nil"/>
            </w:tcBorders>
            <w:shd w:val="clear" w:color="auto" w:fill="auto"/>
            <w:noWrap/>
            <w:vAlign w:val="center"/>
            <w:hideMark/>
          </w:tcPr>
          <w:p w14:paraId="51D255D2" w14:textId="77777777" w:rsidR="00156651" w:rsidRPr="00156651" w:rsidRDefault="00156651" w:rsidP="008D7BB4">
            <w:pPr>
              <w:spacing w:line="276" w:lineRule="auto"/>
              <w:contextualSpacing/>
              <w:jc w:val="both"/>
              <w:rPr>
                <w:rFonts w:ascii="Times New Roman" w:eastAsia="Times New Roman" w:hAnsi="Times New Roman" w:cs="Times New Roman"/>
                <w:b/>
                <w:bCs/>
                <w:color w:val="000000"/>
                <w:sz w:val="22"/>
                <w:szCs w:val="22"/>
                <w:lang w:eastAsia="es-GT"/>
              </w:rPr>
            </w:pPr>
            <w:r w:rsidRPr="00156651">
              <w:rPr>
                <w:rFonts w:ascii="Times New Roman" w:eastAsia="Times New Roman" w:hAnsi="Times New Roman" w:cs="Times New Roman"/>
                <w:b/>
                <w:bCs/>
                <w:color w:val="000000"/>
                <w:sz w:val="22"/>
                <w:szCs w:val="22"/>
                <w:lang w:eastAsia="es-GT"/>
              </w:rPr>
              <w:t>Resultado Operativo</w:t>
            </w:r>
          </w:p>
        </w:tc>
        <w:tc>
          <w:tcPr>
            <w:tcW w:w="1212" w:type="dxa"/>
            <w:tcBorders>
              <w:top w:val="nil"/>
              <w:left w:val="nil"/>
              <w:bottom w:val="nil"/>
              <w:right w:val="nil"/>
            </w:tcBorders>
            <w:shd w:val="clear" w:color="auto" w:fill="auto"/>
            <w:noWrap/>
            <w:vAlign w:val="center"/>
            <w:hideMark/>
          </w:tcPr>
          <w:p w14:paraId="0D333FA5"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156651">
              <w:rPr>
                <w:rFonts w:ascii="Times New Roman" w:hAnsi="Times New Roman" w:cs="Times New Roman"/>
                <w:b/>
                <w:bCs/>
                <w:color w:val="000000"/>
                <w:sz w:val="22"/>
                <w:szCs w:val="22"/>
              </w:rPr>
              <w:t>10,909.6</w:t>
            </w:r>
          </w:p>
        </w:tc>
        <w:tc>
          <w:tcPr>
            <w:tcW w:w="1212" w:type="dxa"/>
            <w:tcBorders>
              <w:top w:val="nil"/>
              <w:left w:val="nil"/>
              <w:bottom w:val="nil"/>
              <w:right w:val="nil"/>
            </w:tcBorders>
            <w:shd w:val="clear" w:color="auto" w:fill="auto"/>
            <w:noWrap/>
            <w:vAlign w:val="center"/>
            <w:hideMark/>
          </w:tcPr>
          <w:p w14:paraId="021D5511"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156651">
              <w:rPr>
                <w:rFonts w:ascii="Times New Roman" w:hAnsi="Times New Roman" w:cs="Times New Roman"/>
                <w:b/>
                <w:bCs/>
                <w:color w:val="000000"/>
                <w:sz w:val="22"/>
                <w:szCs w:val="22"/>
              </w:rPr>
              <w:t>9,107.8</w:t>
            </w:r>
          </w:p>
        </w:tc>
        <w:tc>
          <w:tcPr>
            <w:tcW w:w="1093" w:type="dxa"/>
            <w:tcBorders>
              <w:top w:val="nil"/>
              <w:left w:val="dotDash" w:sz="4" w:space="0" w:color="auto"/>
              <w:bottom w:val="nil"/>
              <w:right w:val="nil"/>
            </w:tcBorders>
            <w:shd w:val="clear" w:color="auto" w:fill="auto"/>
            <w:noWrap/>
            <w:vAlign w:val="center"/>
            <w:hideMark/>
          </w:tcPr>
          <w:p w14:paraId="3A552287"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156651">
              <w:rPr>
                <w:rFonts w:ascii="Times New Roman" w:hAnsi="Times New Roman" w:cs="Times New Roman"/>
                <w:b/>
                <w:bCs/>
                <w:color w:val="000000"/>
                <w:sz w:val="22"/>
                <w:szCs w:val="22"/>
              </w:rPr>
              <w:t>1.6</w:t>
            </w:r>
          </w:p>
        </w:tc>
        <w:tc>
          <w:tcPr>
            <w:tcW w:w="1094" w:type="dxa"/>
            <w:tcBorders>
              <w:top w:val="nil"/>
              <w:left w:val="nil"/>
              <w:bottom w:val="nil"/>
              <w:right w:val="nil"/>
            </w:tcBorders>
            <w:shd w:val="clear" w:color="auto" w:fill="auto"/>
            <w:noWrap/>
            <w:vAlign w:val="center"/>
            <w:hideMark/>
          </w:tcPr>
          <w:p w14:paraId="6F1A551B"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156651">
              <w:rPr>
                <w:rFonts w:ascii="Times New Roman" w:hAnsi="Times New Roman" w:cs="Times New Roman"/>
                <w:b/>
                <w:bCs/>
                <w:color w:val="000000"/>
                <w:sz w:val="22"/>
                <w:szCs w:val="22"/>
              </w:rPr>
              <w:t>1.2</w:t>
            </w:r>
          </w:p>
        </w:tc>
      </w:tr>
      <w:tr w:rsidR="00156651" w:rsidRPr="00156651" w14:paraId="35D4A27C" w14:textId="77777777" w:rsidTr="00654363">
        <w:trPr>
          <w:gridAfter w:val="1"/>
          <w:wAfter w:w="8" w:type="dxa"/>
          <w:trHeight w:val="228"/>
          <w:jc w:val="center"/>
        </w:trPr>
        <w:tc>
          <w:tcPr>
            <w:tcW w:w="3905" w:type="dxa"/>
            <w:tcBorders>
              <w:top w:val="nil"/>
              <w:left w:val="nil"/>
              <w:bottom w:val="nil"/>
              <w:right w:val="nil"/>
            </w:tcBorders>
            <w:shd w:val="clear" w:color="auto" w:fill="auto"/>
            <w:noWrap/>
            <w:hideMark/>
          </w:tcPr>
          <w:p w14:paraId="0EE4A44E"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p>
        </w:tc>
        <w:tc>
          <w:tcPr>
            <w:tcW w:w="1212" w:type="dxa"/>
            <w:tcBorders>
              <w:top w:val="nil"/>
              <w:left w:val="nil"/>
              <w:bottom w:val="nil"/>
              <w:right w:val="nil"/>
            </w:tcBorders>
            <w:shd w:val="clear" w:color="auto" w:fill="auto"/>
            <w:noWrap/>
            <w:hideMark/>
          </w:tcPr>
          <w:p w14:paraId="74800C90" w14:textId="77777777" w:rsidR="00156651" w:rsidRPr="00156651" w:rsidRDefault="00156651" w:rsidP="008D7BB4">
            <w:pPr>
              <w:spacing w:line="276" w:lineRule="auto"/>
              <w:contextualSpacing/>
              <w:rPr>
                <w:rFonts w:ascii="Times New Roman" w:eastAsia="Times New Roman" w:hAnsi="Times New Roman" w:cs="Times New Roman"/>
                <w:sz w:val="22"/>
                <w:szCs w:val="22"/>
                <w:lang w:eastAsia="es-GT"/>
              </w:rPr>
            </w:pPr>
          </w:p>
        </w:tc>
        <w:tc>
          <w:tcPr>
            <w:tcW w:w="1212" w:type="dxa"/>
            <w:tcBorders>
              <w:top w:val="nil"/>
              <w:left w:val="nil"/>
              <w:bottom w:val="nil"/>
              <w:right w:val="nil"/>
            </w:tcBorders>
            <w:shd w:val="clear" w:color="auto" w:fill="auto"/>
            <w:noWrap/>
            <w:hideMark/>
          </w:tcPr>
          <w:p w14:paraId="6F6EF469" w14:textId="77777777" w:rsidR="00156651" w:rsidRPr="00156651" w:rsidRDefault="00156651" w:rsidP="008D7BB4">
            <w:pPr>
              <w:spacing w:line="276" w:lineRule="auto"/>
              <w:contextualSpacing/>
              <w:rPr>
                <w:rFonts w:ascii="Times New Roman" w:eastAsia="Times New Roman" w:hAnsi="Times New Roman" w:cs="Times New Roman"/>
                <w:sz w:val="22"/>
                <w:szCs w:val="22"/>
                <w:lang w:eastAsia="es-GT"/>
              </w:rPr>
            </w:pPr>
          </w:p>
        </w:tc>
        <w:tc>
          <w:tcPr>
            <w:tcW w:w="1093" w:type="dxa"/>
            <w:tcBorders>
              <w:top w:val="nil"/>
              <w:left w:val="dotDash" w:sz="4" w:space="0" w:color="auto"/>
              <w:bottom w:val="single" w:sz="8" w:space="0" w:color="auto"/>
              <w:right w:val="nil"/>
            </w:tcBorders>
            <w:shd w:val="clear" w:color="auto" w:fill="auto"/>
            <w:noWrap/>
            <w:hideMark/>
          </w:tcPr>
          <w:p w14:paraId="0EA342FA" w14:textId="77777777" w:rsidR="00156651" w:rsidRPr="00156651" w:rsidRDefault="00156651" w:rsidP="008D7BB4">
            <w:pPr>
              <w:spacing w:line="276" w:lineRule="auto"/>
              <w:contextualSpacing/>
              <w:rPr>
                <w:rFonts w:ascii="Times New Roman" w:eastAsia="Times New Roman" w:hAnsi="Times New Roman" w:cs="Times New Roman"/>
                <w:color w:val="000000"/>
                <w:sz w:val="22"/>
                <w:szCs w:val="22"/>
                <w:lang w:eastAsia="es-GT"/>
              </w:rPr>
            </w:pPr>
            <w:r w:rsidRPr="00156651">
              <w:rPr>
                <w:rFonts w:ascii="Times New Roman" w:eastAsia="Times New Roman" w:hAnsi="Times New Roman" w:cs="Times New Roman"/>
                <w:color w:val="000000"/>
                <w:sz w:val="22"/>
                <w:szCs w:val="22"/>
                <w:lang w:eastAsia="es-GT"/>
              </w:rPr>
              <w:t> </w:t>
            </w:r>
          </w:p>
        </w:tc>
        <w:tc>
          <w:tcPr>
            <w:tcW w:w="1094" w:type="dxa"/>
            <w:tcBorders>
              <w:top w:val="nil"/>
              <w:left w:val="nil"/>
              <w:bottom w:val="single" w:sz="8" w:space="0" w:color="auto"/>
              <w:right w:val="nil"/>
            </w:tcBorders>
            <w:shd w:val="clear" w:color="auto" w:fill="auto"/>
            <w:noWrap/>
            <w:vAlign w:val="center"/>
            <w:hideMark/>
          </w:tcPr>
          <w:p w14:paraId="284D3AC7" w14:textId="77777777" w:rsidR="00156651" w:rsidRPr="00156651" w:rsidRDefault="00156651" w:rsidP="008D7BB4">
            <w:pPr>
              <w:spacing w:line="276" w:lineRule="auto"/>
              <w:contextualSpacing/>
              <w:rPr>
                <w:rFonts w:ascii="Times New Roman" w:eastAsia="Times New Roman" w:hAnsi="Times New Roman" w:cs="Times New Roman"/>
                <w:color w:val="000000"/>
                <w:sz w:val="22"/>
                <w:szCs w:val="22"/>
                <w:lang w:eastAsia="es-GT"/>
              </w:rPr>
            </w:pPr>
            <w:r w:rsidRPr="00156651">
              <w:rPr>
                <w:rFonts w:ascii="Times New Roman" w:eastAsia="Times New Roman" w:hAnsi="Times New Roman" w:cs="Times New Roman"/>
                <w:color w:val="000000"/>
                <w:sz w:val="22"/>
                <w:szCs w:val="22"/>
                <w:lang w:eastAsia="es-GT"/>
              </w:rPr>
              <w:t> </w:t>
            </w:r>
          </w:p>
        </w:tc>
      </w:tr>
      <w:tr w:rsidR="00156651" w:rsidRPr="00156651" w14:paraId="3C1C4DEA" w14:textId="77777777" w:rsidTr="00654363">
        <w:trPr>
          <w:trHeight w:val="228"/>
          <w:jc w:val="center"/>
        </w:trPr>
        <w:tc>
          <w:tcPr>
            <w:tcW w:w="8524" w:type="dxa"/>
            <w:gridSpan w:val="6"/>
            <w:tcBorders>
              <w:top w:val="single" w:sz="8" w:space="0" w:color="auto"/>
              <w:left w:val="nil"/>
              <w:bottom w:val="double" w:sz="6" w:space="0" w:color="auto"/>
              <w:right w:val="nil"/>
            </w:tcBorders>
            <w:shd w:val="clear" w:color="auto" w:fill="auto"/>
            <w:noWrap/>
            <w:vAlign w:val="center"/>
            <w:hideMark/>
          </w:tcPr>
          <w:p w14:paraId="396A3FBF" w14:textId="77777777" w:rsidR="00156651" w:rsidRPr="00156651" w:rsidRDefault="00156651" w:rsidP="008D7BB4">
            <w:pPr>
              <w:spacing w:line="276" w:lineRule="auto"/>
              <w:contextualSpacing/>
              <w:jc w:val="both"/>
              <w:rPr>
                <w:rFonts w:ascii="Times New Roman" w:eastAsia="Times New Roman" w:hAnsi="Times New Roman" w:cs="Times New Roman"/>
                <w:b/>
                <w:bCs/>
                <w:color w:val="4472C4"/>
                <w:sz w:val="22"/>
                <w:szCs w:val="22"/>
                <w:lang w:eastAsia="es-GT"/>
              </w:rPr>
            </w:pPr>
            <w:r w:rsidRPr="00156651">
              <w:rPr>
                <w:rFonts w:ascii="Times New Roman" w:eastAsia="Times New Roman" w:hAnsi="Times New Roman" w:cs="Times New Roman"/>
                <w:b/>
                <w:bCs/>
                <w:color w:val="4472C4"/>
                <w:sz w:val="22"/>
                <w:szCs w:val="22"/>
                <w:lang w:eastAsia="es-GT"/>
              </w:rPr>
              <w:t>TRANSACCIONES EN ACTIVOS NO FINANCIEROS</w:t>
            </w:r>
          </w:p>
        </w:tc>
      </w:tr>
      <w:tr w:rsidR="00156651" w:rsidRPr="00156651" w14:paraId="632DCC68" w14:textId="77777777" w:rsidTr="00654363">
        <w:trPr>
          <w:gridAfter w:val="1"/>
          <w:wAfter w:w="8" w:type="dxa"/>
          <w:trHeight w:val="228"/>
          <w:jc w:val="center"/>
        </w:trPr>
        <w:tc>
          <w:tcPr>
            <w:tcW w:w="3905" w:type="dxa"/>
            <w:tcBorders>
              <w:top w:val="nil"/>
              <w:left w:val="nil"/>
              <w:bottom w:val="nil"/>
              <w:right w:val="nil"/>
            </w:tcBorders>
            <w:shd w:val="clear" w:color="auto" w:fill="auto"/>
            <w:noWrap/>
            <w:vAlign w:val="center"/>
            <w:hideMark/>
          </w:tcPr>
          <w:p w14:paraId="24E5E772" w14:textId="77777777" w:rsidR="00156651" w:rsidRPr="00156651" w:rsidRDefault="00156651" w:rsidP="008D7BB4">
            <w:pPr>
              <w:spacing w:line="276" w:lineRule="auto"/>
              <w:contextualSpacing/>
              <w:jc w:val="both"/>
              <w:rPr>
                <w:rFonts w:ascii="Times New Roman" w:eastAsia="Times New Roman" w:hAnsi="Times New Roman" w:cs="Times New Roman"/>
                <w:color w:val="000000"/>
                <w:sz w:val="22"/>
                <w:szCs w:val="22"/>
                <w:lang w:eastAsia="es-GT"/>
              </w:rPr>
            </w:pPr>
            <w:r w:rsidRPr="00156651">
              <w:rPr>
                <w:rFonts w:ascii="Times New Roman" w:eastAsia="Times New Roman" w:hAnsi="Times New Roman" w:cs="Times New Roman"/>
                <w:color w:val="000000"/>
                <w:sz w:val="22"/>
                <w:szCs w:val="22"/>
                <w:lang w:eastAsia="es-GT"/>
              </w:rPr>
              <w:t>Inversión bruta en activos no financieros</w:t>
            </w:r>
          </w:p>
        </w:tc>
        <w:tc>
          <w:tcPr>
            <w:tcW w:w="1212" w:type="dxa"/>
            <w:tcBorders>
              <w:top w:val="nil"/>
              <w:left w:val="nil"/>
              <w:bottom w:val="nil"/>
              <w:right w:val="nil"/>
            </w:tcBorders>
            <w:shd w:val="clear" w:color="auto" w:fill="auto"/>
            <w:noWrap/>
            <w:vAlign w:val="center"/>
            <w:hideMark/>
          </w:tcPr>
          <w:p w14:paraId="22ECC74C"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15,067.2</w:t>
            </w:r>
          </w:p>
        </w:tc>
        <w:tc>
          <w:tcPr>
            <w:tcW w:w="1212" w:type="dxa"/>
            <w:tcBorders>
              <w:top w:val="nil"/>
              <w:left w:val="nil"/>
              <w:bottom w:val="nil"/>
              <w:right w:val="nil"/>
            </w:tcBorders>
            <w:shd w:val="clear" w:color="auto" w:fill="auto"/>
            <w:noWrap/>
            <w:vAlign w:val="center"/>
            <w:hideMark/>
          </w:tcPr>
          <w:p w14:paraId="70A68200"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16,539.6</w:t>
            </w:r>
          </w:p>
        </w:tc>
        <w:tc>
          <w:tcPr>
            <w:tcW w:w="1093" w:type="dxa"/>
            <w:tcBorders>
              <w:top w:val="double" w:sz="6" w:space="0" w:color="auto"/>
              <w:left w:val="dotDash" w:sz="4" w:space="0" w:color="auto"/>
              <w:bottom w:val="nil"/>
              <w:right w:val="nil"/>
            </w:tcBorders>
            <w:shd w:val="clear" w:color="auto" w:fill="auto"/>
            <w:noWrap/>
            <w:vAlign w:val="center"/>
            <w:hideMark/>
          </w:tcPr>
          <w:p w14:paraId="3ED64092"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2.3</w:t>
            </w:r>
          </w:p>
        </w:tc>
        <w:tc>
          <w:tcPr>
            <w:tcW w:w="1094" w:type="dxa"/>
            <w:tcBorders>
              <w:top w:val="nil"/>
              <w:left w:val="nil"/>
              <w:bottom w:val="nil"/>
              <w:right w:val="nil"/>
            </w:tcBorders>
            <w:shd w:val="clear" w:color="auto" w:fill="auto"/>
            <w:noWrap/>
            <w:vAlign w:val="center"/>
            <w:hideMark/>
          </w:tcPr>
          <w:p w14:paraId="3C780392"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2.3</w:t>
            </w:r>
          </w:p>
        </w:tc>
      </w:tr>
      <w:tr w:rsidR="00156651" w:rsidRPr="00156651" w14:paraId="52CD8BF1" w14:textId="77777777" w:rsidTr="00654363">
        <w:trPr>
          <w:gridAfter w:val="1"/>
          <w:wAfter w:w="8" w:type="dxa"/>
          <w:trHeight w:val="228"/>
          <w:jc w:val="center"/>
        </w:trPr>
        <w:tc>
          <w:tcPr>
            <w:tcW w:w="3905" w:type="dxa"/>
            <w:tcBorders>
              <w:top w:val="nil"/>
              <w:left w:val="nil"/>
              <w:bottom w:val="nil"/>
              <w:right w:val="nil"/>
            </w:tcBorders>
            <w:shd w:val="clear" w:color="auto" w:fill="auto"/>
            <w:noWrap/>
            <w:vAlign w:val="center"/>
            <w:hideMark/>
          </w:tcPr>
          <w:p w14:paraId="6F079FD9" w14:textId="77777777" w:rsidR="00156651" w:rsidRPr="00156651" w:rsidRDefault="00156651" w:rsidP="008D7BB4">
            <w:pPr>
              <w:spacing w:line="276" w:lineRule="auto"/>
              <w:contextualSpacing/>
              <w:jc w:val="both"/>
              <w:rPr>
                <w:rFonts w:ascii="Times New Roman" w:eastAsia="Times New Roman" w:hAnsi="Times New Roman" w:cs="Times New Roman"/>
                <w:color w:val="000000"/>
                <w:sz w:val="22"/>
                <w:szCs w:val="22"/>
                <w:lang w:eastAsia="es-GT"/>
              </w:rPr>
            </w:pPr>
            <w:r w:rsidRPr="00156651">
              <w:rPr>
                <w:rFonts w:ascii="Times New Roman" w:eastAsia="Times New Roman" w:hAnsi="Times New Roman" w:cs="Times New Roman"/>
                <w:color w:val="000000"/>
                <w:sz w:val="22"/>
                <w:szCs w:val="22"/>
                <w:lang w:eastAsia="es-GT"/>
              </w:rPr>
              <w:t>Erogación</w:t>
            </w:r>
          </w:p>
        </w:tc>
        <w:tc>
          <w:tcPr>
            <w:tcW w:w="1212" w:type="dxa"/>
            <w:tcBorders>
              <w:top w:val="nil"/>
              <w:left w:val="nil"/>
              <w:bottom w:val="nil"/>
              <w:right w:val="nil"/>
            </w:tcBorders>
            <w:shd w:val="clear" w:color="auto" w:fill="auto"/>
            <w:noWrap/>
            <w:vAlign w:val="center"/>
            <w:hideMark/>
          </w:tcPr>
          <w:p w14:paraId="128C4185"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111,871.6</w:t>
            </w:r>
          </w:p>
        </w:tc>
        <w:tc>
          <w:tcPr>
            <w:tcW w:w="1212" w:type="dxa"/>
            <w:tcBorders>
              <w:top w:val="nil"/>
              <w:left w:val="nil"/>
              <w:bottom w:val="nil"/>
              <w:right w:val="nil"/>
            </w:tcBorders>
            <w:shd w:val="clear" w:color="auto" w:fill="auto"/>
            <w:noWrap/>
            <w:vAlign w:val="center"/>
            <w:hideMark/>
          </w:tcPr>
          <w:p w14:paraId="29BA3E32"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127,728.5</w:t>
            </w:r>
          </w:p>
        </w:tc>
        <w:tc>
          <w:tcPr>
            <w:tcW w:w="1093" w:type="dxa"/>
            <w:tcBorders>
              <w:top w:val="nil"/>
              <w:left w:val="dotDash" w:sz="4" w:space="0" w:color="auto"/>
              <w:bottom w:val="nil"/>
              <w:right w:val="nil"/>
            </w:tcBorders>
            <w:shd w:val="clear" w:color="auto" w:fill="auto"/>
            <w:noWrap/>
            <w:vAlign w:val="center"/>
            <w:hideMark/>
          </w:tcPr>
          <w:p w14:paraId="68F0C473"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16.8</w:t>
            </w:r>
          </w:p>
        </w:tc>
        <w:tc>
          <w:tcPr>
            <w:tcW w:w="1094" w:type="dxa"/>
            <w:tcBorders>
              <w:top w:val="nil"/>
              <w:left w:val="nil"/>
              <w:bottom w:val="nil"/>
              <w:right w:val="nil"/>
            </w:tcBorders>
            <w:shd w:val="clear" w:color="auto" w:fill="auto"/>
            <w:noWrap/>
            <w:vAlign w:val="center"/>
            <w:hideMark/>
          </w:tcPr>
          <w:p w14:paraId="77AD6A22"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17.4</w:t>
            </w:r>
          </w:p>
        </w:tc>
      </w:tr>
      <w:tr w:rsidR="00156651" w:rsidRPr="00156651" w14:paraId="027221FF" w14:textId="77777777" w:rsidTr="00654363">
        <w:trPr>
          <w:gridAfter w:val="1"/>
          <w:wAfter w:w="8" w:type="dxa"/>
          <w:trHeight w:val="228"/>
          <w:jc w:val="center"/>
        </w:trPr>
        <w:tc>
          <w:tcPr>
            <w:tcW w:w="3905" w:type="dxa"/>
            <w:tcBorders>
              <w:top w:val="nil"/>
              <w:left w:val="nil"/>
              <w:bottom w:val="nil"/>
              <w:right w:val="nil"/>
            </w:tcBorders>
            <w:shd w:val="clear" w:color="auto" w:fill="auto"/>
            <w:noWrap/>
            <w:vAlign w:val="center"/>
            <w:hideMark/>
          </w:tcPr>
          <w:p w14:paraId="327E847A" w14:textId="77777777" w:rsidR="00156651" w:rsidRPr="00156651" w:rsidRDefault="00156651" w:rsidP="008D7BB4">
            <w:pPr>
              <w:spacing w:line="276" w:lineRule="auto"/>
              <w:contextualSpacing/>
              <w:jc w:val="both"/>
              <w:rPr>
                <w:rFonts w:ascii="Times New Roman" w:eastAsia="Times New Roman" w:hAnsi="Times New Roman" w:cs="Times New Roman"/>
                <w:b/>
                <w:bCs/>
                <w:color w:val="000000"/>
                <w:sz w:val="22"/>
                <w:szCs w:val="22"/>
                <w:lang w:eastAsia="es-GT"/>
              </w:rPr>
            </w:pPr>
            <w:r w:rsidRPr="00156651">
              <w:rPr>
                <w:rFonts w:ascii="Times New Roman" w:eastAsia="Times New Roman" w:hAnsi="Times New Roman" w:cs="Times New Roman"/>
                <w:b/>
                <w:bCs/>
                <w:color w:val="000000"/>
                <w:sz w:val="22"/>
                <w:szCs w:val="22"/>
                <w:lang w:eastAsia="es-GT"/>
              </w:rPr>
              <w:t>Resultado Primario</w:t>
            </w:r>
          </w:p>
        </w:tc>
        <w:tc>
          <w:tcPr>
            <w:tcW w:w="1212" w:type="dxa"/>
            <w:tcBorders>
              <w:top w:val="nil"/>
              <w:left w:val="nil"/>
              <w:bottom w:val="nil"/>
              <w:right w:val="nil"/>
            </w:tcBorders>
            <w:shd w:val="clear" w:color="auto" w:fill="auto"/>
            <w:noWrap/>
            <w:vAlign w:val="center"/>
            <w:hideMark/>
          </w:tcPr>
          <w:p w14:paraId="3AAD13B0"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156651">
              <w:rPr>
                <w:rFonts w:ascii="Times New Roman" w:hAnsi="Times New Roman" w:cs="Times New Roman"/>
                <w:b/>
                <w:bCs/>
                <w:color w:val="000000"/>
                <w:sz w:val="22"/>
                <w:szCs w:val="22"/>
              </w:rPr>
              <w:t>6,145.3</w:t>
            </w:r>
          </w:p>
        </w:tc>
        <w:tc>
          <w:tcPr>
            <w:tcW w:w="1212" w:type="dxa"/>
            <w:tcBorders>
              <w:top w:val="nil"/>
              <w:left w:val="nil"/>
              <w:bottom w:val="nil"/>
              <w:right w:val="nil"/>
            </w:tcBorders>
            <w:shd w:val="clear" w:color="auto" w:fill="auto"/>
            <w:noWrap/>
            <w:vAlign w:val="center"/>
            <w:hideMark/>
          </w:tcPr>
          <w:p w14:paraId="1CD918D6"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156651">
              <w:rPr>
                <w:rFonts w:ascii="Times New Roman" w:hAnsi="Times New Roman" w:cs="Times New Roman"/>
                <w:b/>
                <w:bCs/>
                <w:color w:val="000000"/>
                <w:sz w:val="22"/>
                <w:szCs w:val="22"/>
              </w:rPr>
              <w:t>3,574.2</w:t>
            </w:r>
          </w:p>
        </w:tc>
        <w:tc>
          <w:tcPr>
            <w:tcW w:w="1093" w:type="dxa"/>
            <w:tcBorders>
              <w:top w:val="nil"/>
              <w:left w:val="dotDash" w:sz="4" w:space="0" w:color="auto"/>
              <w:bottom w:val="nil"/>
              <w:right w:val="nil"/>
            </w:tcBorders>
            <w:shd w:val="clear" w:color="auto" w:fill="auto"/>
            <w:noWrap/>
            <w:vAlign w:val="center"/>
            <w:hideMark/>
          </w:tcPr>
          <w:p w14:paraId="4F9A91AC"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156651">
              <w:rPr>
                <w:rFonts w:ascii="Times New Roman" w:hAnsi="Times New Roman" w:cs="Times New Roman"/>
                <w:b/>
                <w:bCs/>
                <w:color w:val="000000"/>
                <w:sz w:val="22"/>
                <w:szCs w:val="22"/>
              </w:rPr>
              <w:t>0.9</w:t>
            </w:r>
          </w:p>
        </w:tc>
        <w:tc>
          <w:tcPr>
            <w:tcW w:w="1094" w:type="dxa"/>
            <w:tcBorders>
              <w:top w:val="nil"/>
              <w:left w:val="nil"/>
              <w:bottom w:val="nil"/>
              <w:right w:val="nil"/>
            </w:tcBorders>
            <w:shd w:val="clear" w:color="auto" w:fill="auto"/>
            <w:noWrap/>
            <w:vAlign w:val="center"/>
            <w:hideMark/>
          </w:tcPr>
          <w:p w14:paraId="77D35BB5"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156651">
              <w:rPr>
                <w:rFonts w:ascii="Times New Roman" w:hAnsi="Times New Roman" w:cs="Times New Roman"/>
                <w:b/>
                <w:bCs/>
                <w:color w:val="000000"/>
                <w:sz w:val="22"/>
                <w:szCs w:val="22"/>
              </w:rPr>
              <w:t>0.5</w:t>
            </w:r>
          </w:p>
        </w:tc>
      </w:tr>
      <w:tr w:rsidR="00156651" w:rsidRPr="00156651" w14:paraId="2C00D7CB" w14:textId="77777777" w:rsidTr="00654363">
        <w:trPr>
          <w:gridAfter w:val="1"/>
          <w:wAfter w:w="8" w:type="dxa"/>
          <w:trHeight w:val="228"/>
          <w:jc w:val="center"/>
        </w:trPr>
        <w:tc>
          <w:tcPr>
            <w:tcW w:w="3905" w:type="dxa"/>
            <w:tcBorders>
              <w:top w:val="nil"/>
              <w:left w:val="nil"/>
              <w:bottom w:val="nil"/>
              <w:right w:val="nil"/>
            </w:tcBorders>
            <w:shd w:val="clear" w:color="auto" w:fill="auto"/>
            <w:noWrap/>
            <w:vAlign w:val="center"/>
            <w:hideMark/>
          </w:tcPr>
          <w:p w14:paraId="6F8EF532" w14:textId="77777777" w:rsidR="00156651" w:rsidRPr="00156651" w:rsidRDefault="00156651" w:rsidP="008D7BB4">
            <w:pPr>
              <w:spacing w:line="276" w:lineRule="auto"/>
              <w:contextualSpacing/>
              <w:jc w:val="both"/>
              <w:rPr>
                <w:rFonts w:ascii="Times New Roman" w:eastAsia="Times New Roman" w:hAnsi="Times New Roman" w:cs="Times New Roman"/>
                <w:b/>
                <w:bCs/>
                <w:color w:val="000000"/>
                <w:sz w:val="22"/>
                <w:szCs w:val="22"/>
                <w:lang w:eastAsia="es-GT"/>
              </w:rPr>
            </w:pPr>
            <w:r w:rsidRPr="00156651">
              <w:rPr>
                <w:rFonts w:ascii="Times New Roman" w:eastAsia="Times New Roman" w:hAnsi="Times New Roman" w:cs="Times New Roman"/>
                <w:b/>
                <w:bCs/>
                <w:color w:val="000000"/>
                <w:sz w:val="22"/>
                <w:szCs w:val="22"/>
                <w:lang w:eastAsia="es-GT"/>
              </w:rPr>
              <w:t>Préstamo (+) / endeudamiento (-)</w:t>
            </w:r>
          </w:p>
        </w:tc>
        <w:tc>
          <w:tcPr>
            <w:tcW w:w="1212" w:type="dxa"/>
            <w:tcBorders>
              <w:top w:val="nil"/>
              <w:left w:val="nil"/>
              <w:bottom w:val="nil"/>
              <w:right w:val="nil"/>
            </w:tcBorders>
            <w:shd w:val="clear" w:color="auto" w:fill="auto"/>
            <w:noWrap/>
            <w:vAlign w:val="center"/>
            <w:hideMark/>
          </w:tcPr>
          <w:p w14:paraId="5A617CE5"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156651">
              <w:rPr>
                <w:rFonts w:ascii="Times New Roman" w:hAnsi="Times New Roman" w:cs="Times New Roman"/>
                <w:b/>
                <w:bCs/>
                <w:color w:val="000000"/>
                <w:sz w:val="22"/>
                <w:szCs w:val="22"/>
              </w:rPr>
              <w:t>-4,157.6</w:t>
            </w:r>
          </w:p>
        </w:tc>
        <w:tc>
          <w:tcPr>
            <w:tcW w:w="1212" w:type="dxa"/>
            <w:tcBorders>
              <w:top w:val="nil"/>
              <w:left w:val="nil"/>
              <w:bottom w:val="nil"/>
              <w:right w:val="nil"/>
            </w:tcBorders>
            <w:shd w:val="clear" w:color="auto" w:fill="auto"/>
            <w:noWrap/>
            <w:vAlign w:val="center"/>
            <w:hideMark/>
          </w:tcPr>
          <w:p w14:paraId="6901462A"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156651">
              <w:rPr>
                <w:rFonts w:ascii="Times New Roman" w:hAnsi="Times New Roman" w:cs="Times New Roman"/>
                <w:b/>
                <w:bCs/>
                <w:color w:val="000000"/>
                <w:sz w:val="22"/>
                <w:szCs w:val="22"/>
              </w:rPr>
              <w:t>-7,431.8</w:t>
            </w:r>
          </w:p>
        </w:tc>
        <w:tc>
          <w:tcPr>
            <w:tcW w:w="1093" w:type="dxa"/>
            <w:tcBorders>
              <w:top w:val="nil"/>
              <w:left w:val="dotDash" w:sz="4" w:space="0" w:color="auto"/>
              <w:bottom w:val="nil"/>
              <w:right w:val="nil"/>
            </w:tcBorders>
            <w:shd w:val="clear" w:color="auto" w:fill="auto"/>
            <w:noWrap/>
            <w:vAlign w:val="center"/>
            <w:hideMark/>
          </w:tcPr>
          <w:p w14:paraId="70EDA574"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156651">
              <w:rPr>
                <w:rFonts w:ascii="Times New Roman" w:hAnsi="Times New Roman" w:cs="Times New Roman"/>
                <w:b/>
                <w:bCs/>
                <w:color w:val="000000"/>
                <w:sz w:val="22"/>
                <w:szCs w:val="22"/>
              </w:rPr>
              <w:t>-0.6</w:t>
            </w:r>
          </w:p>
        </w:tc>
        <w:tc>
          <w:tcPr>
            <w:tcW w:w="1094" w:type="dxa"/>
            <w:tcBorders>
              <w:top w:val="nil"/>
              <w:left w:val="nil"/>
              <w:bottom w:val="nil"/>
              <w:right w:val="nil"/>
            </w:tcBorders>
            <w:shd w:val="clear" w:color="auto" w:fill="auto"/>
            <w:noWrap/>
            <w:vAlign w:val="center"/>
            <w:hideMark/>
          </w:tcPr>
          <w:p w14:paraId="67F13811"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156651">
              <w:rPr>
                <w:rFonts w:ascii="Times New Roman" w:hAnsi="Times New Roman" w:cs="Times New Roman"/>
                <w:b/>
                <w:bCs/>
                <w:color w:val="000000"/>
                <w:sz w:val="22"/>
                <w:szCs w:val="22"/>
              </w:rPr>
              <w:t>-1.0</w:t>
            </w:r>
          </w:p>
        </w:tc>
      </w:tr>
      <w:tr w:rsidR="00156651" w:rsidRPr="00156651" w14:paraId="5E3F22C5" w14:textId="77777777" w:rsidTr="00654363">
        <w:trPr>
          <w:gridAfter w:val="1"/>
          <w:wAfter w:w="8" w:type="dxa"/>
          <w:trHeight w:val="228"/>
          <w:jc w:val="center"/>
        </w:trPr>
        <w:tc>
          <w:tcPr>
            <w:tcW w:w="3905" w:type="dxa"/>
            <w:tcBorders>
              <w:top w:val="nil"/>
              <w:left w:val="nil"/>
              <w:bottom w:val="nil"/>
              <w:right w:val="nil"/>
            </w:tcBorders>
            <w:shd w:val="clear" w:color="auto" w:fill="auto"/>
            <w:noWrap/>
            <w:hideMark/>
          </w:tcPr>
          <w:p w14:paraId="376344A3"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p>
        </w:tc>
        <w:tc>
          <w:tcPr>
            <w:tcW w:w="1212" w:type="dxa"/>
            <w:tcBorders>
              <w:top w:val="nil"/>
              <w:left w:val="nil"/>
              <w:bottom w:val="nil"/>
              <w:right w:val="nil"/>
            </w:tcBorders>
            <w:shd w:val="clear" w:color="auto" w:fill="auto"/>
            <w:noWrap/>
            <w:hideMark/>
          </w:tcPr>
          <w:p w14:paraId="764CFC66" w14:textId="77777777" w:rsidR="00156651" w:rsidRPr="00156651" w:rsidRDefault="00156651" w:rsidP="008D7BB4">
            <w:pPr>
              <w:spacing w:line="276" w:lineRule="auto"/>
              <w:contextualSpacing/>
              <w:rPr>
                <w:rFonts w:ascii="Times New Roman" w:eastAsia="Times New Roman" w:hAnsi="Times New Roman" w:cs="Times New Roman"/>
                <w:sz w:val="22"/>
                <w:szCs w:val="22"/>
                <w:lang w:eastAsia="es-GT"/>
              </w:rPr>
            </w:pPr>
          </w:p>
        </w:tc>
        <w:tc>
          <w:tcPr>
            <w:tcW w:w="1212" w:type="dxa"/>
            <w:tcBorders>
              <w:top w:val="nil"/>
              <w:left w:val="nil"/>
              <w:bottom w:val="nil"/>
              <w:right w:val="nil"/>
            </w:tcBorders>
            <w:shd w:val="clear" w:color="auto" w:fill="auto"/>
            <w:noWrap/>
            <w:hideMark/>
          </w:tcPr>
          <w:p w14:paraId="027BD76F" w14:textId="77777777" w:rsidR="00156651" w:rsidRPr="00156651" w:rsidRDefault="00156651" w:rsidP="008D7BB4">
            <w:pPr>
              <w:spacing w:line="276" w:lineRule="auto"/>
              <w:contextualSpacing/>
              <w:rPr>
                <w:rFonts w:ascii="Times New Roman" w:eastAsia="Times New Roman" w:hAnsi="Times New Roman" w:cs="Times New Roman"/>
                <w:sz w:val="22"/>
                <w:szCs w:val="22"/>
                <w:lang w:eastAsia="es-GT"/>
              </w:rPr>
            </w:pPr>
          </w:p>
        </w:tc>
        <w:tc>
          <w:tcPr>
            <w:tcW w:w="1093" w:type="dxa"/>
            <w:tcBorders>
              <w:top w:val="nil"/>
              <w:left w:val="dotDash" w:sz="4" w:space="0" w:color="auto"/>
              <w:bottom w:val="single" w:sz="8" w:space="0" w:color="auto"/>
              <w:right w:val="nil"/>
            </w:tcBorders>
            <w:shd w:val="clear" w:color="auto" w:fill="auto"/>
            <w:noWrap/>
            <w:hideMark/>
          </w:tcPr>
          <w:p w14:paraId="640472E5" w14:textId="77777777" w:rsidR="00156651" w:rsidRPr="00156651" w:rsidRDefault="00156651" w:rsidP="008D7BB4">
            <w:pPr>
              <w:spacing w:line="276" w:lineRule="auto"/>
              <w:contextualSpacing/>
              <w:rPr>
                <w:rFonts w:ascii="Times New Roman" w:eastAsia="Times New Roman" w:hAnsi="Times New Roman" w:cs="Times New Roman"/>
                <w:color w:val="000000"/>
                <w:sz w:val="22"/>
                <w:szCs w:val="22"/>
                <w:lang w:eastAsia="es-GT"/>
              </w:rPr>
            </w:pPr>
            <w:r w:rsidRPr="00156651">
              <w:rPr>
                <w:rFonts w:ascii="Times New Roman" w:eastAsia="Times New Roman" w:hAnsi="Times New Roman" w:cs="Times New Roman"/>
                <w:color w:val="000000"/>
                <w:sz w:val="22"/>
                <w:szCs w:val="22"/>
                <w:lang w:eastAsia="es-GT"/>
              </w:rPr>
              <w:t> </w:t>
            </w:r>
          </w:p>
        </w:tc>
        <w:tc>
          <w:tcPr>
            <w:tcW w:w="1094" w:type="dxa"/>
            <w:tcBorders>
              <w:top w:val="nil"/>
              <w:left w:val="nil"/>
              <w:bottom w:val="nil"/>
              <w:right w:val="nil"/>
            </w:tcBorders>
            <w:shd w:val="clear" w:color="auto" w:fill="auto"/>
            <w:noWrap/>
            <w:vAlign w:val="center"/>
            <w:hideMark/>
          </w:tcPr>
          <w:p w14:paraId="19B8B687" w14:textId="77777777" w:rsidR="00156651" w:rsidRPr="00156651" w:rsidRDefault="00156651" w:rsidP="008D7BB4">
            <w:pPr>
              <w:spacing w:line="276" w:lineRule="auto"/>
              <w:contextualSpacing/>
              <w:rPr>
                <w:rFonts w:ascii="Times New Roman" w:eastAsia="Times New Roman" w:hAnsi="Times New Roman" w:cs="Times New Roman"/>
                <w:color w:val="000000"/>
                <w:sz w:val="22"/>
                <w:szCs w:val="22"/>
                <w:lang w:eastAsia="es-GT"/>
              </w:rPr>
            </w:pPr>
          </w:p>
        </w:tc>
      </w:tr>
      <w:tr w:rsidR="00156651" w:rsidRPr="00156651" w14:paraId="417F6BD4" w14:textId="77777777" w:rsidTr="00654363">
        <w:trPr>
          <w:trHeight w:val="228"/>
          <w:jc w:val="center"/>
        </w:trPr>
        <w:tc>
          <w:tcPr>
            <w:tcW w:w="8524" w:type="dxa"/>
            <w:gridSpan w:val="6"/>
            <w:tcBorders>
              <w:top w:val="single" w:sz="8" w:space="0" w:color="auto"/>
              <w:left w:val="nil"/>
              <w:bottom w:val="double" w:sz="6" w:space="0" w:color="auto"/>
              <w:right w:val="nil"/>
            </w:tcBorders>
            <w:shd w:val="clear" w:color="auto" w:fill="auto"/>
            <w:noWrap/>
            <w:vAlign w:val="center"/>
            <w:hideMark/>
          </w:tcPr>
          <w:p w14:paraId="3725D594" w14:textId="77777777" w:rsidR="00156651" w:rsidRPr="00156651" w:rsidRDefault="00156651" w:rsidP="008D7BB4">
            <w:pPr>
              <w:spacing w:line="276" w:lineRule="auto"/>
              <w:contextualSpacing/>
              <w:jc w:val="both"/>
              <w:rPr>
                <w:rFonts w:ascii="Times New Roman" w:eastAsia="Times New Roman" w:hAnsi="Times New Roman" w:cs="Times New Roman"/>
                <w:b/>
                <w:bCs/>
                <w:color w:val="4472C4"/>
                <w:sz w:val="22"/>
                <w:szCs w:val="22"/>
                <w:lang w:eastAsia="es-GT"/>
              </w:rPr>
            </w:pPr>
            <w:r w:rsidRPr="00156651">
              <w:rPr>
                <w:rFonts w:ascii="Times New Roman" w:eastAsia="Times New Roman" w:hAnsi="Times New Roman" w:cs="Times New Roman"/>
                <w:b/>
                <w:bCs/>
                <w:color w:val="4472C4"/>
                <w:sz w:val="22"/>
                <w:szCs w:val="22"/>
                <w:lang w:eastAsia="es-GT"/>
              </w:rPr>
              <w:t>TRANSACCIONES EN ACTIVOS Y PASIVOS FINANCIEROS (FINANCIMIENTO)</w:t>
            </w:r>
          </w:p>
        </w:tc>
      </w:tr>
      <w:tr w:rsidR="00156651" w:rsidRPr="00156651" w14:paraId="0D8BDFEB" w14:textId="77777777" w:rsidTr="00654363">
        <w:trPr>
          <w:gridAfter w:val="1"/>
          <w:wAfter w:w="8" w:type="dxa"/>
          <w:trHeight w:val="228"/>
          <w:jc w:val="center"/>
        </w:trPr>
        <w:tc>
          <w:tcPr>
            <w:tcW w:w="3905" w:type="dxa"/>
            <w:tcBorders>
              <w:top w:val="nil"/>
              <w:left w:val="nil"/>
              <w:bottom w:val="nil"/>
              <w:right w:val="nil"/>
            </w:tcBorders>
            <w:shd w:val="clear" w:color="auto" w:fill="auto"/>
            <w:noWrap/>
            <w:vAlign w:val="center"/>
            <w:hideMark/>
          </w:tcPr>
          <w:p w14:paraId="50586E6B" w14:textId="77777777" w:rsidR="00156651" w:rsidRPr="00156651" w:rsidRDefault="00156651" w:rsidP="008D7BB4">
            <w:pPr>
              <w:spacing w:line="276" w:lineRule="auto"/>
              <w:contextualSpacing/>
              <w:jc w:val="both"/>
              <w:rPr>
                <w:rFonts w:ascii="Times New Roman" w:eastAsia="Times New Roman" w:hAnsi="Times New Roman" w:cs="Times New Roman"/>
                <w:b/>
                <w:bCs/>
                <w:color w:val="000000"/>
                <w:sz w:val="22"/>
                <w:szCs w:val="22"/>
                <w:lang w:eastAsia="es-GT"/>
              </w:rPr>
            </w:pPr>
            <w:r w:rsidRPr="00156651">
              <w:rPr>
                <w:rFonts w:ascii="Times New Roman" w:eastAsia="Times New Roman" w:hAnsi="Times New Roman" w:cs="Times New Roman"/>
                <w:b/>
                <w:bCs/>
                <w:color w:val="000000"/>
                <w:sz w:val="22"/>
                <w:szCs w:val="22"/>
                <w:lang w:eastAsia="es-GT"/>
              </w:rPr>
              <w:t>Adquisición neta de activos financieros</w:t>
            </w:r>
          </w:p>
        </w:tc>
        <w:tc>
          <w:tcPr>
            <w:tcW w:w="1212" w:type="dxa"/>
            <w:tcBorders>
              <w:top w:val="nil"/>
              <w:left w:val="nil"/>
              <w:bottom w:val="nil"/>
              <w:right w:val="nil"/>
            </w:tcBorders>
            <w:shd w:val="clear" w:color="auto" w:fill="auto"/>
            <w:noWrap/>
            <w:vAlign w:val="center"/>
            <w:hideMark/>
          </w:tcPr>
          <w:p w14:paraId="6B90E6DF"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156651">
              <w:rPr>
                <w:rFonts w:ascii="Times New Roman" w:hAnsi="Times New Roman" w:cs="Times New Roman"/>
                <w:b/>
                <w:bCs/>
                <w:color w:val="000000"/>
                <w:sz w:val="22"/>
                <w:szCs w:val="22"/>
              </w:rPr>
              <w:t>15,262.2</w:t>
            </w:r>
          </w:p>
        </w:tc>
        <w:tc>
          <w:tcPr>
            <w:tcW w:w="1212" w:type="dxa"/>
            <w:tcBorders>
              <w:top w:val="nil"/>
              <w:left w:val="nil"/>
              <w:bottom w:val="nil"/>
              <w:right w:val="nil"/>
            </w:tcBorders>
            <w:shd w:val="clear" w:color="auto" w:fill="auto"/>
            <w:noWrap/>
            <w:vAlign w:val="center"/>
            <w:hideMark/>
          </w:tcPr>
          <w:p w14:paraId="30F5D759"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156651">
              <w:rPr>
                <w:rFonts w:ascii="Times New Roman" w:hAnsi="Times New Roman" w:cs="Times New Roman"/>
                <w:b/>
                <w:bCs/>
                <w:color w:val="000000"/>
                <w:sz w:val="22"/>
                <w:szCs w:val="22"/>
              </w:rPr>
              <w:t>-1,273.0</w:t>
            </w:r>
          </w:p>
        </w:tc>
        <w:tc>
          <w:tcPr>
            <w:tcW w:w="1093" w:type="dxa"/>
            <w:tcBorders>
              <w:top w:val="double" w:sz="6" w:space="0" w:color="auto"/>
              <w:left w:val="dotDash" w:sz="4" w:space="0" w:color="auto"/>
              <w:bottom w:val="nil"/>
              <w:right w:val="nil"/>
            </w:tcBorders>
            <w:shd w:val="clear" w:color="auto" w:fill="auto"/>
            <w:noWrap/>
            <w:vAlign w:val="center"/>
            <w:hideMark/>
          </w:tcPr>
          <w:p w14:paraId="62533F2E"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156651">
              <w:rPr>
                <w:rFonts w:ascii="Times New Roman" w:hAnsi="Times New Roman" w:cs="Times New Roman"/>
                <w:b/>
                <w:bCs/>
                <w:color w:val="000000"/>
                <w:sz w:val="22"/>
                <w:szCs w:val="22"/>
              </w:rPr>
              <w:t>2.3</w:t>
            </w:r>
          </w:p>
        </w:tc>
        <w:tc>
          <w:tcPr>
            <w:tcW w:w="1094" w:type="dxa"/>
            <w:tcBorders>
              <w:top w:val="nil"/>
              <w:left w:val="nil"/>
              <w:bottom w:val="nil"/>
              <w:right w:val="nil"/>
            </w:tcBorders>
            <w:shd w:val="clear" w:color="auto" w:fill="auto"/>
            <w:noWrap/>
            <w:vAlign w:val="center"/>
            <w:hideMark/>
          </w:tcPr>
          <w:p w14:paraId="2EABBD5A"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156651">
              <w:rPr>
                <w:rFonts w:ascii="Times New Roman" w:hAnsi="Times New Roman" w:cs="Times New Roman"/>
                <w:b/>
                <w:bCs/>
                <w:color w:val="000000"/>
                <w:sz w:val="22"/>
                <w:szCs w:val="22"/>
              </w:rPr>
              <w:t>-0.2</w:t>
            </w:r>
          </w:p>
        </w:tc>
      </w:tr>
      <w:tr w:rsidR="00156651" w:rsidRPr="00156651" w14:paraId="48168B72" w14:textId="77777777" w:rsidTr="00654363">
        <w:trPr>
          <w:gridAfter w:val="1"/>
          <w:wAfter w:w="8" w:type="dxa"/>
          <w:trHeight w:val="228"/>
          <w:jc w:val="center"/>
        </w:trPr>
        <w:tc>
          <w:tcPr>
            <w:tcW w:w="3905" w:type="dxa"/>
            <w:tcBorders>
              <w:top w:val="nil"/>
              <w:left w:val="nil"/>
              <w:bottom w:val="nil"/>
              <w:right w:val="nil"/>
            </w:tcBorders>
            <w:shd w:val="clear" w:color="auto" w:fill="auto"/>
            <w:noWrap/>
            <w:vAlign w:val="center"/>
            <w:hideMark/>
          </w:tcPr>
          <w:p w14:paraId="4A19F304" w14:textId="77777777" w:rsidR="00156651" w:rsidRPr="00156651" w:rsidRDefault="00156651" w:rsidP="008D7BB4">
            <w:pPr>
              <w:spacing w:line="276" w:lineRule="auto"/>
              <w:ind w:firstLineChars="100" w:firstLine="220"/>
              <w:contextualSpacing/>
              <w:rPr>
                <w:rFonts w:ascii="Times New Roman" w:eastAsia="Times New Roman" w:hAnsi="Times New Roman" w:cs="Times New Roman"/>
                <w:color w:val="000000"/>
                <w:sz w:val="22"/>
                <w:szCs w:val="22"/>
                <w:lang w:eastAsia="es-GT"/>
              </w:rPr>
            </w:pPr>
            <w:r w:rsidRPr="00156651">
              <w:rPr>
                <w:rFonts w:ascii="Times New Roman" w:eastAsia="Times New Roman" w:hAnsi="Times New Roman" w:cs="Times New Roman"/>
                <w:color w:val="000000"/>
                <w:sz w:val="22"/>
                <w:szCs w:val="22"/>
                <w:lang w:eastAsia="es-GT"/>
              </w:rPr>
              <w:t>Billetes y monedas y depósitos</w:t>
            </w:r>
          </w:p>
        </w:tc>
        <w:tc>
          <w:tcPr>
            <w:tcW w:w="1212" w:type="dxa"/>
            <w:tcBorders>
              <w:top w:val="nil"/>
              <w:left w:val="nil"/>
              <w:bottom w:val="nil"/>
              <w:right w:val="nil"/>
            </w:tcBorders>
            <w:shd w:val="clear" w:color="auto" w:fill="auto"/>
            <w:noWrap/>
            <w:vAlign w:val="center"/>
            <w:hideMark/>
          </w:tcPr>
          <w:p w14:paraId="608CC694"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11,801.2</w:t>
            </w:r>
          </w:p>
        </w:tc>
        <w:tc>
          <w:tcPr>
            <w:tcW w:w="1212" w:type="dxa"/>
            <w:tcBorders>
              <w:top w:val="nil"/>
              <w:left w:val="nil"/>
              <w:bottom w:val="nil"/>
              <w:right w:val="nil"/>
            </w:tcBorders>
            <w:shd w:val="clear" w:color="auto" w:fill="auto"/>
            <w:noWrap/>
            <w:vAlign w:val="center"/>
            <w:hideMark/>
          </w:tcPr>
          <w:p w14:paraId="13AB0BB6"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-3,590.9</w:t>
            </w:r>
          </w:p>
        </w:tc>
        <w:tc>
          <w:tcPr>
            <w:tcW w:w="1093" w:type="dxa"/>
            <w:tcBorders>
              <w:top w:val="nil"/>
              <w:left w:val="dotDash" w:sz="4" w:space="0" w:color="auto"/>
              <w:bottom w:val="nil"/>
              <w:right w:val="nil"/>
            </w:tcBorders>
            <w:shd w:val="clear" w:color="auto" w:fill="auto"/>
            <w:noWrap/>
            <w:vAlign w:val="center"/>
            <w:hideMark/>
          </w:tcPr>
          <w:p w14:paraId="23ED06D5"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1.8</w:t>
            </w:r>
          </w:p>
        </w:tc>
        <w:tc>
          <w:tcPr>
            <w:tcW w:w="1094" w:type="dxa"/>
            <w:tcBorders>
              <w:top w:val="nil"/>
              <w:left w:val="nil"/>
              <w:bottom w:val="nil"/>
              <w:right w:val="nil"/>
            </w:tcBorders>
            <w:shd w:val="clear" w:color="auto" w:fill="auto"/>
            <w:noWrap/>
            <w:vAlign w:val="center"/>
            <w:hideMark/>
          </w:tcPr>
          <w:p w14:paraId="572BD851"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-0.5</w:t>
            </w:r>
          </w:p>
        </w:tc>
      </w:tr>
      <w:tr w:rsidR="00156651" w:rsidRPr="00156651" w14:paraId="61A0C979" w14:textId="77777777" w:rsidTr="00654363">
        <w:trPr>
          <w:gridAfter w:val="1"/>
          <w:wAfter w:w="8" w:type="dxa"/>
          <w:trHeight w:val="228"/>
          <w:jc w:val="center"/>
        </w:trPr>
        <w:tc>
          <w:tcPr>
            <w:tcW w:w="3905" w:type="dxa"/>
            <w:tcBorders>
              <w:top w:val="nil"/>
              <w:left w:val="nil"/>
              <w:bottom w:val="nil"/>
              <w:right w:val="nil"/>
            </w:tcBorders>
            <w:shd w:val="clear" w:color="auto" w:fill="auto"/>
            <w:noWrap/>
            <w:vAlign w:val="center"/>
            <w:hideMark/>
          </w:tcPr>
          <w:p w14:paraId="23F05D19" w14:textId="77777777" w:rsidR="00156651" w:rsidRPr="00156651" w:rsidRDefault="00156651" w:rsidP="008D7BB4">
            <w:pPr>
              <w:spacing w:line="276" w:lineRule="auto"/>
              <w:ind w:firstLineChars="100" w:firstLine="220"/>
              <w:contextualSpacing/>
              <w:rPr>
                <w:rFonts w:ascii="Times New Roman" w:eastAsia="Times New Roman" w:hAnsi="Times New Roman" w:cs="Times New Roman"/>
                <w:color w:val="000000"/>
                <w:sz w:val="22"/>
                <w:szCs w:val="22"/>
                <w:lang w:eastAsia="es-GT"/>
              </w:rPr>
            </w:pPr>
            <w:r w:rsidRPr="00156651">
              <w:rPr>
                <w:rFonts w:ascii="Times New Roman" w:eastAsia="Times New Roman" w:hAnsi="Times New Roman" w:cs="Times New Roman"/>
                <w:color w:val="000000"/>
                <w:sz w:val="22"/>
                <w:szCs w:val="22"/>
                <w:lang w:eastAsia="es-GT"/>
              </w:rPr>
              <w:t>Préstamos</w:t>
            </w:r>
          </w:p>
        </w:tc>
        <w:tc>
          <w:tcPr>
            <w:tcW w:w="1212" w:type="dxa"/>
            <w:tcBorders>
              <w:top w:val="nil"/>
              <w:left w:val="nil"/>
              <w:bottom w:val="nil"/>
              <w:right w:val="nil"/>
            </w:tcBorders>
            <w:shd w:val="clear" w:color="auto" w:fill="auto"/>
            <w:noWrap/>
            <w:vAlign w:val="center"/>
            <w:hideMark/>
          </w:tcPr>
          <w:p w14:paraId="573042E6"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4.3</w:t>
            </w:r>
          </w:p>
        </w:tc>
        <w:tc>
          <w:tcPr>
            <w:tcW w:w="1212" w:type="dxa"/>
            <w:tcBorders>
              <w:top w:val="nil"/>
              <w:left w:val="nil"/>
              <w:bottom w:val="nil"/>
              <w:right w:val="nil"/>
            </w:tcBorders>
            <w:shd w:val="clear" w:color="auto" w:fill="auto"/>
            <w:noWrap/>
            <w:vAlign w:val="center"/>
            <w:hideMark/>
          </w:tcPr>
          <w:p w14:paraId="718361F2"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-100.4</w:t>
            </w:r>
          </w:p>
        </w:tc>
        <w:tc>
          <w:tcPr>
            <w:tcW w:w="1093" w:type="dxa"/>
            <w:tcBorders>
              <w:top w:val="nil"/>
              <w:left w:val="dotDash" w:sz="4" w:space="0" w:color="auto"/>
              <w:bottom w:val="nil"/>
              <w:right w:val="nil"/>
            </w:tcBorders>
            <w:shd w:val="clear" w:color="auto" w:fill="auto"/>
            <w:noWrap/>
            <w:vAlign w:val="center"/>
            <w:hideMark/>
          </w:tcPr>
          <w:p w14:paraId="58516C6F"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0.0</w:t>
            </w:r>
          </w:p>
        </w:tc>
        <w:tc>
          <w:tcPr>
            <w:tcW w:w="1094" w:type="dxa"/>
            <w:tcBorders>
              <w:top w:val="nil"/>
              <w:left w:val="nil"/>
              <w:bottom w:val="nil"/>
              <w:right w:val="nil"/>
            </w:tcBorders>
            <w:shd w:val="clear" w:color="auto" w:fill="auto"/>
            <w:noWrap/>
            <w:vAlign w:val="center"/>
            <w:hideMark/>
          </w:tcPr>
          <w:p w14:paraId="46B9D157"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0.0</w:t>
            </w:r>
          </w:p>
        </w:tc>
      </w:tr>
      <w:tr w:rsidR="00156651" w:rsidRPr="00156651" w14:paraId="4A943503" w14:textId="77777777" w:rsidTr="00654363">
        <w:trPr>
          <w:gridAfter w:val="1"/>
          <w:wAfter w:w="8" w:type="dxa"/>
          <w:trHeight w:val="228"/>
          <w:jc w:val="center"/>
        </w:trPr>
        <w:tc>
          <w:tcPr>
            <w:tcW w:w="3905" w:type="dxa"/>
            <w:tcBorders>
              <w:top w:val="nil"/>
              <w:left w:val="nil"/>
              <w:bottom w:val="nil"/>
              <w:right w:val="nil"/>
            </w:tcBorders>
            <w:shd w:val="clear" w:color="auto" w:fill="auto"/>
            <w:noWrap/>
            <w:vAlign w:val="center"/>
            <w:hideMark/>
          </w:tcPr>
          <w:p w14:paraId="705E231C" w14:textId="77777777" w:rsidR="00156651" w:rsidRPr="00156651" w:rsidRDefault="00156651" w:rsidP="008D7BB4">
            <w:pPr>
              <w:spacing w:line="276" w:lineRule="auto"/>
              <w:ind w:firstLineChars="100" w:firstLine="220"/>
              <w:contextualSpacing/>
              <w:rPr>
                <w:rFonts w:ascii="Times New Roman" w:eastAsia="Times New Roman" w:hAnsi="Times New Roman" w:cs="Times New Roman"/>
                <w:color w:val="000000"/>
                <w:sz w:val="22"/>
                <w:szCs w:val="22"/>
                <w:lang w:eastAsia="es-GT"/>
              </w:rPr>
            </w:pPr>
            <w:r w:rsidRPr="00156651">
              <w:rPr>
                <w:rFonts w:ascii="Times New Roman" w:eastAsia="Times New Roman" w:hAnsi="Times New Roman" w:cs="Times New Roman"/>
                <w:color w:val="000000"/>
                <w:sz w:val="22"/>
                <w:szCs w:val="22"/>
                <w:lang w:eastAsia="es-GT"/>
              </w:rPr>
              <w:t>Otros</w:t>
            </w:r>
          </w:p>
        </w:tc>
        <w:tc>
          <w:tcPr>
            <w:tcW w:w="1212" w:type="dxa"/>
            <w:tcBorders>
              <w:top w:val="nil"/>
              <w:left w:val="nil"/>
              <w:bottom w:val="nil"/>
              <w:right w:val="nil"/>
            </w:tcBorders>
            <w:shd w:val="clear" w:color="auto" w:fill="auto"/>
            <w:noWrap/>
            <w:vAlign w:val="center"/>
            <w:hideMark/>
          </w:tcPr>
          <w:p w14:paraId="6675E88C"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3,456.7</w:t>
            </w:r>
          </w:p>
        </w:tc>
        <w:tc>
          <w:tcPr>
            <w:tcW w:w="1212" w:type="dxa"/>
            <w:tcBorders>
              <w:top w:val="nil"/>
              <w:left w:val="nil"/>
              <w:bottom w:val="nil"/>
              <w:right w:val="nil"/>
            </w:tcBorders>
            <w:shd w:val="clear" w:color="auto" w:fill="auto"/>
            <w:noWrap/>
            <w:vAlign w:val="center"/>
            <w:hideMark/>
          </w:tcPr>
          <w:p w14:paraId="54673AF8"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2,418.4</w:t>
            </w:r>
          </w:p>
        </w:tc>
        <w:tc>
          <w:tcPr>
            <w:tcW w:w="1093" w:type="dxa"/>
            <w:tcBorders>
              <w:top w:val="nil"/>
              <w:left w:val="dotDash" w:sz="4" w:space="0" w:color="auto"/>
              <w:bottom w:val="nil"/>
              <w:right w:val="nil"/>
            </w:tcBorders>
            <w:shd w:val="clear" w:color="auto" w:fill="auto"/>
            <w:noWrap/>
            <w:vAlign w:val="center"/>
            <w:hideMark/>
          </w:tcPr>
          <w:p w14:paraId="174E1C74"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0.5</w:t>
            </w:r>
          </w:p>
        </w:tc>
        <w:tc>
          <w:tcPr>
            <w:tcW w:w="1094" w:type="dxa"/>
            <w:tcBorders>
              <w:top w:val="nil"/>
              <w:left w:val="nil"/>
              <w:bottom w:val="nil"/>
              <w:right w:val="nil"/>
            </w:tcBorders>
            <w:shd w:val="clear" w:color="auto" w:fill="auto"/>
            <w:noWrap/>
            <w:vAlign w:val="center"/>
            <w:hideMark/>
          </w:tcPr>
          <w:p w14:paraId="2AA6583F"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0.3</w:t>
            </w:r>
          </w:p>
        </w:tc>
      </w:tr>
      <w:tr w:rsidR="00156651" w:rsidRPr="00156651" w14:paraId="3F9A99E8" w14:textId="77777777" w:rsidTr="00654363">
        <w:trPr>
          <w:gridAfter w:val="1"/>
          <w:wAfter w:w="8" w:type="dxa"/>
          <w:trHeight w:val="228"/>
          <w:jc w:val="center"/>
        </w:trPr>
        <w:tc>
          <w:tcPr>
            <w:tcW w:w="3905" w:type="dxa"/>
            <w:tcBorders>
              <w:top w:val="nil"/>
              <w:left w:val="nil"/>
              <w:bottom w:val="nil"/>
              <w:right w:val="nil"/>
            </w:tcBorders>
            <w:shd w:val="clear" w:color="auto" w:fill="auto"/>
            <w:noWrap/>
            <w:vAlign w:val="center"/>
            <w:hideMark/>
          </w:tcPr>
          <w:p w14:paraId="32C2A2E9" w14:textId="77777777" w:rsidR="00156651" w:rsidRPr="00156651" w:rsidRDefault="00156651" w:rsidP="008D7BB4">
            <w:pPr>
              <w:spacing w:line="276" w:lineRule="auto"/>
              <w:contextualSpacing/>
              <w:jc w:val="both"/>
              <w:rPr>
                <w:rFonts w:ascii="Times New Roman" w:eastAsia="Times New Roman" w:hAnsi="Times New Roman" w:cs="Times New Roman"/>
                <w:b/>
                <w:bCs/>
                <w:color w:val="000000"/>
                <w:sz w:val="22"/>
                <w:szCs w:val="22"/>
                <w:lang w:eastAsia="es-GT"/>
              </w:rPr>
            </w:pPr>
            <w:r w:rsidRPr="00156651">
              <w:rPr>
                <w:rFonts w:ascii="Times New Roman" w:eastAsia="Times New Roman" w:hAnsi="Times New Roman" w:cs="Times New Roman"/>
                <w:b/>
                <w:bCs/>
                <w:color w:val="000000"/>
                <w:sz w:val="22"/>
                <w:szCs w:val="22"/>
                <w:lang w:eastAsia="es-GT"/>
              </w:rPr>
              <w:t>Incurrimiento neto de pasivos</w:t>
            </w:r>
          </w:p>
        </w:tc>
        <w:tc>
          <w:tcPr>
            <w:tcW w:w="1212" w:type="dxa"/>
            <w:tcBorders>
              <w:top w:val="nil"/>
              <w:left w:val="nil"/>
              <w:bottom w:val="nil"/>
              <w:right w:val="nil"/>
            </w:tcBorders>
            <w:shd w:val="clear" w:color="auto" w:fill="auto"/>
            <w:noWrap/>
            <w:vAlign w:val="center"/>
            <w:hideMark/>
          </w:tcPr>
          <w:p w14:paraId="6FF090EB"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156651">
              <w:rPr>
                <w:rFonts w:ascii="Times New Roman" w:hAnsi="Times New Roman" w:cs="Times New Roman"/>
                <w:b/>
                <w:bCs/>
                <w:color w:val="000000"/>
                <w:sz w:val="22"/>
                <w:szCs w:val="22"/>
              </w:rPr>
              <w:t>18,960.1</w:t>
            </w:r>
          </w:p>
        </w:tc>
        <w:tc>
          <w:tcPr>
            <w:tcW w:w="1212" w:type="dxa"/>
            <w:tcBorders>
              <w:top w:val="nil"/>
              <w:left w:val="nil"/>
              <w:bottom w:val="nil"/>
              <w:right w:val="nil"/>
            </w:tcBorders>
            <w:shd w:val="clear" w:color="auto" w:fill="auto"/>
            <w:noWrap/>
            <w:vAlign w:val="center"/>
            <w:hideMark/>
          </w:tcPr>
          <w:p w14:paraId="7AF48420"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156651">
              <w:rPr>
                <w:rFonts w:ascii="Times New Roman" w:hAnsi="Times New Roman" w:cs="Times New Roman"/>
                <w:b/>
                <w:bCs/>
                <w:color w:val="000000"/>
                <w:sz w:val="22"/>
                <w:szCs w:val="22"/>
              </w:rPr>
              <w:t>7,510.6</w:t>
            </w:r>
          </w:p>
        </w:tc>
        <w:tc>
          <w:tcPr>
            <w:tcW w:w="1093" w:type="dxa"/>
            <w:tcBorders>
              <w:top w:val="nil"/>
              <w:left w:val="dotDash" w:sz="4" w:space="0" w:color="auto"/>
              <w:bottom w:val="nil"/>
              <w:right w:val="nil"/>
            </w:tcBorders>
            <w:shd w:val="clear" w:color="auto" w:fill="auto"/>
            <w:noWrap/>
            <w:vAlign w:val="center"/>
            <w:hideMark/>
          </w:tcPr>
          <w:p w14:paraId="117DAA1A"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156651">
              <w:rPr>
                <w:rFonts w:ascii="Times New Roman" w:hAnsi="Times New Roman" w:cs="Times New Roman"/>
                <w:b/>
                <w:bCs/>
                <w:color w:val="000000"/>
                <w:sz w:val="22"/>
                <w:szCs w:val="22"/>
              </w:rPr>
              <w:t>2.9</w:t>
            </w:r>
          </w:p>
        </w:tc>
        <w:tc>
          <w:tcPr>
            <w:tcW w:w="1094" w:type="dxa"/>
            <w:tcBorders>
              <w:top w:val="nil"/>
              <w:left w:val="nil"/>
              <w:bottom w:val="nil"/>
              <w:right w:val="nil"/>
            </w:tcBorders>
            <w:shd w:val="clear" w:color="auto" w:fill="auto"/>
            <w:noWrap/>
            <w:vAlign w:val="center"/>
            <w:hideMark/>
          </w:tcPr>
          <w:p w14:paraId="1CF35F45"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156651">
              <w:rPr>
                <w:rFonts w:ascii="Times New Roman" w:hAnsi="Times New Roman" w:cs="Times New Roman"/>
                <w:b/>
                <w:bCs/>
                <w:color w:val="000000"/>
                <w:sz w:val="22"/>
                <w:szCs w:val="22"/>
              </w:rPr>
              <w:t>1.0</w:t>
            </w:r>
          </w:p>
        </w:tc>
      </w:tr>
      <w:tr w:rsidR="00156651" w:rsidRPr="00156651" w14:paraId="1682A44F" w14:textId="77777777" w:rsidTr="00654363">
        <w:trPr>
          <w:gridAfter w:val="1"/>
          <w:wAfter w:w="8" w:type="dxa"/>
          <w:trHeight w:val="228"/>
          <w:jc w:val="center"/>
        </w:trPr>
        <w:tc>
          <w:tcPr>
            <w:tcW w:w="3905" w:type="dxa"/>
            <w:tcBorders>
              <w:top w:val="nil"/>
              <w:left w:val="nil"/>
              <w:bottom w:val="nil"/>
              <w:right w:val="nil"/>
            </w:tcBorders>
            <w:shd w:val="clear" w:color="auto" w:fill="auto"/>
            <w:noWrap/>
            <w:vAlign w:val="center"/>
            <w:hideMark/>
          </w:tcPr>
          <w:p w14:paraId="290F29D5" w14:textId="77777777" w:rsidR="00156651" w:rsidRPr="00156651" w:rsidRDefault="00156651" w:rsidP="008D7BB4">
            <w:pPr>
              <w:spacing w:line="276" w:lineRule="auto"/>
              <w:ind w:firstLineChars="100" w:firstLine="220"/>
              <w:contextualSpacing/>
              <w:rPr>
                <w:rFonts w:ascii="Times New Roman" w:eastAsia="Times New Roman" w:hAnsi="Times New Roman" w:cs="Times New Roman"/>
                <w:color w:val="000000"/>
                <w:sz w:val="22"/>
                <w:szCs w:val="22"/>
                <w:lang w:eastAsia="es-GT"/>
              </w:rPr>
            </w:pPr>
            <w:r w:rsidRPr="00156651">
              <w:rPr>
                <w:rFonts w:ascii="Times New Roman" w:eastAsia="Times New Roman" w:hAnsi="Times New Roman" w:cs="Times New Roman"/>
                <w:color w:val="000000"/>
                <w:sz w:val="22"/>
                <w:szCs w:val="22"/>
                <w:lang w:eastAsia="es-GT"/>
              </w:rPr>
              <w:t>Títulos de deuda</w:t>
            </w:r>
          </w:p>
        </w:tc>
        <w:tc>
          <w:tcPr>
            <w:tcW w:w="1212" w:type="dxa"/>
            <w:tcBorders>
              <w:top w:val="nil"/>
              <w:left w:val="nil"/>
              <w:bottom w:val="nil"/>
              <w:right w:val="nil"/>
            </w:tcBorders>
            <w:shd w:val="clear" w:color="auto" w:fill="auto"/>
            <w:noWrap/>
            <w:vAlign w:val="center"/>
            <w:hideMark/>
          </w:tcPr>
          <w:p w14:paraId="45C48DF8"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21,397.7</w:t>
            </w:r>
          </w:p>
        </w:tc>
        <w:tc>
          <w:tcPr>
            <w:tcW w:w="1212" w:type="dxa"/>
            <w:tcBorders>
              <w:top w:val="nil"/>
              <w:left w:val="nil"/>
              <w:bottom w:val="nil"/>
              <w:right w:val="nil"/>
            </w:tcBorders>
            <w:shd w:val="clear" w:color="auto" w:fill="auto"/>
            <w:noWrap/>
            <w:vAlign w:val="center"/>
            <w:hideMark/>
          </w:tcPr>
          <w:p w14:paraId="208748C6"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5,520.0</w:t>
            </w:r>
          </w:p>
        </w:tc>
        <w:tc>
          <w:tcPr>
            <w:tcW w:w="1093" w:type="dxa"/>
            <w:tcBorders>
              <w:top w:val="nil"/>
              <w:left w:val="dotDash" w:sz="4" w:space="0" w:color="auto"/>
              <w:bottom w:val="nil"/>
              <w:right w:val="nil"/>
            </w:tcBorders>
            <w:shd w:val="clear" w:color="auto" w:fill="auto"/>
            <w:noWrap/>
            <w:vAlign w:val="center"/>
            <w:hideMark/>
          </w:tcPr>
          <w:p w14:paraId="00FF9A11"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3.2</w:t>
            </w:r>
          </w:p>
        </w:tc>
        <w:tc>
          <w:tcPr>
            <w:tcW w:w="1094" w:type="dxa"/>
            <w:tcBorders>
              <w:top w:val="nil"/>
              <w:left w:val="nil"/>
              <w:bottom w:val="nil"/>
              <w:right w:val="nil"/>
            </w:tcBorders>
            <w:shd w:val="clear" w:color="auto" w:fill="auto"/>
            <w:noWrap/>
            <w:vAlign w:val="center"/>
            <w:hideMark/>
          </w:tcPr>
          <w:p w14:paraId="68C63240"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0.8</w:t>
            </w:r>
          </w:p>
        </w:tc>
      </w:tr>
      <w:tr w:rsidR="00156651" w:rsidRPr="00156651" w14:paraId="4BA02D2D" w14:textId="77777777" w:rsidTr="00654363">
        <w:trPr>
          <w:gridAfter w:val="1"/>
          <w:wAfter w:w="8" w:type="dxa"/>
          <w:trHeight w:val="228"/>
          <w:jc w:val="center"/>
        </w:trPr>
        <w:tc>
          <w:tcPr>
            <w:tcW w:w="3905" w:type="dxa"/>
            <w:tcBorders>
              <w:top w:val="nil"/>
              <w:left w:val="nil"/>
              <w:bottom w:val="nil"/>
              <w:right w:val="nil"/>
            </w:tcBorders>
            <w:shd w:val="clear" w:color="auto" w:fill="auto"/>
            <w:noWrap/>
            <w:vAlign w:val="center"/>
            <w:hideMark/>
          </w:tcPr>
          <w:p w14:paraId="2CE62E96" w14:textId="77777777" w:rsidR="00156651" w:rsidRPr="00156651" w:rsidRDefault="00156651" w:rsidP="008D7BB4">
            <w:pPr>
              <w:spacing w:line="276" w:lineRule="auto"/>
              <w:ind w:firstLineChars="100" w:firstLine="220"/>
              <w:contextualSpacing/>
              <w:rPr>
                <w:rFonts w:ascii="Times New Roman" w:eastAsia="Times New Roman" w:hAnsi="Times New Roman" w:cs="Times New Roman"/>
                <w:color w:val="000000"/>
                <w:sz w:val="22"/>
                <w:szCs w:val="22"/>
                <w:lang w:eastAsia="es-GT"/>
              </w:rPr>
            </w:pPr>
            <w:r w:rsidRPr="00156651">
              <w:rPr>
                <w:rFonts w:ascii="Times New Roman" w:eastAsia="Times New Roman" w:hAnsi="Times New Roman" w:cs="Times New Roman"/>
                <w:color w:val="000000"/>
                <w:sz w:val="22"/>
                <w:szCs w:val="22"/>
                <w:lang w:eastAsia="es-GT"/>
              </w:rPr>
              <w:t>Préstamos</w:t>
            </w:r>
          </w:p>
        </w:tc>
        <w:tc>
          <w:tcPr>
            <w:tcW w:w="1212" w:type="dxa"/>
            <w:tcBorders>
              <w:top w:val="nil"/>
              <w:left w:val="nil"/>
              <w:bottom w:val="nil"/>
              <w:right w:val="nil"/>
            </w:tcBorders>
            <w:shd w:val="clear" w:color="auto" w:fill="auto"/>
            <w:noWrap/>
            <w:vAlign w:val="center"/>
            <w:hideMark/>
          </w:tcPr>
          <w:p w14:paraId="1595F9B3"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-2,348.2</w:t>
            </w:r>
          </w:p>
        </w:tc>
        <w:tc>
          <w:tcPr>
            <w:tcW w:w="1212" w:type="dxa"/>
            <w:tcBorders>
              <w:top w:val="nil"/>
              <w:left w:val="nil"/>
              <w:bottom w:val="nil"/>
              <w:right w:val="nil"/>
            </w:tcBorders>
            <w:shd w:val="clear" w:color="auto" w:fill="auto"/>
            <w:noWrap/>
            <w:vAlign w:val="center"/>
            <w:hideMark/>
          </w:tcPr>
          <w:p w14:paraId="35990D43"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1,511.5</w:t>
            </w:r>
          </w:p>
        </w:tc>
        <w:tc>
          <w:tcPr>
            <w:tcW w:w="1093" w:type="dxa"/>
            <w:tcBorders>
              <w:top w:val="nil"/>
              <w:left w:val="dotDash" w:sz="4" w:space="0" w:color="auto"/>
              <w:bottom w:val="nil"/>
              <w:right w:val="nil"/>
            </w:tcBorders>
            <w:shd w:val="clear" w:color="auto" w:fill="auto"/>
            <w:noWrap/>
            <w:vAlign w:val="center"/>
            <w:hideMark/>
          </w:tcPr>
          <w:p w14:paraId="4B9E96E2"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-0.4</w:t>
            </w:r>
          </w:p>
        </w:tc>
        <w:tc>
          <w:tcPr>
            <w:tcW w:w="1094" w:type="dxa"/>
            <w:tcBorders>
              <w:top w:val="nil"/>
              <w:left w:val="nil"/>
              <w:bottom w:val="nil"/>
              <w:right w:val="nil"/>
            </w:tcBorders>
            <w:shd w:val="clear" w:color="auto" w:fill="auto"/>
            <w:noWrap/>
            <w:vAlign w:val="center"/>
            <w:hideMark/>
          </w:tcPr>
          <w:p w14:paraId="1E0F4A40"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0.2</w:t>
            </w:r>
          </w:p>
        </w:tc>
      </w:tr>
      <w:tr w:rsidR="00156651" w:rsidRPr="00156651" w14:paraId="09ED0757" w14:textId="77777777" w:rsidTr="00654363">
        <w:trPr>
          <w:gridAfter w:val="1"/>
          <w:wAfter w:w="8" w:type="dxa"/>
          <w:trHeight w:val="228"/>
          <w:jc w:val="center"/>
        </w:trPr>
        <w:tc>
          <w:tcPr>
            <w:tcW w:w="3905" w:type="dxa"/>
            <w:tcBorders>
              <w:top w:val="nil"/>
              <w:left w:val="nil"/>
              <w:bottom w:val="nil"/>
              <w:right w:val="nil"/>
            </w:tcBorders>
            <w:shd w:val="clear" w:color="auto" w:fill="auto"/>
            <w:noWrap/>
            <w:vAlign w:val="center"/>
            <w:hideMark/>
          </w:tcPr>
          <w:p w14:paraId="5AF1EC77" w14:textId="77777777" w:rsidR="00156651" w:rsidRPr="00156651" w:rsidRDefault="00156651" w:rsidP="008D7BB4">
            <w:pPr>
              <w:spacing w:line="276" w:lineRule="auto"/>
              <w:ind w:firstLineChars="100" w:firstLine="220"/>
              <w:contextualSpacing/>
              <w:rPr>
                <w:rFonts w:ascii="Times New Roman" w:eastAsia="Times New Roman" w:hAnsi="Times New Roman" w:cs="Times New Roman"/>
                <w:color w:val="000000"/>
                <w:sz w:val="22"/>
                <w:szCs w:val="22"/>
                <w:lang w:eastAsia="es-GT"/>
              </w:rPr>
            </w:pPr>
            <w:r w:rsidRPr="00156651">
              <w:rPr>
                <w:rFonts w:ascii="Times New Roman" w:eastAsia="Times New Roman" w:hAnsi="Times New Roman" w:cs="Times New Roman"/>
                <w:color w:val="000000"/>
                <w:sz w:val="22"/>
                <w:szCs w:val="22"/>
                <w:lang w:eastAsia="es-GT"/>
              </w:rPr>
              <w:t>Otros</w:t>
            </w:r>
          </w:p>
        </w:tc>
        <w:tc>
          <w:tcPr>
            <w:tcW w:w="1212" w:type="dxa"/>
            <w:tcBorders>
              <w:top w:val="nil"/>
              <w:left w:val="nil"/>
              <w:bottom w:val="nil"/>
              <w:right w:val="nil"/>
            </w:tcBorders>
            <w:shd w:val="clear" w:color="auto" w:fill="auto"/>
            <w:noWrap/>
            <w:vAlign w:val="center"/>
            <w:hideMark/>
          </w:tcPr>
          <w:p w14:paraId="0E097843"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-89.3</w:t>
            </w:r>
          </w:p>
        </w:tc>
        <w:tc>
          <w:tcPr>
            <w:tcW w:w="1212" w:type="dxa"/>
            <w:tcBorders>
              <w:top w:val="nil"/>
              <w:left w:val="nil"/>
              <w:bottom w:val="nil"/>
              <w:right w:val="nil"/>
            </w:tcBorders>
            <w:shd w:val="clear" w:color="auto" w:fill="auto"/>
            <w:noWrap/>
            <w:vAlign w:val="center"/>
            <w:hideMark/>
          </w:tcPr>
          <w:p w14:paraId="1C574C74"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479.2</w:t>
            </w:r>
          </w:p>
        </w:tc>
        <w:tc>
          <w:tcPr>
            <w:tcW w:w="1093" w:type="dxa"/>
            <w:tcBorders>
              <w:top w:val="nil"/>
              <w:left w:val="dotDash" w:sz="4" w:space="0" w:color="auto"/>
              <w:bottom w:val="nil"/>
              <w:right w:val="nil"/>
            </w:tcBorders>
            <w:shd w:val="clear" w:color="auto" w:fill="auto"/>
            <w:noWrap/>
            <w:vAlign w:val="center"/>
            <w:hideMark/>
          </w:tcPr>
          <w:p w14:paraId="5C1CB4C3"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0.0</w:t>
            </w:r>
          </w:p>
        </w:tc>
        <w:tc>
          <w:tcPr>
            <w:tcW w:w="1094" w:type="dxa"/>
            <w:tcBorders>
              <w:top w:val="nil"/>
              <w:left w:val="nil"/>
              <w:bottom w:val="nil"/>
              <w:right w:val="nil"/>
            </w:tcBorders>
            <w:shd w:val="clear" w:color="auto" w:fill="auto"/>
            <w:noWrap/>
            <w:vAlign w:val="center"/>
            <w:hideMark/>
          </w:tcPr>
          <w:p w14:paraId="544F86A3"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0.1</w:t>
            </w:r>
          </w:p>
        </w:tc>
      </w:tr>
      <w:tr w:rsidR="00156651" w:rsidRPr="00156651" w14:paraId="73225C2B" w14:textId="77777777" w:rsidTr="00654363">
        <w:trPr>
          <w:gridAfter w:val="1"/>
          <w:wAfter w:w="8" w:type="dxa"/>
          <w:trHeight w:val="228"/>
          <w:jc w:val="center"/>
        </w:trPr>
        <w:tc>
          <w:tcPr>
            <w:tcW w:w="3905" w:type="dxa"/>
            <w:tcBorders>
              <w:top w:val="nil"/>
              <w:left w:val="nil"/>
              <w:bottom w:val="nil"/>
              <w:right w:val="nil"/>
            </w:tcBorders>
            <w:shd w:val="clear" w:color="auto" w:fill="auto"/>
            <w:noWrap/>
            <w:vAlign w:val="center"/>
            <w:hideMark/>
          </w:tcPr>
          <w:p w14:paraId="653F4C33" w14:textId="77777777" w:rsidR="00156651" w:rsidRPr="00156651" w:rsidRDefault="00156651" w:rsidP="008D7BB4">
            <w:pPr>
              <w:spacing w:line="276" w:lineRule="auto"/>
              <w:contextualSpacing/>
              <w:jc w:val="both"/>
              <w:rPr>
                <w:rFonts w:ascii="Times New Roman" w:eastAsia="Times New Roman" w:hAnsi="Times New Roman" w:cs="Times New Roman"/>
                <w:b/>
                <w:bCs/>
                <w:color w:val="000000"/>
                <w:sz w:val="22"/>
                <w:szCs w:val="22"/>
                <w:lang w:eastAsia="es-GT"/>
              </w:rPr>
            </w:pPr>
            <w:r w:rsidRPr="00156651">
              <w:rPr>
                <w:rFonts w:ascii="Times New Roman" w:eastAsia="Times New Roman" w:hAnsi="Times New Roman" w:cs="Times New Roman"/>
                <w:b/>
                <w:bCs/>
                <w:color w:val="000000"/>
                <w:sz w:val="22"/>
                <w:szCs w:val="22"/>
                <w:lang w:eastAsia="es-GT"/>
              </w:rPr>
              <w:t>Discrepancia estadística global</w:t>
            </w:r>
          </w:p>
        </w:tc>
        <w:tc>
          <w:tcPr>
            <w:tcW w:w="1212" w:type="dxa"/>
            <w:tcBorders>
              <w:top w:val="nil"/>
              <w:left w:val="nil"/>
              <w:bottom w:val="nil"/>
              <w:right w:val="nil"/>
            </w:tcBorders>
            <w:shd w:val="clear" w:color="auto" w:fill="auto"/>
            <w:noWrap/>
            <w:vAlign w:val="center"/>
            <w:hideMark/>
          </w:tcPr>
          <w:p w14:paraId="485B3830"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156651">
              <w:rPr>
                <w:rFonts w:ascii="Times New Roman" w:hAnsi="Times New Roman" w:cs="Times New Roman"/>
                <w:b/>
                <w:bCs/>
                <w:color w:val="000000"/>
                <w:sz w:val="22"/>
                <w:szCs w:val="22"/>
              </w:rPr>
              <w:t>459.7</w:t>
            </w:r>
          </w:p>
        </w:tc>
        <w:tc>
          <w:tcPr>
            <w:tcW w:w="1212" w:type="dxa"/>
            <w:tcBorders>
              <w:top w:val="nil"/>
              <w:left w:val="nil"/>
              <w:bottom w:val="nil"/>
              <w:right w:val="nil"/>
            </w:tcBorders>
            <w:shd w:val="clear" w:color="auto" w:fill="auto"/>
            <w:noWrap/>
            <w:vAlign w:val="center"/>
            <w:hideMark/>
          </w:tcPr>
          <w:p w14:paraId="6E876659"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156651">
              <w:rPr>
                <w:rFonts w:ascii="Times New Roman" w:hAnsi="Times New Roman" w:cs="Times New Roman"/>
                <w:b/>
                <w:bCs/>
                <w:color w:val="000000"/>
                <w:sz w:val="22"/>
                <w:szCs w:val="22"/>
              </w:rPr>
              <w:t>-1,351.8</w:t>
            </w:r>
          </w:p>
        </w:tc>
        <w:tc>
          <w:tcPr>
            <w:tcW w:w="1093" w:type="dxa"/>
            <w:tcBorders>
              <w:top w:val="nil"/>
              <w:left w:val="dotDash" w:sz="4" w:space="0" w:color="auto"/>
              <w:bottom w:val="nil"/>
              <w:right w:val="nil"/>
            </w:tcBorders>
            <w:shd w:val="clear" w:color="auto" w:fill="auto"/>
            <w:noWrap/>
            <w:vAlign w:val="center"/>
            <w:hideMark/>
          </w:tcPr>
          <w:p w14:paraId="5B6E4729"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156651">
              <w:rPr>
                <w:rFonts w:ascii="Times New Roman" w:hAnsi="Times New Roman" w:cs="Times New Roman"/>
                <w:b/>
                <w:bCs/>
                <w:color w:val="000000"/>
                <w:sz w:val="22"/>
                <w:szCs w:val="22"/>
              </w:rPr>
              <w:t>0.1</w:t>
            </w:r>
          </w:p>
        </w:tc>
        <w:tc>
          <w:tcPr>
            <w:tcW w:w="1094" w:type="dxa"/>
            <w:tcBorders>
              <w:top w:val="nil"/>
              <w:left w:val="nil"/>
              <w:bottom w:val="nil"/>
              <w:right w:val="nil"/>
            </w:tcBorders>
            <w:shd w:val="clear" w:color="auto" w:fill="auto"/>
            <w:noWrap/>
            <w:vAlign w:val="center"/>
            <w:hideMark/>
          </w:tcPr>
          <w:p w14:paraId="30ACE037"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156651">
              <w:rPr>
                <w:rFonts w:ascii="Times New Roman" w:hAnsi="Times New Roman" w:cs="Times New Roman"/>
                <w:b/>
                <w:bCs/>
                <w:color w:val="000000"/>
                <w:sz w:val="22"/>
                <w:szCs w:val="22"/>
              </w:rPr>
              <w:t>-0.2</w:t>
            </w:r>
          </w:p>
        </w:tc>
      </w:tr>
    </w:tbl>
    <w:p w14:paraId="0836D4B0" w14:textId="026EE69A" w:rsidR="00156651" w:rsidRPr="008C3120" w:rsidRDefault="00156651" w:rsidP="008D7BB4">
      <w:pPr>
        <w:spacing w:line="276" w:lineRule="auto"/>
        <w:contextualSpacing/>
        <w:rPr>
          <w:rFonts w:ascii="Times New Roman" w:hAnsi="Times New Roman" w:cs="Times New Roman"/>
          <w:sz w:val="18"/>
          <w:szCs w:val="18"/>
        </w:rPr>
      </w:pPr>
      <w:r w:rsidRPr="008C3120">
        <w:rPr>
          <w:rFonts w:ascii="Times New Roman" w:hAnsi="Times New Roman" w:cs="Times New Roman"/>
          <w:sz w:val="18"/>
          <w:szCs w:val="18"/>
        </w:rPr>
        <w:t>*Cifras preliminares</w:t>
      </w:r>
    </w:p>
    <w:p w14:paraId="73914FA6" w14:textId="28A98BDE" w:rsidR="00156651" w:rsidRDefault="00156651" w:rsidP="008D7BB4">
      <w:pPr>
        <w:spacing w:line="276" w:lineRule="auto"/>
        <w:contextualSpacing/>
        <w:rPr>
          <w:rFonts w:ascii="Times New Roman" w:hAnsi="Times New Roman" w:cs="Times New Roman"/>
          <w:sz w:val="22"/>
          <w:szCs w:val="22"/>
        </w:rPr>
      </w:pPr>
    </w:p>
    <w:p w14:paraId="36E9B4E4" w14:textId="77777777" w:rsidR="00156651" w:rsidRPr="00156651" w:rsidRDefault="00156651" w:rsidP="008D7BB4">
      <w:pPr>
        <w:spacing w:line="276" w:lineRule="auto"/>
        <w:contextualSpacing/>
        <w:jc w:val="both"/>
        <w:rPr>
          <w:rFonts w:ascii="Times New Roman" w:hAnsi="Times New Roman" w:cs="Times New Roman"/>
          <w:sz w:val="22"/>
          <w:szCs w:val="22"/>
        </w:rPr>
      </w:pPr>
    </w:p>
    <w:p w14:paraId="2EE4FA25" w14:textId="69B5FEF0" w:rsidR="00156651" w:rsidRDefault="00463623" w:rsidP="008D7BB4">
      <w:pPr>
        <w:spacing w:line="276" w:lineRule="auto"/>
        <w:contextualSpacing/>
        <w:jc w:val="both"/>
        <w:rPr>
          <w:rFonts w:ascii="Times New Roman" w:hAnsi="Times New Roman" w:cs="Times New Roman"/>
          <w:sz w:val="22"/>
          <w:szCs w:val="22"/>
        </w:rPr>
      </w:pPr>
      <w:r>
        <w:rPr>
          <w:rFonts w:ascii="Times New Roman" w:hAnsi="Times New Roman" w:cs="Times New Roman"/>
          <w:sz w:val="22"/>
          <w:szCs w:val="22"/>
        </w:rPr>
        <w:lastRenderedPageBreak/>
        <w:t>Por lo anterior, e</w:t>
      </w:r>
      <w:r w:rsidR="00156651" w:rsidRPr="00156651">
        <w:rPr>
          <w:rFonts w:ascii="Times New Roman" w:hAnsi="Times New Roman" w:cs="Times New Roman"/>
          <w:sz w:val="22"/>
          <w:szCs w:val="22"/>
        </w:rPr>
        <w:t xml:space="preserve">l resultado operativo del Gobierno General Consolidado fue positivo </w:t>
      </w:r>
      <w:r w:rsidR="00C72767">
        <w:rPr>
          <w:rFonts w:ascii="Times New Roman" w:hAnsi="Times New Roman" w:cs="Times New Roman"/>
          <w:sz w:val="22"/>
          <w:szCs w:val="22"/>
        </w:rPr>
        <w:t xml:space="preserve">en </w:t>
      </w:r>
      <w:r w:rsidR="00156651" w:rsidRPr="00156651">
        <w:rPr>
          <w:rFonts w:ascii="Times New Roman" w:hAnsi="Times New Roman" w:cs="Times New Roman"/>
          <w:sz w:val="22"/>
          <w:szCs w:val="22"/>
        </w:rPr>
        <w:t>1.2% del PIB (Q9,107.8 millones) mientras que, a nivel del resultado fiscal, se obtuvo un endeudamiento neto (déficit fiscal) equivalente al 1.0% del PIB (Q7,431.8 millones)</w:t>
      </w:r>
    </w:p>
    <w:p w14:paraId="5D182A12" w14:textId="77777777" w:rsidR="00463623" w:rsidRPr="00156651" w:rsidRDefault="00463623" w:rsidP="008D7BB4">
      <w:pPr>
        <w:spacing w:line="276" w:lineRule="auto"/>
        <w:contextualSpacing/>
        <w:jc w:val="both"/>
        <w:rPr>
          <w:rFonts w:ascii="Times New Roman" w:hAnsi="Times New Roman" w:cs="Times New Roman"/>
          <w:sz w:val="22"/>
          <w:szCs w:val="22"/>
        </w:rPr>
      </w:pPr>
    </w:p>
    <w:p w14:paraId="215D3A48" w14:textId="0602378D" w:rsidR="00156651" w:rsidRDefault="00156651" w:rsidP="008D7BB4">
      <w:pPr>
        <w:spacing w:line="276" w:lineRule="auto"/>
        <w:contextualSpacing/>
        <w:jc w:val="both"/>
        <w:rPr>
          <w:rFonts w:ascii="Times New Roman" w:hAnsi="Times New Roman" w:cs="Times New Roman"/>
          <w:sz w:val="22"/>
          <w:szCs w:val="22"/>
        </w:rPr>
      </w:pPr>
      <w:r w:rsidRPr="00156651">
        <w:rPr>
          <w:rFonts w:ascii="Times New Roman" w:hAnsi="Times New Roman" w:cs="Times New Roman"/>
          <w:sz w:val="22"/>
          <w:szCs w:val="22"/>
        </w:rPr>
        <w:t>El financiamiento de las operaciones del Gobierno General Consolidado</w:t>
      </w:r>
      <w:r w:rsidR="00C72767">
        <w:rPr>
          <w:rFonts w:ascii="Times New Roman" w:hAnsi="Times New Roman" w:cs="Times New Roman"/>
          <w:sz w:val="22"/>
          <w:szCs w:val="22"/>
        </w:rPr>
        <w:t>,</w:t>
      </w:r>
      <w:r w:rsidRPr="00156651">
        <w:rPr>
          <w:rFonts w:ascii="Times New Roman" w:hAnsi="Times New Roman" w:cs="Times New Roman"/>
          <w:sz w:val="22"/>
          <w:szCs w:val="22"/>
        </w:rPr>
        <w:t xml:space="preserve"> se explica con la reducción de los activos financieros por 0.2% del PIB (Q1,273.0 millones) y el uso de pasivos que se incrementaron en 1.0% del PIB (Q7,431.8 millones).</w:t>
      </w:r>
    </w:p>
    <w:p w14:paraId="692C9A2E" w14:textId="77777777" w:rsidR="00156651" w:rsidRPr="00D31116" w:rsidRDefault="00156651" w:rsidP="008D7BB4">
      <w:pPr>
        <w:pStyle w:val="Prrafodelista"/>
        <w:keepNext/>
        <w:keepLines/>
        <w:tabs>
          <w:tab w:val="left" w:pos="1134"/>
        </w:tabs>
        <w:spacing w:line="276" w:lineRule="auto"/>
        <w:ind w:left="1080"/>
        <w:jc w:val="both"/>
        <w:outlineLvl w:val="1"/>
        <w:rPr>
          <w:rFonts w:ascii="Times New Roman" w:eastAsiaTheme="majorEastAsia" w:hAnsi="Times New Roman" w:cs="Times New Roman"/>
          <w:b/>
          <w:bCs/>
        </w:rPr>
      </w:pPr>
    </w:p>
    <w:p w14:paraId="109191A9" w14:textId="6F23BC76" w:rsidR="00156651" w:rsidRPr="00D31116" w:rsidRDefault="00156651" w:rsidP="008D7BB4">
      <w:pPr>
        <w:pStyle w:val="Prrafodelista"/>
        <w:keepNext/>
        <w:keepLines/>
        <w:numPr>
          <w:ilvl w:val="2"/>
          <w:numId w:val="20"/>
        </w:numPr>
        <w:tabs>
          <w:tab w:val="left" w:pos="1134"/>
        </w:tabs>
        <w:spacing w:line="276" w:lineRule="auto"/>
        <w:jc w:val="both"/>
        <w:outlineLvl w:val="1"/>
        <w:rPr>
          <w:rFonts w:ascii="Times New Roman" w:eastAsiaTheme="majorEastAsia" w:hAnsi="Times New Roman" w:cs="Times New Roman"/>
          <w:b/>
          <w:bCs/>
        </w:rPr>
      </w:pPr>
      <w:bookmarkStart w:id="161" w:name="_Toc125723307"/>
      <w:r w:rsidRPr="00D31116">
        <w:rPr>
          <w:rFonts w:ascii="Times New Roman" w:eastAsiaTheme="majorEastAsia" w:hAnsi="Times New Roman" w:cs="Times New Roman"/>
          <w:b/>
          <w:bCs/>
        </w:rPr>
        <w:t>Estado de operaciones del Sector Público No Financiero</w:t>
      </w:r>
      <w:bookmarkEnd w:id="161"/>
    </w:p>
    <w:p w14:paraId="4901EE55" w14:textId="77777777" w:rsidR="00156651" w:rsidRPr="00156651" w:rsidRDefault="00156651" w:rsidP="008D7BB4">
      <w:pPr>
        <w:pStyle w:val="Prrafodelista"/>
        <w:keepNext/>
        <w:keepLines/>
        <w:tabs>
          <w:tab w:val="left" w:pos="1134"/>
        </w:tabs>
        <w:spacing w:line="276" w:lineRule="auto"/>
        <w:ind w:left="1080"/>
        <w:jc w:val="both"/>
        <w:outlineLvl w:val="1"/>
        <w:rPr>
          <w:rFonts w:ascii="Times New Roman" w:hAnsi="Times New Roman" w:cs="Times New Roman"/>
          <w:b/>
          <w:bCs/>
        </w:rPr>
      </w:pPr>
    </w:p>
    <w:p w14:paraId="3B8DA808" w14:textId="15F3B83F" w:rsidR="00156651" w:rsidRDefault="00156651" w:rsidP="008D7BB4">
      <w:pPr>
        <w:spacing w:line="276" w:lineRule="auto"/>
        <w:contextualSpacing/>
        <w:jc w:val="both"/>
        <w:rPr>
          <w:rFonts w:ascii="Times New Roman" w:hAnsi="Times New Roman" w:cs="Times New Roman"/>
          <w:sz w:val="22"/>
          <w:szCs w:val="22"/>
          <w:lang w:val="es-MX"/>
        </w:rPr>
      </w:pPr>
      <w:r w:rsidRPr="00156651">
        <w:rPr>
          <w:rFonts w:ascii="Times New Roman" w:hAnsi="Times New Roman" w:cs="Times New Roman"/>
          <w:sz w:val="22"/>
          <w:szCs w:val="22"/>
          <w:lang w:val="es-MX"/>
        </w:rPr>
        <w:t>Por último, a nivel del Sector Público No Financiero (incluye al Gobierno General consolidado y las Sociedades Públicas No Financieras) se obtuvo</w:t>
      </w:r>
      <w:r w:rsidR="00C72767">
        <w:rPr>
          <w:rFonts w:ascii="Times New Roman" w:hAnsi="Times New Roman" w:cs="Times New Roman"/>
          <w:sz w:val="22"/>
          <w:szCs w:val="22"/>
          <w:lang w:val="es-MX"/>
        </w:rPr>
        <w:t xml:space="preserve"> un nivel de ingresos</w:t>
      </w:r>
      <w:r w:rsidRPr="00156651">
        <w:rPr>
          <w:rFonts w:ascii="Times New Roman" w:hAnsi="Times New Roman" w:cs="Times New Roman"/>
          <w:sz w:val="22"/>
          <w:szCs w:val="22"/>
          <w:lang w:val="es-MX"/>
        </w:rPr>
        <w:t xml:space="preserve"> equivalente a 17.2% del PIB (Q</w:t>
      </w:r>
      <w:r w:rsidRPr="00156651">
        <w:rPr>
          <w:rFonts w:ascii="Times New Roman" w:hAnsi="Times New Roman" w:cs="Times New Roman"/>
          <w:sz w:val="22"/>
          <w:szCs w:val="22"/>
        </w:rPr>
        <w:t xml:space="preserve"> </w:t>
      </w:r>
      <w:r w:rsidRPr="00156651">
        <w:rPr>
          <w:rFonts w:ascii="Times New Roman" w:hAnsi="Times New Roman" w:cs="Times New Roman"/>
          <w:sz w:val="22"/>
          <w:szCs w:val="22"/>
          <w:lang w:val="es-MX"/>
        </w:rPr>
        <w:t xml:space="preserve">126,323.6 millones), a lo cual cabe mencionar que </w:t>
      </w:r>
      <w:r w:rsidR="00C72767">
        <w:rPr>
          <w:rFonts w:ascii="Times New Roman" w:hAnsi="Times New Roman" w:cs="Times New Roman"/>
          <w:sz w:val="22"/>
          <w:szCs w:val="22"/>
          <w:lang w:val="es-MX"/>
        </w:rPr>
        <w:t>mostró</w:t>
      </w:r>
      <w:r w:rsidRPr="00156651">
        <w:rPr>
          <w:rFonts w:ascii="Times New Roman" w:hAnsi="Times New Roman" w:cs="Times New Roman"/>
          <w:sz w:val="22"/>
          <w:szCs w:val="22"/>
          <w:lang w:val="es-MX"/>
        </w:rPr>
        <w:t xml:space="preserve"> un aumento</w:t>
      </w:r>
      <w:r w:rsidR="00C72767">
        <w:rPr>
          <w:rFonts w:ascii="Times New Roman" w:hAnsi="Times New Roman" w:cs="Times New Roman"/>
          <w:sz w:val="22"/>
          <w:szCs w:val="22"/>
          <w:lang w:val="es-MX"/>
        </w:rPr>
        <w:t xml:space="preserve"> interanual</w:t>
      </w:r>
      <w:r w:rsidRPr="00156651">
        <w:rPr>
          <w:rFonts w:ascii="Times New Roman" w:hAnsi="Times New Roman" w:cs="Times New Roman"/>
          <w:sz w:val="22"/>
          <w:szCs w:val="22"/>
          <w:lang w:val="es-MX"/>
        </w:rPr>
        <w:t xml:space="preserve"> de 0.2 puntos porcentuales del PIB respecto al 2021 y de 0.8 puntos porcentuales del PIB respecto a los ingresos del Gobierno General. </w:t>
      </w:r>
    </w:p>
    <w:p w14:paraId="106D8678" w14:textId="77777777" w:rsidR="00156651" w:rsidRPr="00156651" w:rsidRDefault="00156651" w:rsidP="008D7BB4">
      <w:pPr>
        <w:spacing w:line="276" w:lineRule="auto"/>
        <w:contextualSpacing/>
        <w:jc w:val="both"/>
        <w:rPr>
          <w:rFonts w:ascii="Times New Roman" w:hAnsi="Times New Roman" w:cs="Times New Roman"/>
          <w:sz w:val="22"/>
          <w:szCs w:val="22"/>
          <w:lang w:val="es-MX"/>
        </w:rPr>
      </w:pPr>
    </w:p>
    <w:p w14:paraId="4474181E" w14:textId="7FF08731" w:rsidR="00156651" w:rsidRDefault="00156651" w:rsidP="008D7BB4">
      <w:pPr>
        <w:spacing w:line="276" w:lineRule="auto"/>
        <w:contextualSpacing/>
        <w:jc w:val="both"/>
        <w:rPr>
          <w:rFonts w:ascii="Times New Roman" w:hAnsi="Times New Roman" w:cs="Times New Roman"/>
          <w:sz w:val="22"/>
          <w:szCs w:val="22"/>
          <w:lang w:val="es-MX"/>
        </w:rPr>
      </w:pPr>
      <w:r w:rsidRPr="00156651">
        <w:rPr>
          <w:rFonts w:ascii="Times New Roman" w:hAnsi="Times New Roman" w:cs="Times New Roman"/>
          <w:sz w:val="22"/>
          <w:szCs w:val="22"/>
          <w:lang w:val="es-MX"/>
        </w:rPr>
        <w:t xml:space="preserve">Los ingresos por impuestos fueron en 12.6% del PIB (Q92,116.1 millones) y es un aumento de 0.1 puntos porcentuales respecto al Gobierno General derivado </w:t>
      </w:r>
      <w:r w:rsidR="00C72767">
        <w:rPr>
          <w:rFonts w:ascii="Times New Roman" w:hAnsi="Times New Roman" w:cs="Times New Roman"/>
          <w:sz w:val="22"/>
          <w:szCs w:val="22"/>
          <w:lang w:val="es-MX"/>
        </w:rPr>
        <w:t>del tributo que percibe</w:t>
      </w:r>
      <w:r w:rsidRPr="00156651">
        <w:rPr>
          <w:rFonts w:ascii="Times New Roman" w:hAnsi="Times New Roman" w:cs="Times New Roman"/>
          <w:sz w:val="22"/>
          <w:szCs w:val="22"/>
          <w:lang w:val="es-MX"/>
        </w:rPr>
        <w:t xml:space="preserve"> el Instituto de Recreación de los Trabajadores de la Empresa Privada (IRTRA), entidad que conforme a los estándares internacionales </w:t>
      </w:r>
      <w:r w:rsidR="00C72767">
        <w:rPr>
          <w:rFonts w:ascii="Times New Roman" w:hAnsi="Times New Roman" w:cs="Times New Roman"/>
          <w:sz w:val="22"/>
          <w:szCs w:val="22"/>
          <w:lang w:val="es-MX"/>
        </w:rPr>
        <w:t>se registra como</w:t>
      </w:r>
      <w:r w:rsidRPr="00156651">
        <w:rPr>
          <w:rFonts w:ascii="Times New Roman" w:hAnsi="Times New Roman" w:cs="Times New Roman"/>
          <w:sz w:val="22"/>
          <w:szCs w:val="22"/>
          <w:lang w:val="es-MX"/>
        </w:rPr>
        <w:t xml:space="preserve"> una </w:t>
      </w:r>
      <w:r w:rsidR="00C72767">
        <w:rPr>
          <w:rFonts w:ascii="Times New Roman" w:hAnsi="Times New Roman" w:cs="Times New Roman"/>
          <w:sz w:val="22"/>
          <w:szCs w:val="22"/>
          <w:lang w:val="es-MX"/>
        </w:rPr>
        <w:t>s</w:t>
      </w:r>
      <w:r w:rsidRPr="00156651">
        <w:rPr>
          <w:rFonts w:ascii="Times New Roman" w:hAnsi="Times New Roman" w:cs="Times New Roman"/>
          <w:sz w:val="22"/>
          <w:szCs w:val="22"/>
          <w:lang w:val="es-MX"/>
        </w:rPr>
        <w:t xml:space="preserve">ociedad </w:t>
      </w:r>
      <w:r w:rsidR="00C72767">
        <w:rPr>
          <w:rFonts w:ascii="Times New Roman" w:hAnsi="Times New Roman" w:cs="Times New Roman"/>
          <w:sz w:val="22"/>
          <w:szCs w:val="22"/>
          <w:lang w:val="es-MX"/>
        </w:rPr>
        <w:t>p</w:t>
      </w:r>
      <w:r w:rsidRPr="00156651">
        <w:rPr>
          <w:rFonts w:ascii="Times New Roman" w:hAnsi="Times New Roman" w:cs="Times New Roman"/>
          <w:sz w:val="22"/>
          <w:szCs w:val="22"/>
          <w:lang w:val="es-MX"/>
        </w:rPr>
        <w:t>ública.</w:t>
      </w:r>
    </w:p>
    <w:p w14:paraId="3EB3D1DE" w14:textId="77777777" w:rsidR="00156651" w:rsidRPr="00156651" w:rsidRDefault="00156651" w:rsidP="008D7BB4">
      <w:pPr>
        <w:spacing w:line="276" w:lineRule="auto"/>
        <w:contextualSpacing/>
        <w:jc w:val="both"/>
        <w:rPr>
          <w:rFonts w:ascii="Times New Roman" w:hAnsi="Times New Roman" w:cs="Times New Roman"/>
          <w:sz w:val="22"/>
          <w:szCs w:val="22"/>
          <w:lang w:val="es-MX"/>
        </w:rPr>
      </w:pPr>
    </w:p>
    <w:p w14:paraId="34CE0F3D" w14:textId="497F6D91" w:rsidR="00156651" w:rsidRDefault="00156651" w:rsidP="008D7BB4">
      <w:pPr>
        <w:spacing w:line="276" w:lineRule="auto"/>
        <w:contextualSpacing/>
        <w:jc w:val="both"/>
        <w:rPr>
          <w:rFonts w:ascii="Times New Roman" w:hAnsi="Times New Roman" w:cs="Times New Roman"/>
          <w:sz w:val="22"/>
          <w:szCs w:val="22"/>
          <w:lang w:val="es-MX"/>
        </w:rPr>
      </w:pPr>
      <w:r w:rsidRPr="00156651">
        <w:rPr>
          <w:rFonts w:ascii="Times New Roman" w:hAnsi="Times New Roman" w:cs="Times New Roman"/>
          <w:sz w:val="22"/>
          <w:szCs w:val="22"/>
          <w:lang w:val="es-MX"/>
        </w:rPr>
        <w:t>La categoría de otros ingresos durante el 2022 se situó en 1.9% del PIB (Q14,091.5 millones) y este es un aumento de 0.7 puntos porcentuales del PIB respecto a lo observado a nivel del Gobierno General. El principal elemento por el cual se incrementa esta cuenta económica respecto al Gobierno General es por las ventas de bienes y servicios, que al finalizar el año se sitúa en torno al 1.3 del PIB (Q9,211.9 millones) que es un aumento de 0.6 puntos porcentuales del PIB respecto a lo observado a nivel de Gobierno General. Lo</w:t>
      </w:r>
      <w:r w:rsidR="00C72767">
        <w:rPr>
          <w:rFonts w:ascii="Times New Roman" w:hAnsi="Times New Roman" w:cs="Times New Roman"/>
          <w:sz w:val="22"/>
          <w:szCs w:val="22"/>
          <w:lang w:val="es-MX"/>
        </w:rPr>
        <w:t>s</w:t>
      </w:r>
      <w:r w:rsidRPr="00156651">
        <w:rPr>
          <w:rFonts w:ascii="Times New Roman" w:hAnsi="Times New Roman" w:cs="Times New Roman"/>
          <w:sz w:val="22"/>
          <w:szCs w:val="22"/>
          <w:lang w:val="es-MX"/>
        </w:rPr>
        <w:t xml:space="preserve"> ingresos por Rentas de la Propiedad ascienden a 0.4% del PIB (Q2,902.2 millones) siendo un aumento de 0.1 puntos porcentuales respecto al Gobierno General</w:t>
      </w:r>
      <w:r>
        <w:rPr>
          <w:rFonts w:ascii="Times New Roman" w:hAnsi="Times New Roman" w:cs="Times New Roman"/>
          <w:sz w:val="22"/>
          <w:szCs w:val="22"/>
          <w:lang w:val="es-MX"/>
        </w:rPr>
        <w:t>.</w:t>
      </w:r>
    </w:p>
    <w:p w14:paraId="4F036822" w14:textId="77777777" w:rsidR="00156651" w:rsidRPr="00156651" w:rsidRDefault="00156651" w:rsidP="008D7BB4">
      <w:pPr>
        <w:spacing w:line="276" w:lineRule="auto"/>
        <w:contextualSpacing/>
        <w:jc w:val="both"/>
        <w:rPr>
          <w:rFonts w:ascii="Times New Roman" w:hAnsi="Times New Roman" w:cs="Times New Roman"/>
          <w:sz w:val="22"/>
          <w:szCs w:val="22"/>
          <w:lang w:val="es-MX"/>
        </w:rPr>
      </w:pPr>
    </w:p>
    <w:p w14:paraId="7E7DF474" w14:textId="09ED36A4" w:rsidR="00156651" w:rsidRPr="00156651" w:rsidRDefault="00156651" w:rsidP="008D7BB4">
      <w:pPr>
        <w:spacing w:line="276" w:lineRule="auto"/>
        <w:contextualSpacing/>
        <w:jc w:val="both"/>
        <w:rPr>
          <w:rFonts w:ascii="Times New Roman" w:hAnsi="Times New Roman" w:cs="Times New Roman"/>
          <w:sz w:val="22"/>
          <w:szCs w:val="22"/>
          <w:lang w:val="es-MX"/>
        </w:rPr>
      </w:pPr>
      <w:r w:rsidRPr="00156651">
        <w:rPr>
          <w:rFonts w:ascii="Times New Roman" w:hAnsi="Times New Roman" w:cs="Times New Roman"/>
          <w:sz w:val="22"/>
          <w:szCs w:val="22"/>
          <w:lang w:val="es-MX"/>
        </w:rPr>
        <w:t>El gasto público del Sector Público No Financiero al finalizar el año se sitúa en 15.7% del PIB (Q115,518.1 millones)</w:t>
      </w:r>
      <w:r w:rsidR="00C72767">
        <w:rPr>
          <w:rFonts w:ascii="Times New Roman" w:hAnsi="Times New Roman" w:cs="Times New Roman"/>
          <w:sz w:val="22"/>
          <w:szCs w:val="22"/>
          <w:lang w:val="es-MX"/>
        </w:rPr>
        <w:t xml:space="preserve">, representando </w:t>
      </w:r>
      <w:r w:rsidRPr="00156651">
        <w:rPr>
          <w:rFonts w:ascii="Times New Roman" w:hAnsi="Times New Roman" w:cs="Times New Roman"/>
          <w:sz w:val="22"/>
          <w:szCs w:val="22"/>
          <w:lang w:val="es-MX"/>
        </w:rPr>
        <w:t xml:space="preserve">un aumento de 0.6 puntos porcentuales del PIB respecto </w:t>
      </w:r>
      <w:r w:rsidR="00C72767">
        <w:rPr>
          <w:rFonts w:ascii="Times New Roman" w:hAnsi="Times New Roman" w:cs="Times New Roman"/>
          <w:sz w:val="22"/>
          <w:szCs w:val="22"/>
          <w:lang w:val="es-MX"/>
        </w:rPr>
        <w:t xml:space="preserve">a lo observado en el </w:t>
      </w:r>
      <w:r w:rsidRPr="00156651">
        <w:rPr>
          <w:rFonts w:ascii="Times New Roman" w:hAnsi="Times New Roman" w:cs="Times New Roman"/>
          <w:sz w:val="22"/>
          <w:szCs w:val="22"/>
          <w:lang w:val="es-MX"/>
        </w:rPr>
        <w:t xml:space="preserve">Gobierno General. El gasto </w:t>
      </w:r>
      <w:r w:rsidR="00C72767">
        <w:rPr>
          <w:rFonts w:ascii="Times New Roman" w:hAnsi="Times New Roman" w:cs="Times New Roman"/>
          <w:sz w:val="22"/>
          <w:szCs w:val="22"/>
          <w:lang w:val="es-MX"/>
        </w:rPr>
        <w:t>de</w:t>
      </w:r>
      <w:r w:rsidRPr="00156651">
        <w:rPr>
          <w:rFonts w:ascii="Times New Roman" w:hAnsi="Times New Roman" w:cs="Times New Roman"/>
          <w:sz w:val="22"/>
          <w:szCs w:val="22"/>
          <w:lang w:val="es-MX"/>
        </w:rPr>
        <w:t xml:space="preserve"> Remuneraciones a los empleados fue del 7.2% del PIB (Q</w:t>
      </w:r>
      <w:r w:rsidRPr="00156651">
        <w:rPr>
          <w:rFonts w:ascii="Times New Roman" w:hAnsi="Times New Roman" w:cs="Times New Roman"/>
          <w:sz w:val="22"/>
          <w:szCs w:val="22"/>
        </w:rPr>
        <w:t xml:space="preserve"> </w:t>
      </w:r>
      <w:r w:rsidRPr="00156651">
        <w:rPr>
          <w:rFonts w:ascii="Times New Roman" w:hAnsi="Times New Roman" w:cs="Times New Roman"/>
          <w:sz w:val="22"/>
          <w:szCs w:val="22"/>
          <w:lang w:val="es-MX"/>
        </w:rPr>
        <w:t xml:space="preserve">52,495.8 millones) y el gasto en bienes y servicios equivale al 3.6% del PIB (Q26,232.1 millones), cada uno </w:t>
      </w:r>
      <w:r w:rsidR="00E218AB">
        <w:rPr>
          <w:rFonts w:ascii="Times New Roman" w:hAnsi="Times New Roman" w:cs="Times New Roman"/>
          <w:sz w:val="22"/>
          <w:szCs w:val="22"/>
          <w:lang w:val="es-MX"/>
        </w:rPr>
        <w:t>muestra</w:t>
      </w:r>
      <w:r w:rsidRPr="00156651">
        <w:rPr>
          <w:rFonts w:ascii="Times New Roman" w:hAnsi="Times New Roman" w:cs="Times New Roman"/>
          <w:sz w:val="22"/>
          <w:szCs w:val="22"/>
          <w:lang w:val="es-MX"/>
        </w:rPr>
        <w:t xml:space="preserve"> un aumento de 0.2 puntos porcentuales del PIB respecto al Gobierno General.</w:t>
      </w:r>
      <w:r w:rsidR="00E218AB">
        <w:rPr>
          <w:rFonts w:ascii="Times New Roman" w:hAnsi="Times New Roman" w:cs="Times New Roman"/>
          <w:sz w:val="22"/>
          <w:szCs w:val="22"/>
          <w:lang w:val="es-MX"/>
        </w:rPr>
        <w:t xml:space="preserve">  </w:t>
      </w:r>
      <w:r w:rsidRPr="00156651">
        <w:rPr>
          <w:rFonts w:ascii="Times New Roman" w:hAnsi="Times New Roman" w:cs="Times New Roman"/>
          <w:sz w:val="22"/>
          <w:szCs w:val="22"/>
          <w:lang w:val="es-MX"/>
        </w:rPr>
        <w:t>Cabe mencionar que el gasto en subsidios fue de 0.5% del PIB (Q3,824.9 millones) y es un aumento de 0.1 puntos porcentuales del PIB respecto a lo observado en el Gobierno General. La principal razón del aumento se produce por el aporte que otorga el Instituto Nacional de Energía Eléctrica a tarifa social de energía.</w:t>
      </w:r>
    </w:p>
    <w:p w14:paraId="4117F33D" w14:textId="08C0ADC1" w:rsidR="00156651" w:rsidRDefault="00156651" w:rsidP="008D7BB4">
      <w:pPr>
        <w:spacing w:line="276" w:lineRule="auto"/>
        <w:contextualSpacing/>
        <w:jc w:val="both"/>
        <w:rPr>
          <w:rFonts w:ascii="Times New Roman" w:hAnsi="Times New Roman" w:cs="Times New Roman"/>
          <w:sz w:val="22"/>
          <w:szCs w:val="22"/>
          <w:lang w:val="es-MX"/>
        </w:rPr>
      </w:pPr>
    </w:p>
    <w:p w14:paraId="1D43C6DC" w14:textId="77777777" w:rsidR="00584581" w:rsidRDefault="00584581" w:rsidP="00584581">
      <w:pPr>
        <w:spacing w:line="276" w:lineRule="auto"/>
        <w:contextualSpacing/>
        <w:jc w:val="both"/>
        <w:rPr>
          <w:rFonts w:ascii="Times New Roman" w:hAnsi="Times New Roman" w:cs="Times New Roman"/>
          <w:sz w:val="22"/>
          <w:szCs w:val="22"/>
        </w:rPr>
      </w:pPr>
      <w:r w:rsidRPr="00156651">
        <w:rPr>
          <w:rFonts w:ascii="Times New Roman" w:hAnsi="Times New Roman" w:cs="Times New Roman"/>
          <w:sz w:val="22"/>
          <w:szCs w:val="22"/>
        </w:rPr>
        <w:t>El resultado operativo a nivel del Sector Público No Financiero fue positivo por 1.5% del PIB (Q10,805.5 millones) mientras que, a nivel del resultado fiscal, se obtuvo un endeudamiento neto (déficit) por 0.8% del PIB (Q5,949.0 millones)</w:t>
      </w:r>
    </w:p>
    <w:p w14:paraId="4C309E58" w14:textId="77777777" w:rsidR="00584581" w:rsidRPr="00156651" w:rsidRDefault="00584581" w:rsidP="00584581">
      <w:pPr>
        <w:spacing w:line="276" w:lineRule="auto"/>
        <w:contextualSpacing/>
        <w:jc w:val="both"/>
        <w:rPr>
          <w:rFonts w:ascii="Times New Roman" w:hAnsi="Times New Roman" w:cs="Times New Roman"/>
          <w:sz w:val="22"/>
          <w:szCs w:val="22"/>
        </w:rPr>
      </w:pPr>
    </w:p>
    <w:p w14:paraId="62D67D28" w14:textId="00376732" w:rsidR="00A85FAC" w:rsidRDefault="00584581" w:rsidP="00584581">
      <w:pPr>
        <w:spacing w:line="276" w:lineRule="auto"/>
        <w:contextualSpacing/>
        <w:jc w:val="both"/>
        <w:rPr>
          <w:rFonts w:ascii="Times New Roman" w:hAnsi="Times New Roman" w:cs="Times New Roman"/>
          <w:sz w:val="22"/>
          <w:szCs w:val="22"/>
          <w:lang w:val="es-MX"/>
        </w:rPr>
      </w:pPr>
      <w:r w:rsidRPr="00156651">
        <w:rPr>
          <w:rFonts w:ascii="Times New Roman" w:hAnsi="Times New Roman" w:cs="Times New Roman"/>
          <w:sz w:val="22"/>
          <w:szCs w:val="22"/>
        </w:rPr>
        <w:t>Durante el 2022, hubo un aumento de los activos financieros por 0.1% del PIB (Q610.0 millones) a nivel del Sector Público No Financiero y los pasivos aumentaron en 1.0% del PIB (Q7,455.7 millones).</w:t>
      </w:r>
    </w:p>
    <w:p w14:paraId="516AB24E" w14:textId="77777777" w:rsidR="00A85FAC" w:rsidRPr="00156651" w:rsidRDefault="00A85FAC" w:rsidP="008D7BB4">
      <w:pPr>
        <w:spacing w:line="276" w:lineRule="auto"/>
        <w:contextualSpacing/>
        <w:jc w:val="both"/>
        <w:rPr>
          <w:rFonts w:ascii="Times New Roman" w:hAnsi="Times New Roman" w:cs="Times New Roman"/>
          <w:sz w:val="22"/>
          <w:szCs w:val="22"/>
          <w:lang w:val="es-MX"/>
        </w:rPr>
      </w:pPr>
    </w:p>
    <w:p w14:paraId="721E379C" w14:textId="553E56FB" w:rsidR="00156651" w:rsidRDefault="001567F3" w:rsidP="008D7BB4">
      <w:pPr>
        <w:spacing w:line="276" w:lineRule="auto"/>
        <w:contextualSpacing/>
        <w:jc w:val="center"/>
        <w:rPr>
          <w:rFonts w:ascii="Times New Roman" w:hAnsi="Times New Roman" w:cs="Times New Roman"/>
          <w:b/>
          <w:bCs/>
        </w:rPr>
      </w:pPr>
      <w:bookmarkStart w:id="162" w:name="_Toc125534821"/>
      <w:r w:rsidRPr="00FE0B42">
        <w:rPr>
          <w:rFonts w:ascii="Times New Roman" w:hAnsi="Times New Roman" w:cs="Times New Roman"/>
          <w:b/>
          <w:bCs/>
          <w:sz w:val="22"/>
          <w:szCs w:val="22"/>
        </w:rPr>
        <w:t xml:space="preserve">Tabla </w:t>
      </w:r>
      <w:r w:rsidRPr="00FE0B42">
        <w:rPr>
          <w:rFonts w:ascii="Times New Roman" w:hAnsi="Times New Roman" w:cs="Times New Roman"/>
          <w:b/>
          <w:bCs/>
          <w:sz w:val="22"/>
          <w:szCs w:val="22"/>
        </w:rPr>
        <w:fldChar w:fldCharType="begin"/>
      </w:r>
      <w:r w:rsidRPr="00FE0B42">
        <w:rPr>
          <w:rFonts w:ascii="Times New Roman" w:hAnsi="Times New Roman" w:cs="Times New Roman"/>
          <w:b/>
          <w:bCs/>
          <w:sz w:val="22"/>
          <w:szCs w:val="22"/>
        </w:rPr>
        <w:instrText xml:space="preserve"> SEQ Tabla \* ARABIC </w:instrText>
      </w:r>
      <w:r w:rsidRPr="00FE0B42">
        <w:rPr>
          <w:rFonts w:ascii="Times New Roman" w:hAnsi="Times New Roman" w:cs="Times New Roman"/>
          <w:b/>
          <w:bCs/>
          <w:sz w:val="22"/>
          <w:szCs w:val="22"/>
        </w:rPr>
        <w:fldChar w:fldCharType="separate"/>
      </w:r>
      <w:r w:rsidR="006F4BE5">
        <w:rPr>
          <w:rFonts w:ascii="Times New Roman" w:hAnsi="Times New Roman" w:cs="Times New Roman"/>
          <w:b/>
          <w:bCs/>
          <w:noProof/>
          <w:sz w:val="22"/>
          <w:szCs w:val="22"/>
        </w:rPr>
        <w:t>12</w:t>
      </w:r>
      <w:r w:rsidRPr="00FE0B42">
        <w:rPr>
          <w:rFonts w:ascii="Times New Roman" w:hAnsi="Times New Roman" w:cs="Times New Roman"/>
          <w:b/>
          <w:bCs/>
          <w:sz w:val="22"/>
          <w:szCs w:val="22"/>
        </w:rPr>
        <w:fldChar w:fldCharType="end"/>
      </w:r>
      <w:r w:rsidRPr="00FE0B42">
        <w:rPr>
          <w:rFonts w:ascii="Times New Roman" w:hAnsi="Times New Roman" w:cs="Times New Roman"/>
          <w:b/>
          <w:bCs/>
          <w:sz w:val="22"/>
          <w:szCs w:val="22"/>
        </w:rPr>
        <w:t>.</w:t>
      </w:r>
      <w:r w:rsidRPr="00FE0B42">
        <w:rPr>
          <w:sz w:val="22"/>
          <w:szCs w:val="22"/>
        </w:rPr>
        <w:t xml:space="preserve"> </w:t>
      </w:r>
      <w:r w:rsidR="00156651" w:rsidRPr="00E218AB">
        <w:rPr>
          <w:rFonts w:ascii="Times New Roman" w:hAnsi="Times New Roman" w:cs="Times New Roman"/>
          <w:b/>
          <w:bCs/>
        </w:rPr>
        <w:t>Estado de operaciones del Sector Público No Financiero</w:t>
      </w:r>
      <w:bookmarkEnd w:id="162"/>
    </w:p>
    <w:p w14:paraId="522C90EC" w14:textId="77777777" w:rsidR="00C85EF1" w:rsidRPr="00E218AB" w:rsidRDefault="00C85EF1" w:rsidP="008D7BB4">
      <w:pPr>
        <w:spacing w:line="276" w:lineRule="auto"/>
        <w:contextualSpacing/>
        <w:jc w:val="center"/>
        <w:rPr>
          <w:rFonts w:ascii="Times New Roman" w:hAnsi="Times New Roman" w:cs="Times New Roman"/>
          <w:b/>
          <w:bCs/>
        </w:rPr>
      </w:pPr>
    </w:p>
    <w:tbl>
      <w:tblPr>
        <w:tblW w:w="8525" w:type="dxa"/>
        <w:jc w:val="center"/>
        <w:tblCellMar>
          <w:left w:w="70" w:type="dxa"/>
          <w:right w:w="70" w:type="dxa"/>
        </w:tblCellMar>
        <w:tblLook w:val="04A0" w:firstRow="1" w:lastRow="0" w:firstColumn="1" w:lastColumn="0" w:noHBand="0" w:noVBand="1"/>
      </w:tblPr>
      <w:tblGrid>
        <w:gridCol w:w="3905"/>
        <w:gridCol w:w="1213"/>
        <w:gridCol w:w="1214"/>
        <w:gridCol w:w="1095"/>
        <w:gridCol w:w="1098"/>
      </w:tblGrid>
      <w:tr w:rsidR="00156651" w:rsidRPr="00156651" w14:paraId="3B901B53" w14:textId="77777777" w:rsidTr="00654363">
        <w:trPr>
          <w:trHeight w:val="323"/>
          <w:jc w:val="center"/>
        </w:trPr>
        <w:tc>
          <w:tcPr>
            <w:tcW w:w="3905" w:type="dxa"/>
            <w:vMerge w:val="restart"/>
            <w:tcBorders>
              <w:top w:val="single" w:sz="8" w:space="0" w:color="auto"/>
              <w:left w:val="single" w:sz="8" w:space="0" w:color="auto"/>
              <w:bottom w:val="single" w:sz="8" w:space="0" w:color="000000"/>
              <w:right w:val="nil"/>
            </w:tcBorders>
            <w:shd w:val="clear" w:color="000000" w:fill="44546A"/>
            <w:noWrap/>
            <w:vAlign w:val="center"/>
            <w:hideMark/>
          </w:tcPr>
          <w:p w14:paraId="4F35CF55" w14:textId="77777777" w:rsidR="00156651" w:rsidRPr="00156651" w:rsidRDefault="00156651" w:rsidP="008D7BB4">
            <w:pPr>
              <w:spacing w:line="276" w:lineRule="auto"/>
              <w:contextualSpacing/>
              <w:jc w:val="center"/>
              <w:rPr>
                <w:rFonts w:ascii="Times New Roman" w:eastAsia="Times New Roman" w:hAnsi="Times New Roman" w:cs="Times New Roman"/>
                <w:b/>
                <w:bCs/>
                <w:color w:val="FFFFFF"/>
                <w:sz w:val="22"/>
                <w:szCs w:val="22"/>
                <w:lang w:eastAsia="es-GT"/>
              </w:rPr>
            </w:pPr>
            <w:r w:rsidRPr="00156651">
              <w:rPr>
                <w:rFonts w:ascii="Times New Roman" w:eastAsia="Times New Roman" w:hAnsi="Times New Roman" w:cs="Times New Roman"/>
                <w:b/>
                <w:bCs/>
                <w:color w:val="FFFFFF"/>
                <w:sz w:val="22"/>
                <w:szCs w:val="22"/>
                <w:lang w:eastAsia="es-GT"/>
              </w:rPr>
              <w:t>Descripción</w:t>
            </w:r>
          </w:p>
        </w:tc>
        <w:tc>
          <w:tcPr>
            <w:tcW w:w="2427" w:type="dxa"/>
            <w:gridSpan w:val="2"/>
            <w:tcBorders>
              <w:top w:val="single" w:sz="8" w:space="0" w:color="auto"/>
              <w:left w:val="single" w:sz="8" w:space="0" w:color="auto"/>
              <w:bottom w:val="single" w:sz="8" w:space="0" w:color="auto"/>
              <w:right w:val="single" w:sz="8" w:space="0" w:color="000000"/>
            </w:tcBorders>
            <w:shd w:val="clear" w:color="000000" w:fill="44546A"/>
            <w:vAlign w:val="center"/>
            <w:hideMark/>
          </w:tcPr>
          <w:p w14:paraId="5E5FBF74" w14:textId="77777777" w:rsidR="00156651" w:rsidRPr="00156651" w:rsidRDefault="00156651" w:rsidP="008D7BB4">
            <w:pPr>
              <w:spacing w:line="276" w:lineRule="auto"/>
              <w:contextualSpacing/>
              <w:jc w:val="center"/>
              <w:rPr>
                <w:rFonts w:ascii="Times New Roman" w:eastAsia="Times New Roman" w:hAnsi="Times New Roman" w:cs="Times New Roman"/>
                <w:b/>
                <w:bCs/>
                <w:color w:val="FFFFFF"/>
                <w:sz w:val="22"/>
                <w:szCs w:val="22"/>
                <w:lang w:eastAsia="es-GT"/>
              </w:rPr>
            </w:pPr>
            <w:r w:rsidRPr="00156651">
              <w:rPr>
                <w:rFonts w:ascii="Times New Roman" w:eastAsia="Times New Roman" w:hAnsi="Times New Roman" w:cs="Times New Roman"/>
                <w:b/>
                <w:bCs/>
                <w:color w:val="FFFFFF"/>
                <w:sz w:val="22"/>
                <w:szCs w:val="22"/>
                <w:lang w:eastAsia="es-GT"/>
              </w:rPr>
              <w:t>En millones de Q</w:t>
            </w:r>
          </w:p>
        </w:tc>
        <w:tc>
          <w:tcPr>
            <w:tcW w:w="2193" w:type="dxa"/>
            <w:gridSpan w:val="2"/>
            <w:tcBorders>
              <w:top w:val="single" w:sz="8" w:space="0" w:color="auto"/>
              <w:left w:val="nil"/>
              <w:bottom w:val="single" w:sz="8" w:space="0" w:color="auto"/>
              <w:right w:val="single" w:sz="8" w:space="0" w:color="000000"/>
            </w:tcBorders>
            <w:shd w:val="clear" w:color="000000" w:fill="44546A"/>
            <w:vAlign w:val="center"/>
            <w:hideMark/>
          </w:tcPr>
          <w:p w14:paraId="1A409B3C" w14:textId="77777777" w:rsidR="00156651" w:rsidRPr="00156651" w:rsidRDefault="00156651" w:rsidP="008D7BB4">
            <w:pPr>
              <w:spacing w:line="276" w:lineRule="auto"/>
              <w:contextualSpacing/>
              <w:jc w:val="center"/>
              <w:rPr>
                <w:rFonts w:ascii="Times New Roman" w:eastAsia="Times New Roman" w:hAnsi="Times New Roman" w:cs="Times New Roman"/>
                <w:b/>
                <w:bCs/>
                <w:color w:val="FFFFFF"/>
                <w:sz w:val="22"/>
                <w:szCs w:val="22"/>
                <w:lang w:eastAsia="es-GT"/>
              </w:rPr>
            </w:pPr>
            <w:r w:rsidRPr="00156651">
              <w:rPr>
                <w:rFonts w:ascii="Times New Roman" w:eastAsia="Times New Roman" w:hAnsi="Times New Roman" w:cs="Times New Roman"/>
                <w:b/>
                <w:bCs/>
                <w:color w:val="FFFFFF"/>
                <w:sz w:val="22"/>
                <w:szCs w:val="22"/>
                <w:lang w:eastAsia="es-GT"/>
              </w:rPr>
              <w:t>Como porcentaje del PIB</w:t>
            </w:r>
          </w:p>
        </w:tc>
      </w:tr>
      <w:tr w:rsidR="00156651" w:rsidRPr="00156651" w14:paraId="680350BB" w14:textId="77777777" w:rsidTr="00654363">
        <w:trPr>
          <w:trHeight w:val="238"/>
          <w:jc w:val="center"/>
        </w:trPr>
        <w:tc>
          <w:tcPr>
            <w:tcW w:w="3905" w:type="dxa"/>
            <w:vMerge/>
            <w:tcBorders>
              <w:top w:val="single" w:sz="8" w:space="0" w:color="auto"/>
              <w:left w:val="single" w:sz="8" w:space="0" w:color="auto"/>
              <w:bottom w:val="single" w:sz="8" w:space="0" w:color="000000"/>
              <w:right w:val="nil"/>
            </w:tcBorders>
            <w:vAlign w:val="center"/>
            <w:hideMark/>
          </w:tcPr>
          <w:p w14:paraId="2275006B" w14:textId="77777777" w:rsidR="00156651" w:rsidRPr="00156651" w:rsidRDefault="00156651" w:rsidP="008D7BB4">
            <w:pPr>
              <w:spacing w:line="276" w:lineRule="auto"/>
              <w:contextualSpacing/>
              <w:rPr>
                <w:rFonts w:ascii="Times New Roman" w:eastAsia="Times New Roman" w:hAnsi="Times New Roman" w:cs="Times New Roman"/>
                <w:b/>
                <w:bCs/>
                <w:color w:val="FFFFFF"/>
                <w:sz w:val="22"/>
                <w:szCs w:val="22"/>
                <w:lang w:eastAsia="es-GT"/>
              </w:rPr>
            </w:pPr>
          </w:p>
        </w:tc>
        <w:tc>
          <w:tcPr>
            <w:tcW w:w="1213" w:type="dxa"/>
            <w:tcBorders>
              <w:top w:val="nil"/>
              <w:left w:val="single" w:sz="8" w:space="0" w:color="auto"/>
              <w:bottom w:val="single" w:sz="8" w:space="0" w:color="auto"/>
              <w:right w:val="nil"/>
            </w:tcBorders>
            <w:shd w:val="clear" w:color="000000" w:fill="808080"/>
            <w:vAlign w:val="center"/>
            <w:hideMark/>
          </w:tcPr>
          <w:p w14:paraId="7D9DC45C" w14:textId="77777777" w:rsidR="00156651" w:rsidRPr="00156651" w:rsidRDefault="00156651" w:rsidP="008D7BB4">
            <w:pPr>
              <w:spacing w:line="276" w:lineRule="auto"/>
              <w:contextualSpacing/>
              <w:jc w:val="center"/>
              <w:rPr>
                <w:rFonts w:ascii="Times New Roman" w:eastAsia="Times New Roman" w:hAnsi="Times New Roman" w:cs="Times New Roman"/>
                <w:b/>
                <w:bCs/>
                <w:color w:val="FFFFFF"/>
                <w:sz w:val="22"/>
                <w:szCs w:val="22"/>
                <w:lang w:eastAsia="es-GT"/>
              </w:rPr>
            </w:pPr>
            <w:r w:rsidRPr="00156651">
              <w:rPr>
                <w:rFonts w:ascii="Times New Roman" w:eastAsia="Times New Roman" w:hAnsi="Times New Roman" w:cs="Times New Roman"/>
                <w:b/>
                <w:bCs/>
                <w:color w:val="FFFFFF"/>
                <w:sz w:val="22"/>
                <w:szCs w:val="22"/>
                <w:lang w:eastAsia="es-GT"/>
              </w:rPr>
              <w:t>2021</w:t>
            </w:r>
          </w:p>
        </w:tc>
        <w:tc>
          <w:tcPr>
            <w:tcW w:w="1214" w:type="dxa"/>
            <w:tcBorders>
              <w:top w:val="nil"/>
              <w:left w:val="nil"/>
              <w:bottom w:val="single" w:sz="8" w:space="0" w:color="auto"/>
              <w:right w:val="single" w:sz="8" w:space="0" w:color="auto"/>
            </w:tcBorders>
            <w:shd w:val="clear" w:color="000000" w:fill="808080"/>
            <w:vAlign w:val="center"/>
            <w:hideMark/>
          </w:tcPr>
          <w:p w14:paraId="2883062B" w14:textId="77777777" w:rsidR="00156651" w:rsidRPr="00156651" w:rsidRDefault="00156651" w:rsidP="008D7BB4">
            <w:pPr>
              <w:spacing w:line="276" w:lineRule="auto"/>
              <w:contextualSpacing/>
              <w:jc w:val="center"/>
              <w:rPr>
                <w:rFonts w:ascii="Times New Roman" w:eastAsia="Times New Roman" w:hAnsi="Times New Roman" w:cs="Times New Roman"/>
                <w:b/>
                <w:bCs/>
                <w:color w:val="FFFFFF"/>
                <w:sz w:val="22"/>
                <w:szCs w:val="22"/>
                <w:lang w:eastAsia="es-GT"/>
              </w:rPr>
            </w:pPr>
            <w:r w:rsidRPr="00156651">
              <w:rPr>
                <w:rFonts w:ascii="Times New Roman" w:eastAsia="Times New Roman" w:hAnsi="Times New Roman" w:cs="Times New Roman"/>
                <w:b/>
                <w:bCs/>
                <w:color w:val="FFFFFF"/>
                <w:sz w:val="22"/>
                <w:szCs w:val="22"/>
                <w:lang w:eastAsia="es-GT"/>
              </w:rPr>
              <w:t>2022*</w:t>
            </w:r>
          </w:p>
        </w:tc>
        <w:tc>
          <w:tcPr>
            <w:tcW w:w="1095" w:type="dxa"/>
            <w:tcBorders>
              <w:top w:val="nil"/>
              <w:left w:val="nil"/>
              <w:bottom w:val="single" w:sz="8" w:space="0" w:color="auto"/>
              <w:right w:val="nil"/>
            </w:tcBorders>
            <w:shd w:val="clear" w:color="000000" w:fill="808080"/>
            <w:vAlign w:val="center"/>
            <w:hideMark/>
          </w:tcPr>
          <w:p w14:paraId="45906621" w14:textId="77777777" w:rsidR="00156651" w:rsidRPr="00156651" w:rsidRDefault="00156651" w:rsidP="008D7BB4">
            <w:pPr>
              <w:spacing w:line="276" w:lineRule="auto"/>
              <w:contextualSpacing/>
              <w:jc w:val="center"/>
              <w:rPr>
                <w:rFonts w:ascii="Times New Roman" w:eastAsia="Times New Roman" w:hAnsi="Times New Roman" w:cs="Times New Roman"/>
                <w:b/>
                <w:bCs/>
                <w:color w:val="FFFFFF"/>
                <w:sz w:val="22"/>
                <w:szCs w:val="22"/>
                <w:lang w:eastAsia="es-GT"/>
              </w:rPr>
            </w:pPr>
            <w:r w:rsidRPr="00156651">
              <w:rPr>
                <w:rFonts w:ascii="Times New Roman" w:eastAsia="Times New Roman" w:hAnsi="Times New Roman" w:cs="Times New Roman"/>
                <w:b/>
                <w:bCs/>
                <w:color w:val="FFFFFF"/>
                <w:sz w:val="22"/>
                <w:szCs w:val="22"/>
                <w:lang w:eastAsia="es-GT"/>
              </w:rPr>
              <w:t>2021</w:t>
            </w:r>
          </w:p>
        </w:tc>
        <w:tc>
          <w:tcPr>
            <w:tcW w:w="1098" w:type="dxa"/>
            <w:tcBorders>
              <w:top w:val="nil"/>
              <w:left w:val="nil"/>
              <w:bottom w:val="single" w:sz="8" w:space="0" w:color="auto"/>
              <w:right w:val="single" w:sz="8" w:space="0" w:color="auto"/>
            </w:tcBorders>
            <w:shd w:val="clear" w:color="000000" w:fill="808080"/>
            <w:vAlign w:val="center"/>
            <w:hideMark/>
          </w:tcPr>
          <w:p w14:paraId="4FAAD6E8" w14:textId="77777777" w:rsidR="00156651" w:rsidRPr="00156651" w:rsidRDefault="00156651" w:rsidP="008D7BB4">
            <w:pPr>
              <w:spacing w:line="276" w:lineRule="auto"/>
              <w:contextualSpacing/>
              <w:jc w:val="center"/>
              <w:rPr>
                <w:rFonts w:ascii="Times New Roman" w:eastAsia="Times New Roman" w:hAnsi="Times New Roman" w:cs="Times New Roman"/>
                <w:b/>
                <w:bCs/>
                <w:color w:val="FFFFFF"/>
                <w:sz w:val="22"/>
                <w:szCs w:val="22"/>
                <w:lang w:eastAsia="es-GT"/>
              </w:rPr>
            </w:pPr>
            <w:r w:rsidRPr="00156651">
              <w:rPr>
                <w:rFonts w:ascii="Times New Roman" w:eastAsia="Times New Roman" w:hAnsi="Times New Roman" w:cs="Times New Roman"/>
                <w:b/>
                <w:bCs/>
                <w:color w:val="FFFFFF"/>
                <w:sz w:val="22"/>
                <w:szCs w:val="22"/>
                <w:lang w:eastAsia="es-GT"/>
              </w:rPr>
              <w:t>2022*</w:t>
            </w:r>
          </w:p>
        </w:tc>
      </w:tr>
      <w:tr w:rsidR="00156651" w:rsidRPr="00156651" w14:paraId="0AC91FF3" w14:textId="77777777" w:rsidTr="00654363">
        <w:trPr>
          <w:trHeight w:val="238"/>
          <w:jc w:val="center"/>
        </w:trPr>
        <w:tc>
          <w:tcPr>
            <w:tcW w:w="3905" w:type="dxa"/>
            <w:tcBorders>
              <w:top w:val="nil"/>
              <w:left w:val="nil"/>
              <w:bottom w:val="nil"/>
              <w:right w:val="nil"/>
            </w:tcBorders>
            <w:shd w:val="clear" w:color="auto" w:fill="auto"/>
            <w:noWrap/>
            <w:vAlign w:val="center"/>
            <w:hideMark/>
          </w:tcPr>
          <w:p w14:paraId="623CF697" w14:textId="77777777" w:rsidR="00156651" w:rsidRPr="00156651" w:rsidRDefault="00156651" w:rsidP="008D7BB4">
            <w:pPr>
              <w:spacing w:line="276" w:lineRule="auto"/>
              <w:contextualSpacing/>
              <w:jc w:val="both"/>
              <w:rPr>
                <w:rFonts w:ascii="Times New Roman" w:eastAsia="Times New Roman" w:hAnsi="Times New Roman" w:cs="Times New Roman"/>
                <w:b/>
                <w:bCs/>
                <w:color w:val="000000"/>
                <w:sz w:val="22"/>
                <w:szCs w:val="22"/>
                <w:lang w:eastAsia="es-GT"/>
              </w:rPr>
            </w:pPr>
            <w:r w:rsidRPr="00156651">
              <w:rPr>
                <w:rFonts w:ascii="Times New Roman" w:eastAsia="Times New Roman" w:hAnsi="Times New Roman" w:cs="Times New Roman"/>
                <w:b/>
                <w:bCs/>
                <w:color w:val="000000"/>
                <w:sz w:val="22"/>
                <w:szCs w:val="22"/>
                <w:lang w:eastAsia="es-GT"/>
              </w:rPr>
              <w:t>INGRESO</w:t>
            </w:r>
          </w:p>
        </w:tc>
        <w:tc>
          <w:tcPr>
            <w:tcW w:w="1213" w:type="dxa"/>
            <w:tcBorders>
              <w:top w:val="nil"/>
              <w:left w:val="nil"/>
              <w:bottom w:val="nil"/>
              <w:right w:val="nil"/>
            </w:tcBorders>
            <w:shd w:val="clear" w:color="auto" w:fill="auto"/>
            <w:noWrap/>
            <w:vAlign w:val="center"/>
          </w:tcPr>
          <w:p w14:paraId="57CCE4D5"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156651">
              <w:rPr>
                <w:rFonts w:ascii="Times New Roman" w:hAnsi="Times New Roman" w:cs="Times New Roman"/>
                <w:b/>
                <w:bCs/>
                <w:color w:val="000000"/>
                <w:sz w:val="22"/>
                <w:szCs w:val="22"/>
              </w:rPr>
              <w:t>113,359.5</w:t>
            </w:r>
          </w:p>
        </w:tc>
        <w:tc>
          <w:tcPr>
            <w:tcW w:w="1214" w:type="dxa"/>
            <w:tcBorders>
              <w:top w:val="nil"/>
              <w:left w:val="nil"/>
              <w:bottom w:val="nil"/>
              <w:right w:val="nil"/>
            </w:tcBorders>
            <w:shd w:val="clear" w:color="auto" w:fill="auto"/>
            <w:noWrap/>
            <w:vAlign w:val="center"/>
          </w:tcPr>
          <w:p w14:paraId="6A73A162"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156651">
              <w:rPr>
                <w:rFonts w:ascii="Times New Roman" w:hAnsi="Times New Roman" w:cs="Times New Roman"/>
                <w:b/>
                <w:bCs/>
                <w:color w:val="000000"/>
                <w:sz w:val="22"/>
                <w:szCs w:val="22"/>
              </w:rPr>
              <w:t>126,323.6</w:t>
            </w:r>
          </w:p>
        </w:tc>
        <w:tc>
          <w:tcPr>
            <w:tcW w:w="1095" w:type="dxa"/>
            <w:tcBorders>
              <w:top w:val="nil"/>
              <w:left w:val="dotDash" w:sz="4" w:space="0" w:color="auto"/>
              <w:bottom w:val="nil"/>
              <w:right w:val="nil"/>
            </w:tcBorders>
            <w:shd w:val="clear" w:color="auto" w:fill="auto"/>
            <w:noWrap/>
            <w:vAlign w:val="center"/>
          </w:tcPr>
          <w:p w14:paraId="71031CEB"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156651">
              <w:rPr>
                <w:rFonts w:ascii="Times New Roman" w:hAnsi="Times New Roman" w:cs="Times New Roman"/>
                <w:b/>
                <w:bCs/>
                <w:color w:val="000000"/>
                <w:sz w:val="22"/>
                <w:szCs w:val="22"/>
              </w:rPr>
              <w:t>17.0</w:t>
            </w:r>
          </w:p>
        </w:tc>
        <w:tc>
          <w:tcPr>
            <w:tcW w:w="1098" w:type="dxa"/>
            <w:tcBorders>
              <w:top w:val="nil"/>
              <w:left w:val="nil"/>
              <w:bottom w:val="nil"/>
              <w:right w:val="nil"/>
            </w:tcBorders>
            <w:shd w:val="clear" w:color="auto" w:fill="auto"/>
            <w:noWrap/>
            <w:vAlign w:val="center"/>
          </w:tcPr>
          <w:p w14:paraId="1F7947ED"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156651">
              <w:rPr>
                <w:rFonts w:ascii="Times New Roman" w:hAnsi="Times New Roman" w:cs="Times New Roman"/>
                <w:b/>
                <w:bCs/>
                <w:color w:val="000000"/>
                <w:sz w:val="22"/>
                <w:szCs w:val="22"/>
              </w:rPr>
              <w:t>17.2</w:t>
            </w:r>
          </w:p>
        </w:tc>
      </w:tr>
      <w:tr w:rsidR="00156651" w:rsidRPr="00156651" w14:paraId="7DB0F525" w14:textId="77777777" w:rsidTr="00654363">
        <w:trPr>
          <w:trHeight w:val="238"/>
          <w:jc w:val="center"/>
        </w:trPr>
        <w:tc>
          <w:tcPr>
            <w:tcW w:w="3905" w:type="dxa"/>
            <w:tcBorders>
              <w:top w:val="nil"/>
              <w:left w:val="nil"/>
              <w:bottom w:val="nil"/>
              <w:right w:val="nil"/>
            </w:tcBorders>
            <w:shd w:val="clear" w:color="auto" w:fill="auto"/>
            <w:noWrap/>
            <w:vAlign w:val="center"/>
            <w:hideMark/>
          </w:tcPr>
          <w:p w14:paraId="60DB6060" w14:textId="77777777" w:rsidR="00156651" w:rsidRPr="00156651" w:rsidRDefault="00156651" w:rsidP="008D7BB4">
            <w:pPr>
              <w:spacing w:line="276" w:lineRule="auto"/>
              <w:ind w:firstLineChars="100" w:firstLine="220"/>
              <w:contextualSpacing/>
              <w:rPr>
                <w:rFonts w:ascii="Times New Roman" w:eastAsia="Times New Roman" w:hAnsi="Times New Roman" w:cs="Times New Roman"/>
                <w:color w:val="000000"/>
                <w:sz w:val="22"/>
                <w:szCs w:val="22"/>
                <w:lang w:eastAsia="es-GT"/>
              </w:rPr>
            </w:pPr>
            <w:r w:rsidRPr="00156651">
              <w:rPr>
                <w:rFonts w:ascii="Times New Roman" w:eastAsia="Times New Roman" w:hAnsi="Times New Roman" w:cs="Times New Roman"/>
                <w:color w:val="000000"/>
                <w:sz w:val="22"/>
                <w:szCs w:val="22"/>
                <w:lang w:eastAsia="es-GT"/>
              </w:rPr>
              <w:t>Impuestos</w:t>
            </w:r>
          </w:p>
        </w:tc>
        <w:tc>
          <w:tcPr>
            <w:tcW w:w="1213" w:type="dxa"/>
            <w:tcBorders>
              <w:top w:val="nil"/>
              <w:left w:val="nil"/>
              <w:bottom w:val="nil"/>
              <w:right w:val="nil"/>
            </w:tcBorders>
            <w:shd w:val="clear" w:color="auto" w:fill="auto"/>
            <w:noWrap/>
            <w:vAlign w:val="center"/>
          </w:tcPr>
          <w:p w14:paraId="5B0D3E6E"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81,358.2</w:t>
            </w:r>
          </w:p>
        </w:tc>
        <w:tc>
          <w:tcPr>
            <w:tcW w:w="1214" w:type="dxa"/>
            <w:tcBorders>
              <w:top w:val="nil"/>
              <w:left w:val="nil"/>
              <w:bottom w:val="nil"/>
              <w:right w:val="nil"/>
            </w:tcBorders>
            <w:shd w:val="clear" w:color="auto" w:fill="auto"/>
            <w:noWrap/>
            <w:vAlign w:val="center"/>
          </w:tcPr>
          <w:p w14:paraId="2620EFF5"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92,116.1</w:t>
            </w:r>
          </w:p>
        </w:tc>
        <w:tc>
          <w:tcPr>
            <w:tcW w:w="1095" w:type="dxa"/>
            <w:tcBorders>
              <w:top w:val="nil"/>
              <w:left w:val="dotDash" w:sz="4" w:space="0" w:color="auto"/>
              <w:bottom w:val="nil"/>
              <w:right w:val="nil"/>
            </w:tcBorders>
            <w:shd w:val="clear" w:color="auto" w:fill="auto"/>
            <w:noWrap/>
            <w:vAlign w:val="center"/>
          </w:tcPr>
          <w:p w14:paraId="58A2565B"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12.2</w:t>
            </w:r>
          </w:p>
        </w:tc>
        <w:tc>
          <w:tcPr>
            <w:tcW w:w="1098" w:type="dxa"/>
            <w:tcBorders>
              <w:top w:val="nil"/>
              <w:left w:val="nil"/>
              <w:bottom w:val="nil"/>
              <w:right w:val="nil"/>
            </w:tcBorders>
            <w:shd w:val="clear" w:color="auto" w:fill="auto"/>
            <w:noWrap/>
            <w:vAlign w:val="center"/>
          </w:tcPr>
          <w:p w14:paraId="66D7BE6B"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12.6</w:t>
            </w:r>
          </w:p>
        </w:tc>
      </w:tr>
      <w:tr w:rsidR="00156651" w:rsidRPr="00156651" w14:paraId="6D331B87" w14:textId="77777777" w:rsidTr="00654363">
        <w:trPr>
          <w:trHeight w:val="238"/>
          <w:jc w:val="center"/>
        </w:trPr>
        <w:tc>
          <w:tcPr>
            <w:tcW w:w="3905" w:type="dxa"/>
            <w:tcBorders>
              <w:top w:val="nil"/>
              <w:left w:val="nil"/>
              <w:bottom w:val="nil"/>
              <w:right w:val="nil"/>
            </w:tcBorders>
            <w:shd w:val="clear" w:color="auto" w:fill="auto"/>
            <w:noWrap/>
            <w:vAlign w:val="center"/>
            <w:hideMark/>
          </w:tcPr>
          <w:p w14:paraId="08B98A53" w14:textId="77777777" w:rsidR="00156651" w:rsidRPr="00156651" w:rsidRDefault="00156651" w:rsidP="008D7BB4">
            <w:pPr>
              <w:spacing w:line="276" w:lineRule="auto"/>
              <w:ind w:firstLineChars="100" w:firstLine="220"/>
              <w:contextualSpacing/>
              <w:rPr>
                <w:rFonts w:ascii="Times New Roman" w:eastAsia="Times New Roman" w:hAnsi="Times New Roman" w:cs="Times New Roman"/>
                <w:color w:val="000000"/>
                <w:sz w:val="22"/>
                <w:szCs w:val="22"/>
                <w:lang w:eastAsia="es-GT"/>
              </w:rPr>
            </w:pPr>
            <w:r w:rsidRPr="00156651">
              <w:rPr>
                <w:rFonts w:ascii="Times New Roman" w:eastAsia="Times New Roman" w:hAnsi="Times New Roman" w:cs="Times New Roman"/>
                <w:color w:val="000000"/>
                <w:sz w:val="22"/>
                <w:szCs w:val="22"/>
                <w:lang w:eastAsia="es-GT"/>
              </w:rPr>
              <w:t xml:space="preserve">Contribuciones sociales </w:t>
            </w:r>
          </w:p>
        </w:tc>
        <w:tc>
          <w:tcPr>
            <w:tcW w:w="1213" w:type="dxa"/>
            <w:tcBorders>
              <w:top w:val="nil"/>
              <w:left w:val="nil"/>
              <w:bottom w:val="nil"/>
              <w:right w:val="nil"/>
            </w:tcBorders>
            <w:shd w:val="clear" w:color="auto" w:fill="auto"/>
            <w:noWrap/>
            <w:vAlign w:val="center"/>
          </w:tcPr>
          <w:p w14:paraId="50FC4B9F"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18,583.0</w:t>
            </w:r>
          </w:p>
        </w:tc>
        <w:tc>
          <w:tcPr>
            <w:tcW w:w="1214" w:type="dxa"/>
            <w:tcBorders>
              <w:top w:val="nil"/>
              <w:left w:val="nil"/>
              <w:bottom w:val="nil"/>
              <w:right w:val="nil"/>
            </w:tcBorders>
            <w:shd w:val="clear" w:color="auto" w:fill="auto"/>
            <w:noWrap/>
            <w:vAlign w:val="center"/>
          </w:tcPr>
          <w:p w14:paraId="79EDF8D0"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19,947.4</w:t>
            </w:r>
          </w:p>
        </w:tc>
        <w:tc>
          <w:tcPr>
            <w:tcW w:w="1095" w:type="dxa"/>
            <w:tcBorders>
              <w:top w:val="nil"/>
              <w:left w:val="dotDash" w:sz="4" w:space="0" w:color="auto"/>
              <w:bottom w:val="nil"/>
              <w:right w:val="nil"/>
            </w:tcBorders>
            <w:shd w:val="clear" w:color="auto" w:fill="auto"/>
            <w:noWrap/>
            <w:vAlign w:val="center"/>
          </w:tcPr>
          <w:p w14:paraId="396F2C8A"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2.8</w:t>
            </w:r>
          </w:p>
        </w:tc>
        <w:tc>
          <w:tcPr>
            <w:tcW w:w="1098" w:type="dxa"/>
            <w:tcBorders>
              <w:top w:val="nil"/>
              <w:left w:val="nil"/>
              <w:bottom w:val="nil"/>
              <w:right w:val="nil"/>
            </w:tcBorders>
            <w:shd w:val="clear" w:color="auto" w:fill="auto"/>
            <w:noWrap/>
            <w:vAlign w:val="center"/>
          </w:tcPr>
          <w:p w14:paraId="790C700A"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2.7</w:t>
            </w:r>
          </w:p>
        </w:tc>
      </w:tr>
      <w:tr w:rsidR="00156651" w:rsidRPr="00156651" w14:paraId="6717B54E" w14:textId="77777777" w:rsidTr="00654363">
        <w:trPr>
          <w:trHeight w:val="238"/>
          <w:jc w:val="center"/>
        </w:trPr>
        <w:tc>
          <w:tcPr>
            <w:tcW w:w="3905" w:type="dxa"/>
            <w:tcBorders>
              <w:top w:val="nil"/>
              <w:left w:val="nil"/>
              <w:bottom w:val="nil"/>
              <w:right w:val="nil"/>
            </w:tcBorders>
            <w:shd w:val="clear" w:color="auto" w:fill="auto"/>
            <w:noWrap/>
            <w:vAlign w:val="center"/>
            <w:hideMark/>
          </w:tcPr>
          <w:p w14:paraId="5CB3F976" w14:textId="77777777" w:rsidR="00156651" w:rsidRPr="00156651" w:rsidRDefault="00156651" w:rsidP="008D7BB4">
            <w:pPr>
              <w:spacing w:line="276" w:lineRule="auto"/>
              <w:ind w:firstLineChars="100" w:firstLine="220"/>
              <w:contextualSpacing/>
              <w:rPr>
                <w:rFonts w:ascii="Times New Roman" w:eastAsia="Times New Roman" w:hAnsi="Times New Roman" w:cs="Times New Roman"/>
                <w:color w:val="000000"/>
                <w:sz w:val="22"/>
                <w:szCs w:val="22"/>
                <w:lang w:eastAsia="es-GT"/>
              </w:rPr>
            </w:pPr>
            <w:r w:rsidRPr="00156651">
              <w:rPr>
                <w:rFonts w:ascii="Times New Roman" w:eastAsia="Times New Roman" w:hAnsi="Times New Roman" w:cs="Times New Roman"/>
                <w:color w:val="000000"/>
                <w:sz w:val="22"/>
                <w:szCs w:val="22"/>
                <w:lang w:eastAsia="es-GT"/>
              </w:rPr>
              <w:t>Donaciones</w:t>
            </w:r>
          </w:p>
        </w:tc>
        <w:tc>
          <w:tcPr>
            <w:tcW w:w="1213" w:type="dxa"/>
            <w:tcBorders>
              <w:top w:val="nil"/>
              <w:left w:val="nil"/>
              <w:bottom w:val="nil"/>
              <w:right w:val="nil"/>
            </w:tcBorders>
            <w:shd w:val="clear" w:color="auto" w:fill="auto"/>
            <w:noWrap/>
            <w:vAlign w:val="center"/>
          </w:tcPr>
          <w:p w14:paraId="7F760199"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285.6</w:t>
            </w:r>
          </w:p>
        </w:tc>
        <w:tc>
          <w:tcPr>
            <w:tcW w:w="1214" w:type="dxa"/>
            <w:tcBorders>
              <w:top w:val="nil"/>
              <w:left w:val="nil"/>
              <w:bottom w:val="nil"/>
              <w:right w:val="nil"/>
            </w:tcBorders>
            <w:shd w:val="clear" w:color="auto" w:fill="auto"/>
            <w:noWrap/>
            <w:vAlign w:val="center"/>
          </w:tcPr>
          <w:p w14:paraId="6D2853B3"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168.6</w:t>
            </w:r>
          </w:p>
        </w:tc>
        <w:tc>
          <w:tcPr>
            <w:tcW w:w="1095" w:type="dxa"/>
            <w:tcBorders>
              <w:top w:val="nil"/>
              <w:left w:val="dotDash" w:sz="4" w:space="0" w:color="auto"/>
              <w:bottom w:val="nil"/>
              <w:right w:val="nil"/>
            </w:tcBorders>
            <w:shd w:val="clear" w:color="auto" w:fill="auto"/>
            <w:noWrap/>
            <w:vAlign w:val="center"/>
          </w:tcPr>
          <w:p w14:paraId="3F1FE374"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0.0</w:t>
            </w:r>
          </w:p>
        </w:tc>
        <w:tc>
          <w:tcPr>
            <w:tcW w:w="1098" w:type="dxa"/>
            <w:tcBorders>
              <w:top w:val="nil"/>
              <w:left w:val="nil"/>
              <w:bottom w:val="nil"/>
              <w:right w:val="nil"/>
            </w:tcBorders>
            <w:shd w:val="clear" w:color="auto" w:fill="auto"/>
            <w:noWrap/>
            <w:vAlign w:val="center"/>
          </w:tcPr>
          <w:p w14:paraId="4565A27F"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0.0</w:t>
            </w:r>
          </w:p>
        </w:tc>
      </w:tr>
      <w:tr w:rsidR="00156651" w:rsidRPr="00156651" w14:paraId="1C8AB5FE" w14:textId="77777777" w:rsidTr="00654363">
        <w:trPr>
          <w:trHeight w:val="238"/>
          <w:jc w:val="center"/>
        </w:trPr>
        <w:tc>
          <w:tcPr>
            <w:tcW w:w="3905" w:type="dxa"/>
            <w:tcBorders>
              <w:top w:val="nil"/>
              <w:left w:val="nil"/>
              <w:bottom w:val="nil"/>
              <w:right w:val="nil"/>
            </w:tcBorders>
            <w:shd w:val="clear" w:color="auto" w:fill="auto"/>
            <w:noWrap/>
            <w:vAlign w:val="center"/>
            <w:hideMark/>
          </w:tcPr>
          <w:p w14:paraId="13936301" w14:textId="77777777" w:rsidR="00156651" w:rsidRPr="00156651" w:rsidRDefault="00156651" w:rsidP="008D7BB4">
            <w:pPr>
              <w:spacing w:line="276" w:lineRule="auto"/>
              <w:ind w:firstLineChars="100" w:firstLine="220"/>
              <w:contextualSpacing/>
              <w:rPr>
                <w:rFonts w:ascii="Times New Roman" w:eastAsia="Times New Roman" w:hAnsi="Times New Roman" w:cs="Times New Roman"/>
                <w:color w:val="000000"/>
                <w:sz w:val="22"/>
                <w:szCs w:val="22"/>
                <w:lang w:eastAsia="es-GT"/>
              </w:rPr>
            </w:pPr>
            <w:r w:rsidRPr="00156651">
              <w:rPr>
                <w:rFonts w:ascii="Times New Roman" w:eastAsia="Times New Roman" w:hAnsi="Times New Roman" w:cs="Times New Roman"/>
                <w:color w:val="000000"/>
                <w:sz w:val="22"/>
                <w:szCs w:val="22"/>
                <w:lang w:eastAsia="es-GT"/>
              </w:rPr>
              <w:t xml:space="preserve">Otros ingresos </w:t>
            </w:r>
          </w:p>
        </w:tc>
        <w:tc>
          <w:tcPr>
            <w:tcW w:w="1213" w:type="dxa"/>
            <w:tcBorders>
              <w:top w:val="nil"/>
              <w:left w:val="nil"/>
              <w:bottom w:val="nil"/>
              <w:right w:val="nil"/>
            </w:tcBorders>
            <w:shd w:val="clear" w:color="auto" w:fill="auto"/>
            <w:noWrap/>
            <w:vAlign w:val="center"/>
          </w:tcPr>
          <w:p w14:paraId="1849E5E6"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13,132.7</w:t>
            </w:r>
          </w:p>
        </w:tc>
        <w:tc>
          <w:tcPr>
            <w:tcW w:w="1214" w:type="dxa"/>
            <w:tcBorders>
              <w:top w:val="nil"/>
              <w:left w:val="nil"/>
              <w:bottom w:val="nil"/>
              <w:right w:val="nil"/>
            </w:tcBorders>
            <w:shd w:val="clear" w:color="auto" w:fill="auto"/>
            <w:noWrap/>
            <w:vAlign w:val="center"/>
          </w:tcPr>
          <w:p w14:paraId="6605556F"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14,091.5</w:t>
            </w:r>
          </w:p>
        </w:tc>
        <w:tc>
          <w:tcPr>
            <w:tcW w:w="1095" w:type="dxa"/>
            <w:tcBorders>
              <w:top w:val="nil"/>
              <w:left w:val="dotDash" w:sz="4" w:space="0" w:color="auto"/>
              <w:bottom w:val="nil"/>
              <w:right w:val="nil"/>
            </w:tcBorders>
            <w:shd w:val="clear" w:color="auto" w:fill="auto"/>
            <w:noWrap/>
            <w:vAlign w:val="center"/>
          </w:tcPr>
          <w:p w14:paraId="75AB7BF5"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2.0</w:t>
            </w:r>
          </w:p>
        </w:tc>
        <w:tc>
          <w:tcPr>
            <w:tcW w:w="1098" w:type="dxa"/>
            <w:tcBorders>
              <w:top w:val="nil"/>
              <w:left w:val="nil"/>
              <w:bottom w:val="nil"/>
              <w:right w:val="nil"/>
            </w:tcBorders>
            <w:shd w:val="clear" w:color="auto" w:fill="auto"/>
            <w:noWrap/>
            <w:vAlign w:val="center"/>
          </w:tcPr>
          <w:p w14:paraId="4EBF50C7"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1.9</w:t>
            </w:r>
          </w:p>
        </w:tc>
      </w:tr>
      <w:tr w:rsidR="00156651" w:rsidRPr="00156651" w14:paraId="173F7AE7" w14:textId="77777777" w:rsidTr="00654363">
        <w:trPr>
          <w:trHeight w:val="238"/>
          <w:jc w:val="center"/>
        </w:trPr>
        <w:tc>
          <w:tcPr>
            <w:tcW w:w="3905" w:type="dxa"/>
            <w:tcBorders>
              <w:top w:val="nil"/>
              <w:left w:val="nil"/>
              <w:bottom w:val="nil"/>
              <w:right w:val="nil"/>
            </w:tcBorders>
            <w:shd w:val="clear" w:color="auto" w:fill="auto"/>
            <w:noWrap/>
            <w:vAlign w:val="center"/>
            <w:hideMark/>
          </w:tcPr>
          <w:p w14:paraId="107480A2" w14:textId="77777777" w:rsidR="00156651" w:rsidRPr="00156651" w:rsidRDefault="00156651" w:rsidP="008D7BB4">
            <w:pPr>
              <w:spacing w:line="276" w:lineRule="auto"/>
              <w:contextualSpacing/>
              <w:jc w:val="both"/>
              <w:rPr>
                <w:rFonts w:ascii="Times New Roman" w:eastAsia="Times New Roman" w:hAnsi="Times New Roman" w:cs="Times New Roman"/>
                <w:b/>
                <w:bCs/>
                <w:color w:val="000000"/>
                <w:sz w:val="22"/>
                <w:szCs w:val="22"/>
                <w:lang w:eastAsia="es-GT"/>
              </w:rPr>
            </w:pPr>
            <w:r w:rsidRPr="00156651">
              <w:rPr>
                <w:rFonts w:ascii="Times New Roman" w:eastAsia="Times New Roman" w:hAnsi="Times New Roman" w:cs="Times New Roman"/>
                <w:b/>
                <w:bCs/>
                <w:color w:val="000000"/>
                <w:sz w:val="22"/>
                <w:szCs w:val="22"/>
                <w:lang w:eastAsia="es-GT"/>
              </w:rPr>
              <w:t>GASTO</w:t>
            </w:r>
          </w:p>
        </w:tc>
        <w:tc>
          <w:tcPr>
            <w:tcW w:w="1213" w:type="dxa"/>
            <w:tcBorders>
              <w:top w:val="nil"/>
              <w:left w:val="nil"/>
              <w:bottom w:val="nil"/>
              <w:right w:val="nil"/>
            </w:tcBorders>
            <w:shd w:val="clear" w:color="auto" w:fill="auto"/>
            <w:noWrap/>
            <w:vAlign w:val="center"/>
          </w:tcPr>
          <w:p w14:paraId="60777288"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156651">
              <w:rPr>
                <w:rFonts w:ascii="Times New Roman" w:hAnsi="Times New Roman" w:cs="Times New Roman"/>
                <w:b/>
                <w:bCs/>
                <w:color w:val="000000"/>
                <w:sz w:val="22"/>
                <w:szCs w:val="22"/>
              </w:rPr>
              <w:t>100,546.3</w:t>
            </w:r>
          </w:p>
        </w:tc>
        <w:tc>
          <w:tcPr>
            <w:tcW w:w="1214" w:type="dxa"/>
            <w:tcBorders>
              <w:top w:val="nil"/>
              <w:left w:val="nil"/>
              <w:bottom w:val="nil"/>
              <w:right w:val="nil"/>
            </w:tcBorders>
            <w:shd w:val="clear" w:color="auto" w:fill="auto"/>
            <w:noWrap/>
            <w:vAlign w:val="center"/>
          </w:tcPr>
          <w:p w14:paraId="6171C7A3"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156651">
              <w:rPr>
                <w:rFonts w:ascii="Times New Roman" w:hAnsi="Times New Roman" w:cs="Times New Roman"/>
                <w:b/>
                <w:bCs/>
                <w:color w:val="000000"/>
                <w:sz w:val="22"/>
                <w:szCs w:val="22"/>
              </w:rPr>
              <w:t>115,518.1</w:t>
            </w:r>
          </w:p>
        </w:tc>
        <w:tc>
          <w:tcPr>
            <w:tcW w:w="1095" w:type="dxa"/>
            <w:tcBorders>
              <w:top w:val="nil"/>
              <w:left w:val="dotDash" w:sz="4" w:space="0" w:color="auto"/>
              <w:bottom w:val="nil"/>
              <w:right w:val="nil"/>
            </w:tcBorders>
            <w:shd w:val="clear" w:color="auto" w:fill="auto"/>
            <w:noWrap/>
            <w:vAlign w:val="center"/>
          </w:tcPr>
          <w:p w14:paraId="65049832"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156651">
              <w:rPr>
                <w:rFonts w:ascii="Times New Roman" w:hAnsi="Times New Roman" w:cs="Times New Roman"/>
                <w:b/>
                <w:bCs/>
                <w:color w:val="000000"/>
                <w:sz w:val="22"/>
                <w:szCs w:val="22"/>
              </w:rPr>
              <w:t>15.1</w:t>
            </w:r>
          </w:p>
        </w:tc>
        <w:tc>
          <w:tcPr>
            <w:tcW w:w="1098" w:type="dxa"/>
            <w:tcBorders>
              <w:top w:val="nil"/>
              <w:left w:val="nil"/>
              <w:bottom w:val="nil"/>
              <w:right w:val="nil"/>
            </w:tcBorders>
            <w:shd w:val="clear" w:color="auto" w:fill="auto"/>
            <w:noWrap/>
            <w:vAlign w:val="center"/>
          </w:tcPr>
          <w:p w14:paraId="7C4FAA26"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156651">
              <w:rPr>
                <w:rFonts w:ascii="Times New Roman" w:hAnsi="Times New Roman" w:cs="Times New Roman"/>
                <w:b/>
                <w:bCs/>
                <w:color w:val="000000"/>
                <w:sz w:val="22"/>
                <w:szCs w:val="22"/>
              </w:rPr>
              <w:t>15.7</w:t>
            </w:r>
          </w:p>
        </w:tc>
      </w:tr>
      <w:tr w:rsidR="00156651" w:rsidRPr="00156651" w14:paraId="66C4EDF6" w14:textId="77777777" w:rsidTr="00654363">
        <w:trPr>
          <w:trHeight w:val="238"/>
          <w:jc w:val="center"/>
        </w:trPr>
        <w:tc>
          <w:tcPr>
            <w:tcW w:w="3905" w:type="dxa"/>
            <w:tcBorders>
              <w:top w:val="nil"/>
              <w:left w:val="nil"/>
              <w:bottom w:val="nil"/>
              <w:right w:val="nil"/>
            </w:tcBorders>
            <w:shd w:val="clear" w:color="auto" w:fill="auto"/>
            <w:noWrap/>
            <w:vAlign w:val="center"/>
            <w:hideMark/>
          </w:tcPr>
          <w:p w14:paraId="795AB692" w14:textId="77777777" w:rsidR="00156651" w:rsidRPr="00156651" w:rsidRDefault="00156651" w:rsidP="008D7BB4">
            <w:pPr>
              <w:spacing w:line="276" w:lineRule="auto"/>
              <w:ind w:firstLineChars="100" w:firstLine="220"/>
              <w:contextualSpacing/>
              <w:rPr>
                <w:rFonts w:ascii="Times New Roman" w:eastAsia="Times New Roman" w:hAnsi="Times New Roman" w:cs="Times New Roman"/>
                <w:color w:val="000000"/>
                <w:sz w:val="22"/>
                <w:szCs w:val="22"/>
                <w:lang w:eastAsia="es-GT"/>
              </w:rPr>
            </w:pPr>
            <w:r w:rsidRPr="00156651">
              <w:rPr>
                <w:rFonts w:ascii="Times New Roman" w:eastAsia="Times New Roman" w:hAnsi="Times New Roman" w:cs="Times New Roman"/>
                <w:color w:val="000000"/>
                <w:sz w:val="22"/>
                <w:szCs w:val="22"/>
                <w:lang w:eastAsia="es-GT"/>
              </w:rPr>
              <w:t xml:space="preserve">Remuneración a los empleados </w:t>
            </w:r>
          </w:p>
        </w:tc>
        <w:tc>
          <w:tcPr>
            <w:tcW w:w="1213" w:type="dxa"/>
            <w:tcBorders>
              <w:top w:val="nil"/>
              <w:left w:val="nil"/>
              <w:bottom w:val="nil"/>
              <w:right w:val="nil"/>
            </w:tcBorders>
            <w:shd w:val="clear" w:color="auto" w:fill="auto"/>
            <w:noWrap/>
            <w:vAlign w:val="center"/>
          </w:tcPr>
          <w:p w14:paraId="281B0A42"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50,178.2</w:t>
            </w:r>
          </w:p>
        </w:tc>
        <w:tc>
          <w:tcPr>
            <w:tcW w:w="1214" w:type="dxa"/>
            <w:tcBorders>
              <w:top w:val="nil"/>
              <w:left w:val="nil"/>
              <w:bottom w:val="nil"/>
              <w:right w:val="nil"/>
            </w:tcBorders>
            <w:shd w:val="clear" w:color="auto" w:fill="auto"/>
            <w:noWrap/>
            <w:vAlign w:val="center"/>
          </w:tcPr>
          <w:p w14:paraId="30654C56"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52,495.8</w:t>
            </w:r>
          </w:p>
        </w:tc>
        <w:tc>
          <w:tcPr>
            <w:tcW w:w="1095" w:type="dxa"/>
            <w:tcBorders>
              <w:top w:val="nil"/>
              <w:left w:val="dotDash" w:sz="4" w:space="0" w:color="auto"/>
              <w:bottom w:val="nil"/>
              <w:right w:val="nil"/>
            </w:tcBorders>
            <w:shd w:val="clear" w:color="auto" w:fill="auto"/>
            <w:noWrap/>
            <w:vAlign w:val="center"/>
          </w:tcPr>
          <w:p w14:paraId="392E4839"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7.5</w:t>
            </w:r>
          </w:p>
        </w:tc>
        <w:tc>
          <w:tcPr>
            <w:tcW w:w="1098" w:type="dxa"/>
            <w:tcBorders>
              <w:top w:val="nil"/>
              <w:left w:val="nil"/>
              <w:bottom w:val="nil"/>
              <w:right w:val="nil"/>
            </w:tcBorders>
            <w:shd w:val="clear" w:color="auto" w:fill="auto"/>
            <w:noWrap/>
            <w:vAlign w:val="center"/>
          </w:tcPr>
          <w:p w14:paraId="3F958966"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7.2</w:t>
            </w:r>
          </w:p>
        </w:tc>
      </w:tr>
      <w:tr w:rsidR="00156651" w:rsidRPr="00156651" w14:paraId="19018A1F" w14:textId="77777777" w:rsidTr="00654363">
        <w:trPr>
          <w:trHeight w:val="238"/>
          <w:jc w:val="center"/>
        </w:trPr>
        <w:tc>
          <w:tcPr>
            <w:tcW w:w="3905" w:type="dxa"/>
            <w:tcBorders>
              <w:top w:val="nil"/>
              <w:left w:val="nil"/>
              <w:bottom w:val="nil"/>
              <w:right w:val="nil"/>
            </w:tcBorders>
            <w:shd w:val="clear" w:color="auto" w:fill="auto"/>
            <w:noWrap/>
            <w:vAlign w:val="center"/>
            <w:hideMark/>
          </w:tcPr>
          <w:p w14:paraId="2BE9E364" w14:textId="77777777" w:rsidR="00156651" w:rsidRPr="00156651" w:rsidRDefault="00156651" w:rsidP="008D7BB4">
            <w:pPr>
              <w:spacing w:line="276" w:lineRule="auto"/>
              <w:ind w:firstLineChars="100" w:firstLine="220"/>
              <w:contextualSpacing/>
              <w:rPr>
                <w:rFonts w:ascii="Times New Roman" w:eastAsia="Times New Roman" w:hAnsi="Times New Roman" w:cs="Times New Roman"/>
                <w:color w:val="000000"/>
                <w:sz w:val="22"/>
                <w:szCs w:val="22"/>
                <w:lang w:eastAsia="es-GT"/>
              </w:rPr>
            </w:pPr>
            <w:r w:rsidRPr="00156651">
              <w:rPr>
                <w:rFonts w:ascii="Times New Roman" w:eastAsia="Times New Roman" w:hAnsi="Times New Roman" w:cs="Times New Roman"/>
                <w:color w:val="000000"/>
                <w:sz w:val="22"/>
                <w:szCs w:val="22"/>
                <w:lang w:eastAsia="es-GT"/>
              </w:rPr>
              <w:t xml:space="preserve">Uso de bienes y servicios  </w:t>
            </w:r>
          </w:p>
        </w:tc>
        <w:tc>
          <w:tcPr>
            <w:tcW w:w="1213" w:type="dxa"/>
            <w:tcBorders>
              <w:top w:val="nil"/>
              <w:left w:val="nil"/>
              <w:bottom w:val="nil"/>
              <w:right w:val="nil"/>
            </w:tcBorders>
            <w:shd w:val="clear" w:color="auto" w:fill="auto"/>
            <w:noWrap/>
            <w:vAlign w:val="center"/>
          </w:tcPr>
          <w:p w14:paraId="46C531D1"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20,867.0</w:t>
            </w:r>
          </w:p>
        </w:tc>
        <w:tc>
          <w:tcPr>
            <w:tcW w:w="1214" w:type="dxa"/>
            <w:tcBorders>
              <w:top w:val="nil"/>
              <w:left w:val="nil"/>
              <w:bottom w:val="nil"/>
              <w:right w:val="nil"/>
            </w:tcBorders>
            <w:shd w:val="clear" w:color="auto" w:fill="auto"/>
            <w:noWrap/>
            <w:vAlign w:val="center"/>
          </w:tcPr>
          <w:p w14:paraId="16150B80"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26,232.1</w:t>
            </w:r>
          </w:p>
        </w:tc>
        <w:tc>
          <w:tcPr>
            <w:tcW w:w="1095" w:type="dxa"/>
            <w:tcBorders>
              <w:top w:val="nil"/>
              <w:left w:val="dotDash" w:sz="4" w:space="0" w:color="auto"/>
              <w:bottom w:val="nil"/>
              <w:right w:val="nil"/>
            </w:tcBorders>
            <w:shd w:val="clear" w:color="auto" w:fill="auto"/>
            <w:noWrap/>
            <w:vAlign w:val="center"/>
          </w:tcPr>
          <w:p w14:paraId="4066E88B"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3.1</w:t>
            </w:r>
          </w:p>
        </w:tc>
        <w:tc>
          <w:tcPr>
            <w:tcW w:w="1098" w:type="dxa"/>
            <w:tcBorders>
              <w:top w:val="nil"/>
              <w:left w:val="nil"/>
              <w:bottom w:val="nil"/>
              <w:right w:val="nil"/>
            </w:tcBorders>
            <w:shd w:val="clear" w:color="auto" w:fill="auto"/>
            <w:noWrap/>
            <w:vAlign w:val="center"/>
          </w:tcPr>
          <w:p w14:paraId="46F3FB6E"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3.6</w:t>
            </w:r>
          </w:p>
        </w:tc>
      </w:tr>
      <w:tr w:rsidR="00156651" w:rsidRPr="00156651" w14:paraId="56279AF9" w14:textId="77777777" w:rsidTr="00654363">
        <w:trPr>
          <w:trHeight w:val="238"/>
          <w:jc w:val="center"/>
        </w:trPr>
        <w:tc>
          <w:tcPr>
            <w:tcW w:w="3905" w:type="dxa"/>
            <w:tcBorders>
              <w:top w:val="nil"/>
              <w:left w:val="nil"/>
              <w:bottom w:val="nil"/>
              <w:right w:val="nil"/>
            </w:tcBorders>
            <w:shd w:val="clear" w:color="auto" w:fill="auto"/>
            <w:noWrap/>
            <w:vAlign w:val="center"/>
            <w:hideMark/>
          </w:tcPr>
          <w:p w14:paraId="6B1C94F6" w14:textId="77777777" w:rsidR="00156651" w:rsidRPr="00156651" w:rsidRDefault="00156651" w:rsidP="008D7BB4">
            <w:pPr>
              <w:spacing w:line="276" w:lineRule="auto"/>
              <w:ind w:firstLineChars="100" w:firstLine="220"/>
              <w:contextualSpacing/>
              <w:rPr>
                <w:rFonts w:ascii="Times New Roman" w:eastAsia="Times New Roman" w:hAnsi="Times New Roman" w:cs="Times New Roman"/>
                <w:color w:val="000000"/>
                <w:sz w:val="22"/>
                <w:szCs w:val="22"/>
                <w:lang w:eastAsia="es-GT"/>
              </w:rPr>
            </w:pPr>
            <w:r w:rsidRPr="00156651">
              <w:rPr>
                <w:rFonts w:ascii="Times New Roman" w:eastAsia="Times New Roman" w:hAnsi="Times New Roman" w:cs="Times New Roman"/>
                <w:color w:val="000000"/>
                <w:sz w:val="22"/>
                <w:szCs w:val="22"/>
                <w:lang w:eastAsia="es-GT"/>
              </w:rPr>
              <w:t xml:space="preserve">Intereses </w:t>
            </w:r>
          </w:p>
        </w:tc>
        <w:tc>
          <w:tcPr>
            <w:tcW w:w="1213" w:type="dxa"/>
            <w:tcBorders>
              <w:top w:val="nil"/>
              <w:left w:val="nil"/>
              <w:bottom w:val="nil"/>
              <w:right w:val="nil"/>
            </w:tcBorders>
            <w:shd w:val="clear" w:color="auto" w:fill="auto"/>
            <w:noWrap/>
            <w:vAlign w:val="center"/>
          </w:tcPr>
          <w:p w14:paraId="428B8911"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10,307.7</w:t>
            </w:r>
          </w:p>
        </w:tc>
        <w:tc>
          <w:tcPr>
            <w:tcW w:w="1214" w:type="dxa"/>
            <w:tcBorders>
              <w:top w:val="nil"/>
              <w:left w:val="nil"/>
              <w:bottom w:val="nil"/>
              <w:right w:val="nil"/>
            </w:tcBorders>
            <w:shd w:val="clear" w:color="auto" w:fill="auto"/>
            <w:noWrap/>
            <w:vAlign w:val="center"/>
          </w:tcPr>
          <w:p w14:paraId="7E1639FF"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11,013.1</w:t>
            </w:r>
          </w:p>
        </w:tc>
        <w:tc>
          <w:tcPr>
            <w:tcW w:w="1095" w:type="dxa"/>
            <w:tcBorders>
              <w:top w:val="nil"/>
              <w:left w:val="dotDash" w:sz="4" w:space="0" w:color="auto"/>
              <w:bottom w:val="nil"/>
              <w:right w:val="nil"/>
            </w:tcBorders>
            <w:shd w:val="clear" w:color="auto" w:fill="auto"/>
            <w:noWrap/>
            <w:vAlign w:val="center"/>
          </w:tcPr>
          <w:p w14:paraId="35BBF043"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1.5</w:t>
            </w:r>
          </w:p>
        </w:tc>
        <w:tc>
          <w:tcPr>
            <w:tcW w:w="1098" w:type="dxa"/>
            <w:tcBorders>
              <w:top w:val="nil"/>
              <w:left w:val="nil"/>
              <w:bottom w:val="nil"/>
              <w:right w:val="nil"/>
            </w:tcBorders>
            <w:shd w:val="clear" w:color="auto" w:fill="auto"/>
            <w:noWrap/>
            <w:vAlign w:val="center"/>
          </w:tcPr>
          <w:p w14:paraId="05FD014D"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1.5</w:t>
            </w:r>
          </w:p>
        </w:tc>
      </w:tr>
      <w:tr w:rsidR="00156651" w:rsidRPr="00156651" w14:paraId="027ECE90" w14:textId="77777777" w:rsidTr="00654363">
        <w:trPr>
          <w:trHeight w:val="238"/>
          <w:jc w:val="center"/>
        </w:trPr>
        <w:tc>
          <w:tcPr>
            <w:tcW w:w="3905" w:type="dxa"/>
            <w:tcBorders>
              <w:top w:val="nil"/>
              <w:left w:val="nil"/>
              <w:bottom w:val="nil"/>
              <w:right w:val="nil"/>
            </w:tcBorders>
            <w:shd w:val="clear" w:color="auto" w:fill="auto"/>
            <w:noWrap/>
            <w:vAlign w:val="center"/>
            <w:hideMark/>
          </w:tcPr>
          <w:p w14:paraId="48711E8B" w14:textId="77777777" w:rsidR="00156651" w:rsidRPr="00156651" w:rsidRDefault="00156651" w:rsidP="008D7BB4">
            <w:pPr>
              <w:spacing w:line="276" w:lineRule="auto"/>
              <w:ind w:firstLineChars="100" w:firstLine="220"/>
              <w:contextualSpacing/>
              <w:rPr>
                <w:rFonts w:ascii="Times New Roman" w:eastAsia="Times New Roman" w:hAnsi="Times New Roman" w:cs="Times New Roman"/>
                <w:color w:val="000000"/>
                <w:sz w:val="22"/>
                <w:szCs w:val="22"/>
                <w:lang w:eastAsia="es-GT"/>
              </w:rPr>
            </w:pPr>
            <w:r w:rsidRPr="00156651">
              <w:rPr>
                <w:rFonts w:ascii="Times New Roman" w:eastAsia="Times New Roman" w:hAnsi="Times New Roman" w:cs="Times New Roman"/>
                <w:color w:val="000000"/>
                <w:sz w:val="22"/>
                <w:szCs w:val="22"/>
                <w:lang w:eastAsia="es-GT"/>
              </w:rPr>
              <w:t xml:space="preserve">Subsidios </w:t>
            </w:r>
          </w:p>
        </w:tc>
        <w:tc>
          <w:tcPr>
            <w:tcW w:w="1213" w:type="dxa"/>
            <w:tcBorders>
              <w:top w:val="nil"/>
              <w:left w:val="nil"/>
              <w:bottom w:val="nil"/>
              <w:right w:val="nil"/>
            </w:tcBorders>
            <w:shd w:val="clear" w:color="auto" w:fill="auto"/>
            <w:noWrap/>
            <w:vAlign w:val="center"/>
          </w:tcPr>
          <w:p w14:paraId="36AD9D67"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909.5</w:t>
            </w:r>
          </w:p>
        </w:tc>
        <w:tc>
          <w:tcPr>
            <w:tcW w:w="1214" w:type="dxa"/>
            <w:tcBorders>
              <w:top w:val="nil"/>
              <w:left w:val="nil"/>
              <w:bottom w:val="nil"/>
              <w:right w:val="nil"/>
            </w:tcBorders>
            <w:shd w:val="clear" w:color="auto" w:fill="auto"/>
            <w:noWrap/>
            <w:vAlign w:val="center"/>
          </w:tcPr>
          <w:p w14:paraId="3D7C4944"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3,824.9</w:t>
            </w:r>
          </w:p>
        </w:tc>
        <w:tc>
          <w:tcPr>
            <w:tcW w:w="1095" w:type="dxa"/>
            <w:tcBorders>
              <w:top w:val="nil"/>
              <w:left w:val="dotDash" w:sz="4" w:space="0" w:color="auto"/>
              <w:bottom w:val="nil"/>
              <w:right w:val="nil"/>
            </w:tcBorders>
            <w:shd w:val="clear" w:color="auto" w:fill="auto"/>
            <w:noWrap/>
            <w:vAlign w:val="center"/>
          </w:tcPr>
          <w:p w14:paraId="64138F2A"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0.1</w:t>
            </w:r>
          </w:p>
        </w:tc>
        <w:tc>
          <w:tcPr>
            <w:tcW w:w="1098" w:type="dxa"/>
            <w:tcBorders>
              <w:top w:val="nil"/>
              <w:left w:val="nil"/>
              <w:bottom w:val="nil"/>
              <w:right w:val="nil"/>
            </w:tcBorders>
            <w:shd w:val="clear" w:color="auto" w:fill="auto"/>
            <w:noWrap/>
            <w:vAlign w:val="center"/>
          </w:tcPr>
          <w:p w14:paraId="5D6839D0"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0.5</w:t>
            </w:r>
          </w:p>
        </w:tc>
      </w:tr>
      <w:tr w:rsidR="00156651" w:rsidRPr="00156651" w14:paraId="167C041B" w14:textId="77777777" w:rsidTr="00654363">
        <w:trPr>
          <w:trHeight w:val="238"/>
          <w:jc w:val="center"/>
        </w:trPr>
        <w:tc>
          <w:tcPr>
            <w:tcW w:w="3905" w:type="dxa"/>
            <w:tcBorders>
              <w:top w:val="nil"/>
              <w:left w:val="nil"/>
              <w:bottom w:val="nil"/>
              <w:right w:val="nil"/>
            </w:tcBorders>
            <w:shd w:val="clear" w:color="auto" w:fill="auto"/>
            <w:noWrap/>
            <w:vAlign w:val="center"/>
            <w:hideMark/>
          </w:tcPr>
          <w:p w14:paraId="55C7104D" w14:textId="77777777" w:rsidR="00156651" w:rsidRPr="00156651" w:rsidRDefault="00156651" w:rsidP="008D7BB4">
            <w:pPr>
              <w:spacing w:line="276" w:lineRule="auto"/>
              <w:ind w:firstLineChars="100" w:firstLine="220"/>
              <w:contextualSpacing/>
              <w:rPr>
                <w:rFonts w:ascii="Times New Roman" w:eastAsia="Times New Roman" w:hAnsi="Times New Roman" w:cs="Times New Roman"/>
                <w:color w:val="000000"/>
                <w:sz w:val="22"/>
                <w:szCs w:val="22"/>
                <w:lang w:eastAsia="es-GT"/>
              </w:rPr>
            </w:pPr>
            <w:r w:rsidRPr="00156651">
              <w:rPr>
                <w:rFonts w:ascii="Times New Roman" w:eastAsia="Times New Roman" w:hAnsi="Times New Roman" w:cs="Times New Roman"/>
                <w:color w:val="000000"/>
                <w:sz w:val="22"/>
                <w:szCs w:val="22"/>
                <w:lang w:eastAsia="es-GT"/>
              </w:rPr>
              <w:t xml:space="preserve">Donaciones </w:t>
            </w:r>
          </w:p>
        </w:tc>
        <w:tc>
          <w:tcPr>
            <w:tcW w:w="1213" w:type="dxa"/>
            <w:tcBorders>
              <w:top w:val="nil"/>
              <w:left w:val="nil"/>
              <w:bottom w:val="nil"/>
              <w:right w:val="nil"/>
            </w:tcBorders>
            <w:shd w:val="clear" w:color="auto" w:fill="auto"/>
            <w:noWrap/>
            <w:vAlign w:val="center"/>
          </w:tcPr>
          <w:p w14:paraId="50C93756"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259.1</w:t>
            </w:r>
          </w:p>
        </w:tc>
        <w:tc>
          <w:tcPr>
            <w:tcW w:w="1214" w:type="dxa"/>
            <w:tcBorders>
              <w:top w:val="nil"/>
              <w:left w:val="nil"/>
              <w:bottom w:val="nil"/>
              <w:right w:val="nil"/>
            </w:tcBorders>
            <w:shd w:val="clear" w:color="auto" w:fill="auto"/>
            <w:noWrap/>
            <w:vAlign w:val="center"/>
          </w:tcPr>
          <w:p w14:paraId="525CB529"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527.0</w:t>
            </w:r>
          </w:p>
        </w:tc>
        <w:tc>
          <w:tcPr>
            <w:tcW w:w="1095" w:type="dxa"/>
            <w:tcBorders>
              <w:top w:val="nil"/>
              <w:left w:val="dotDash" w:sz="4" w:space="0" w:color="auto"/>
              <w:bottom w:val="nil"/>
              <w:right w:val="nil"/>
            </w:tcBorders>
            <w:shd w:val="clear" w:color="auto" w:fill="auto"/>
            <w:noWrap/>
            <w:vAlign w:val="center"/>
          </w:tcPr>
          <w:p w14:paraId="499EB458"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0.0</w:t>
            </w:r>
          </w:p>
        </w:tc>
        <w:tc>
          <w:tcPr>
            <w:tcW w:w="1098" w:type="dxa"/>
            <w:tcBorders>
              <w:top w:val="nil"/>
              <w:left w:val="nil"/>
              <w:bottom w:val="nil"/>
              <w:right w:val="nil"/>
            </w:tcBorders>
            <w:shd w:val="clear" w:color="auto" w:fill="auto"/>
            <w:noWrap/>
            <w:vAlign w:val="center"/>
          </w:tcPr>
          <w:p w14:paraId="687974A0"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0.1</w:t>
            </w:r>
          </w:p>
        </w:tc>
      </w:tr>
      <w:tr w:rsidR="00156651" w:rsidRPr="00156651" w14:paraId="21DB8864" w14:textId="77777777" w:rsidTr="00654363">
        <w:trPr>
          <w:trHeight w:val="238"/>
          <w:jc w:val="center"/>
        </w:trPr>
        <w:tc>
          <w:tcPr>
            <w:tcW w:w="3905" w:type="dxa"/>
            <w:tcBorders>
              <w:top w:val="nil"/>
              <w:left w:val="nil"/>
              <w:bottom w:val="nil"/>
              <w:right w:val="nil"/>
            </w:tcBorders>
            <w:shd w:val="clear" w:color="auto" w:fill="auto"/>
            <w:noWrap/>
            <w:vAlign w:val="center"/>
            <w:hideMark/>
          </w:tcPr>
          <w:p w14:paraId="2EB63B74" w14:textId="77777777" w:rsidR="00156651" w:rsidRPr="00156651" w:rsidRDefault="00156651" w:rsidP="008D7BB4">
            <w:pPr>
              <w:spacing w:line="276" w:lineRule="auto"/>
              <w:ind w:firstLineChars="100" w:firstLine="220"/>
              <w:contextualSpacing/>
              <w:rPr>
                <w:rFonts w:ascii="Times New Roman" w:eastAsia="Times New Roman" w:hAnsi="Times New Roman" w:cs="Times New Roman"/>
                <w:color w:val="000000"/>
                <w:sz w:val="22"/>
                <w:szCs w:val="22"/>
                <w:lang w:eastAsia="es-GT"/>
              </w:rPr>
            </w:pPr>
            <w:r w:rsidRPr="00156651">
              <w:rPr>
                <w:rFonts w:ascii="Times New Roman" w:eastAsia="Times New Roman" w:hAnsi="Times New Roman" w:cs="Times New Roman"/>
                <w:color w:val="000000"/>
                <w:sz w:val="22"/>
                <w:szCs w:val="22"/>
                <w:lang w:eastAsia="es-GT"/>
              </w:rPr>
              <w:t xml:space="preserve">Prestaciones sociales </w:t>
            </w:r>
          </w:p>
        </w:tc>
        <w:tc>
          <w:tcPr>
            <w:tcW w:w="1213" w:type="dxa"/>
            <w:tcBorders>
              <w:top w:val="nil"/>
              <w:left w:val="nil"/>
              <w:bottom w:val="nil"/>
              <w:right w:val="nil"/>
            </w:tcBorders>
            <w:shd w:val="clear" w:color="auto" w:fill="auto"/>
            <w:noWrap/>
            <w:vAlign w:val="center"/>
          </w:tcPr>
          <w:p w14:paraId="20139B19"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11,965.5</w:t>
            </w:r>
          </w:p>
        </w:tc>
        <w:tc>
          <w:tcPr>
            <w:tcW w:w="1214" w:type="dxa"/>
            <w:tcBorders>
              <w:top w:val="nil"/>
              <w:left w:val="nil"/>
              <w:bottom w:val="nil"/>
              <w:right w:val="nil"/>
            </w:tcBorders>
            <w:shd w:val="clear" w:color="auto" w:fill="auto"/>
            <w:noWrap/>
            <w:vAlign w:val="center"/>
          </w:tcPr>
          <w:p w14:paraId="2B31CC46"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13,108.3</w:t>
            </w:r>
          </w:p>
        </w:tc>
        <w:tc>
          <w:tcPr>
            <w:tcW w:w="1095" w:type="dxa"/>
            <w:tcBorders>
              <w:top w:val="nil"/>
              <w:left w:val="dotDash" w:sz="4" w:space="0" w:color="auto"/>
              <w:bottom w:val="nil"/>
              <w:right w:val="nil"/>
            </w:tcBorders>
            <w:shd w:val="clear" w:color="auto" w:fill="auto"/>
            <w:noWrap/>
            <w:vAlign w:val="center"/>
          </w:tcPr>
          <w:p w14:paraId="30766A21"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1.8</w:t>
            </w:r>
          </w:p>
        </w:tc>
        <w:tc>
          <w:tcPr>
            <w:tcW w:w="1098" w:type="dxa"/>
            <w:tcBorders>
              <w:top w:val="nil"/>
              <w:left w:val="nil"/>
              <w:bottom w:val="nil"/>
              <w:right w:val="nil"/>
            </w:tcBorders>
            <w:shd w:val="clear" w:color="auto" w:fill="auto"/>
            <w:noWrap/>
            <w:vAlign w:val="center"/>
          </w:tcPr>
          <w:p w14:paraId="49D23F84"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1.8</w:t>
            </w:r>
          </w:p>
        </w:tc>
      </w:tr>
      <w:tr w:rsidR="00156651" w:rsidRPr="00156651" w14:paraId="2ECF47B0" w14:textId="77777777" w:rsidTr="00654363">
        <w:trPr>
          <w:trHeight w:val="238"/>
          <w:jc w:val="center"/>
        </w:trPr>
        <w:tc>
          <w:tcPr>
            <w:tcW w:w="3905" w:type="dxa"/>
            <w:tcBorders>
              <w:top w:val="nil"/>
              <w:left w:val="nil"/>
              <w:bottom w:val="nil"/>
              <w:right w:val="nil"/>
            </w:tcBorders>
            <w:shd w:val="clear" w:color="auto" w:fill="auto"/>
            <w:noWrap/>
            <w:vAlign w:val="center"/>
            <w:hideMark/>
          </w:tcPr>
          <w:p w14:paraId="7E0C2B35" w14:textId="77777777" w:rsidR="00156651" w:rsidRPr="00156651" w:rsidRDefault="00156651" w:rsidP="008D7BB4">
            <w:pPr>
              <w:spacing w:line="276" w:lineRule="auto"/>
              <w:ind w:firstLineChars="100" w:firstLine="220"/>
              <w:contextualSpacing/>
              <w:rPr>
                <w:rFonts w:ascii="Times New Roman" w:eastAsia="Times New Roman" w:hAnsi="Times New Roman" w:cs="Times New Roman"/>
                <w:color w:val="000000"/>
                <w:sz w:val="22"/>
                <w:szCs w:val="22"/>
                <w:lang w:eastAsia="es-GT"/>
              </w:rPr>
            </w:pPr>
            <w:r w:rsidRPr="00156651">
              <w:rPr>
                <w:rFonts w:ascii="Times New Roman" w:eastAsia="Times New Roman" w:hAnsi="Times New Roman" w:cs="Times New Roman"/>
                <w:color w:val="000000"/>
                <w:sz w:val="22"/>
                <w:szCs w:val="22"/>
                <w:lang w:eastAsia="es-GT"/>
              </w:rPr>
              <w:t xml:space="preserve">Otros gastos </w:t>
            </w:r>
          </w:p>
        </w:tc>
        <w:tc>
          <w:tcPr>
            <w:tcW w:w="1213" w:type="dxa"/>
            <w:tcBorders>
              <w:top w:val="nil"/>
              <w:left w:val="nil"/>
              <w:bottom w:val="nil"/>
              <w:right w:val="nil"/>
            </w:tcBorders>
            <w:shd w:val="clear" w:color="auto" w:fill="auto"/>
            <w:noWrap/>
            <w:vAlign w:val="center"/>
          </w:tcPr>
          <w:p w14:paraId="33E28A03"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6,059.4</w:t>
            </w:r>
          </w:p>
        </w:tc>
        <w:tc>
          <w:tcPr>
            <w:tcW w:w="1214" w:type="dxa"/>
            <w:tcBorders>
              <w:top w:val="nil"/>
              <w:left w:val="nil"/>
              <w:bottom w:val="nil"/>
              <w:right w:val="nil"/>
            </w:tcBorders>
            <w:shd w:val="clear" w:color="auto" w:fill="auto"/>
            <w:noWrap/>
            <w:vAlign w:val="center"/>
          </w:tcPr>
          <w:p w14:paraId="14D57560"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8,316.9</w:t>
            </w:r>
          </w:p>
        </w:tc>
        <w:tc>
          <w:tcPr>
            <w:tcW w:w="1095" w:type="dxa"/>
            <w:tcBorders>
              <w:top w:val="nil"/>
              <w:left w:val="dotDash" w:sz="4" w:space="0" w:color="auto"/>
              <w:bottom w:val="nil"/>
              <w:right w:val="nil"/>
            </w:tcBorders>
            <w:shd w:val="clear" w:color="auto" w:fill="auto"/>
            <w:noWrap/>
            <w:vAlign w:val="center"/>
          </w:tcPr>
          <w:p w14:paraId="5C04A702"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0.9</w:t>
            </w:r>
          </w:p>
        </w:tc>
        <w:tc>
          <w:tcPr>
            <w:tcW w:w="1098" w:type="dxa"/>
            <w:tcBorders>
              <w:top w:val="nil"/>
              <w:left w:val="nil"/>
              <w:bottom w:val="nil"/>
              <w:right w:val="nil"/>
            </w:tcBorders>
            <w:shd w:val="clear" w:color="auto" w:fill="auto"/>
            <w:noWrap/>
            <w:vAlign w:val="center"/>
          </w:tcPr>
          <w:p w14:paraId="3987EE57"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1.1</w:t>
            </w:r>
          </w:p>
        </w:tc>
      </w:tr>
      <w:tr w:rsidR="00156651" w:rsidRPr="00156651" w14:paraId="14C37FC6" w14:textId="77777777" w:rsidTr="00654363">
        <w:trPr>
          <w:trHeight w:val="238"/>
          <w:jc w:val="center"/>
        </w:trPr>
        <w:tc>
          <w:tcPr>
            <w:tcW w:w="3905" w:type="dxa"/>
            <w:tcBorders>
              <w:top w:val="nil"/>
              <w:left w:val="nil"/>
              <w:bottom w:val="nil"/>
              <w:right w:val="nil"/>
            </w:tcBorders>
            <w:shd w:val="clear" w:color="auto" w:fill="auto"/>
            <w:noWrap/>
            <w:vAlign w:val="center"/>
            <w:hideMark/>
          </w:tcPr>
          <w:p w14:paraId="60FDFABC" w14:textId="77777777" w:rsidR="00156651" w:rsidRPr="00156651" w:rsidRDefault="00156651" w:rsidP="008D7BB4">
            <w:pPr>
              <w:spacing w:line="276" w:lineRule="auto"/>
              <w:contextualSpacing/>
              <w:jc w:val="both"/>
              <w:rPr>
                <w:rFonts w:ascii="Times New Roman" w:eastAsia="Times New Roman" w:hAnsi="Times New Roman" w:cs="Times New Roman"/>
                <w:b/>
                <w:bCs/>
                <w:color w:val="000000"/>
                <w:sz w:val="22"/>
                <w:szCs w:val="22"/>
                <w:lang w:eastAsia="es-GT"/>
              </w:rPr>
            </w:pPr>
            <w:r w:rsidRPr="00156651">
              <w:rPr>
                <w:rFonts w:ascii="Times New Roman" w:eastAsia="Times New Roman" w:hAnsi="Times New Roman" w:cs="Times New Roman"/>
                <w:b/>
                <w:bCs/>
                <w:color w:val="000000"/>
                <w:sz w:val="22"/>
                <w:szCs w:val="22"/>
                <w:lang w:eastAsia="es-GT"/>
              </w:rPr>
              <w:t>Resultado Operativo Primario</w:t>
            </w:r>
          </w:p>
        </w:tc>
        <w:tc>
          <w:tcPr>
            <w:tcW w:w="1213" w:type="dxa"/>
            <w:tcBorders>
              <w:top w:val="nil"/>
              <w:left w:val="nil"/>
              <w:bottom w:val="nil"/>
              <w:right w:val="nil"/>
            </w:tcBorders>
            <w:shd w:val="clear" w:color="auto" w:fill="auto"/>
            <w:noWrap/>
            <w:vAlign w:val="center"/>
          </w:tcPr>
          <w:p w14:paraId="0A88E94C"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156651">
              <w:rPr>
                <w:rFonts w:ascii="Times New Roman" w:hAnsi="Times New Roman" w:cs="Times New Roman"/>
                <w:b/>
                <w:bCs/>
                <w:color w:val="000000"/>
                <w:sz w:val="22"/>
                <w:szCs w:val="22"/>
              </w:rPr>
              <w:t>23,120.9</w:t>
            </w:r>
          </w:p>
        </w:tc>
        <w:tc>
          <w:tcPr>
            <w:tcW w:w="1214" w:type="dxa"/>
            <w:tcBorders>
              <w:top w:val="nil"/>
              <w:left w:val="nil"/>
              <w:bottom w:val="nil"/>
              <w:right w:val="nil"/>
            </w:tcBorders>
            <w:shd w:val="clear" w:color="auto" w:fill="auto"/>
            <w:noWrap/>
            <w:vAlign w:val="center"/>
          </w:tcPr>
          <w:p w14:paraId="416ACAC5"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156651">
              <w:rPr>
                <w:rFonts w:ascii="Times New Roman" w:hAnsi="Times New Roman" w:cs="Times New Roman"/>
                <w:b/>
                <w:bCs/>
                <w:color w:val="000000"/>
                <w:sz w:val="22"/>
                <w:szCs w:val="22"/>
              </w:rPr>
              <w:t>21,818.6</w:t>
            </w:r>
          </w:p>
        </w:tc>
        <w:tc>
          <w:tcPr>
            <w:tcW w:w="1095" w:type="dxa"/>
            <w:tcBorders>
              <w:top w:val="nil"/>
              <w:left w:val="dotDash" w:sz="4" w:space="0" w:color="auto"/>
              <w:bottom w:val="nil"/>
              <w:right w:val="nil"/>
            </w:tcBorders>
            <w:shd w:val="clear" w:color="auto" w:fill="auto"/>
            <w:noWrap/>
            <w:vAlign w:val="center"/>
          </w:tcPr>
          <w:p w14:paraId="38F1D051"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156651">
              <w:rPr>
                <w:rFonts w:ascii="Times New Roman" w:hAnsi="Times New Roman" w:cs="Times New Roman"/>
                <w:b/>
                <w:bCs/>
                <w:color w:val="000000"/>
                <w:sz w:val="22"/>
                <w:szCs w:val="22"/>
              </w:rPr>
              <w:t>3.5</w:t>
            </w:r>
          </w:p>
        </w:tc>
        <w:tc>
          <w:tcPr>
            <w:tcW w:w="1098" w:type="dxa"/>
            <w:tcBorders>
              <w:top w:val="nil"/>
              <w:left w:val="nil"/>
              <w:bottom w:val="nil"/>
              <w:right w:val="nil"/>
            </w:tcBorders>
            <w:shd w:val="clear" w:color="auto" w:fill="auto"/>
            <w:noWrap/>
            <w:vAlign w:val="center"/>
          </w:tcPr>
          <w:p w14:paraId="2FD18AB8"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156651">
              <w:rPr>
                <w:rFonts w:ascii="Times New Roman" w:hAnsi="Times New Roman" w:cs="Times New Roman"/>
                <w:b/>
                <w:bCs/>
                <w:color w:val="000000"/>
                <w:sz w:val="22"/>
                <w:szCs w:val="22"/>
              </w:rPr>
              <w:t>3.0</w:t>
            </w:r>
          </w:p>
        </w:tc>
      </w:tr>
      <w:tr w:rsidR="00156651" w:rsidRPr="00156651" w14:paraId="7EA3C898" w14:textId="77777777" w:rsidTr="00654363">
        <w:trPr>
          <w:trHeight w:val="238"/>
          <w:jc w:val="center"/>
        </w:trPr>
        <w:tc>
          <w:tcPr>
            <w:tcW w:w="3905" w:type="dxa"/>
            <w:tcBorders>
              <w:top w:val="nil"/>
              <w:left w:val="nil"/>
              <w:bottom w:val="nil"/>
              <w:right w:val="nil"/>
            </w:tcBorders>
            <w:shd w:val="clear" w:color="auto" w:fill="auto"/>
            <w:noWrap/>
            <w:vAlign w:val="center"/>
            <w:hideMark/>
          </w:tcPr>
          <w:p w14:paraId="2B099AFC" w14:textId="77777777" w:rsidR="00156651" w:rsidRPr="00156651" w:rsidRDefault="00156651" w:rsidP="008D7BB4">
            <w:pPr>
              <w:spacing w:line="276" w:lineRule="auto"/>
              <w:contextualSpacing/>
              <w:jc w:val="both"/>
              <w:rPr>
                <w:rFonts w:ascii="Times New Roman" w:eastAsia="Times New Roman" w:hAnsi="Times New Roman" w:cs="Times New Roman"/>
                <w:b/>
                <w:bCs/>
                <w:color w:val="000000"/>
                <w:sz w:val="22"/>
                <w:szCs w:val="22"/>
                <w:lang w:eastAsia="es-GT"/>
              </w:rPr>
            </w:pPr>
            <w:r w:rsidRPr="00156651">
              <w:rPr>
                <w:rFonts w:ascii="Times New Roman" w:eastAsia="Times New Roman" w:hAnsi="Times New Roman" w:cs="Times New Roman"/>
                <w:b/>
                <w:bCs/>
                <w:color w:val="000000"/>
                <w:sz w:val="22"/>
                <w:szCs w:val="22"/>
                <w:lang w:eastAsia="es-GT"/>
              </w:rPr>
              <w:t>Resultado Operativo</w:t>
            </w:r>
          </w:p>
        </w:tc>
        <w:tc>
          <w:tcPr>
            <w:tcW w:w="1213" w:type="dxa"/>
            <w:tcBorders>
              <w:top w:val="nil"/>
              <w:left w:val="nil"/>
              <w:bottom w:val="nil"/>
              <w:right w:val="nil"/>
            </w:tcBorders>
            <w:shd w:val="clear" w:color="auto" w:fill="auto"/>
            <w:noWrap/>
            <w:vAlign w:val="center"/>
          </w:tcPr>
          <w:p w14:paraId="2A8B7709"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156651">
              <w:rPr>
                <w:rFonts w:ascii="Times New Roman" w:hAnsi="Times New Roman" w:cs="Times New Roman"/>
                <w:b/>
                <w:bCs/>
                <w:color w:val="000000"/>
                <w:sz w:val="22"/>
                <w:szCs w:val="22"/>
              </w:rPr>
              <w:t>12,813.2</w:t>
            </w:r>
          </w:p>
        </w:tc>
        <w:tc>
          <w:tcPr>
            <w:tcW w:w="1214" w:type="dxa"/>
            <w:tcBorders>
              <w:top w:val="nil"/>
              <w:left w:val="nil"/>
              <w:bottom w:val="nil"/>
              <w:right w:val="nil"/>
            </w:tcBorders>
            <w:shd w:val="clear" w:color="auto" w:fill="auto"/>
            <w:noWrap/>
            <w:vAlign w:val="center"/>
          </w:tcPr>
          <w:p w14:paraId="436264AB"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156651">
              <w:rPr>
                <w:rFonts w:ascii="Times New Roman" w:hAnsi="Times New Roman" w:cs="Times New Roman"/>
                <w:b/>
                <w:bCs/>
                <w:color w:val="000000"/>
                <w:sz w:val="22"/>
                <w:szCs w:val="22"/>
              </w:rPr>
              <w:t>10,805.5</w:t>
            </w:r>
          </w:p>
        </w:tc>
        <w:tc>
          <w:tcPr>
            <w:tcW w:w="1095" w:type="dxa"/>
            <w:tcBorders>
              <w:top w:val="nil"/>
              <w:left w:val="dotDash" w:sz="4" w:space="0" w:color="auto"/>
              <w:bottom w:val="nil"/>
              <w:right w:val="nil"/>
            </w:tcBorders>
            <w:shd w:val="clear" w:color="auto" w:fill="auto"/>
            <w:noWrap/>
            <w:vAlign w:val="center"/>
          </w:tcPr>
          <w:p w14:paraId="30BCCA24"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156651">
              <w:rPr>
                <w:rFonts w:ascii="Times New Roman" w:hAnsi="Times New Roman" w:cs="Times New Roman"/>
                <w:b/>
                <w:bCs/>
                <w:color w:val="000000"/>
                <w:sz w:val="22"/>
                <w:szCs w:val="22"/>
              </w:rPr>
              <w:t>1.9</w:t>
            </w:r>
          </w:p>
        </w:tc>
        <w:tc>
          <w:tcPr>
            <w:tcW w:w="1098" w:type="dxa"/>
            <w:tcBorders>
              <w:top w:val="nil"/>
              <w:left w:val="nil"/>
              <w:bottom w:val="nil"/>
              <w:right w:val="nil"/>
            </w:tcBorders>
            <w:shd w:val="clear" w:color="auto" w:fill="auto"/>
            <w:noWrap/>
            <w:vAlign w:val="center"/>
          </w:tcPr>
          <w:p w14:paraId="55A38EA2"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156651">
              <w:rPr>
                <w:rFonts w:ascii="Times New Roman" w:hAnsi="Times New Roman" w:cs="Times New Roman"/>
                <w:b/>
                <w:bCs/>
                <w:color w:val="000000"/>
                <w:sz w:val="22"/>
                <w:szCs w:val="22"/>
              </w:rPr>
              <w:t>1.5</w:t>
            </w:r>
          </w:p>
        </w:tc>
      </w:tr>
      <w:tr w:rsidR="00156651" w:rsidRPr="00156651" w14:paraId="590B86CA" w14:textId="77777777" w:rsidTr="00654363">
        <w:trPr>
          <w:trHeight w:val="238"/>
          <w:jc w:val="center"/>
        </w:trPr>
        <w:tc>
          <w:tcPr>
            <w:tcW w:w="8525" w:type="dxa"/>
            <w:gridSpan w:val="5"/>
            <w:tcBorders>
              <w:top w:val="single" w:sz="8" w:space="0" w:color="auto"/>
              <w:left w:val="nil"/>
              <w:bottom w:val="double" w:sz="6" w:space="0" w:color="auto"/>
              <w:right w:val="nil"/>
            </w:tcBorders>
            <w:shd w:val="clear" w:color="auto" w:fill="auto"/>
            <w:noWrap/>
            <w:vAlign w:val="center"/>
            <w:hideMark/>
          </w:tcPr>
          <w:p w14:paraId="6C537710" w14:textId="77777777" w:rsidR="00156651" w:rsidRPr="00156651" w:rsidRDefault="00156651" w:rsidP="008D7BB4">
            <w:pPr>
              <w:spacing w:line="276" w:lineRule="auto"/>
              <w:contextualSpacing/>
              <w:jc w:val="both"/>
              <w:rPr>
                <w:rFonts w:ascii="Times New Roman" w:eastAsia="Times New Roman" w:hAnsi="Times New Roman" w:cs="Times New Roman"/>
                <w:b/>
                <w:bCs/>
                <w:color w:val="4472C4"/>
                <w:sz w:val="22"/>
                <w:szCs w:val="22"/>
                <w:lang w:eastAsia="es-GT"/>
              </w:rPr>
            </w:pPr>
            <w:r w:rsidRPr="00156651">
              <w:rPr>
                <w:rFonts w:ascii="Times New Roman" w:eastAsia="Times New Roman" w:hAnsi="Times New Roman" w:cs="Times New Roman"/>
                <w:b/>
                <w:bCs/>
                <w:color w:val="4472C4"/>
                <w:sz w:val="22"/>
                <w:szCs w:val="22"/>
                <w:lang w:eastAsia="es-GT"/>
              </w:rPr>
              <w:t>TRANSACCIONES EN ACTIVOS NO FINANCIEROS</w:t>
            </w:r>
          </w:p>
        </w:tc>
      </w:tr>
      <w:tr w:rsidR="00156651" w:rsidRPr="00156651" w14:paraId="29EA4E4D" w14:textId="77777777" w:rsidTr="00654363">
        <w:trPr>
          <w:trHeight w:val="238"/>
          <w:jc w:val="center"/>
        </w:trPr>
        <w:tc>
          <w:tcPr>
            <w:tcW w:w="3905" w:type="dxa"/>
            <w:tcBorders>
              <w:top w:val="nil"/>
              <w:left w:val="nil"/>
              <w:bottom w:val="nil"/>
              <w:right w:val="nil"/>
            </w:tcBorders>
            <w:shd w:val="clear" w:color="auto" w:fill="auto"/>
            <w:noWrap/>
            <w:vAlign w:val="center"/>
            <w:hideMark/>
          </w:tcPr>
          <w:p w14:paraId="2A3ED577" w14:textId="77777777" w:rsidR="00156651" w:rsidRPr="00156651" w:rsidRDefault="00156651" w:rsidP="008D7BB4">
            <w:pPr>
              <w:spacing w:line="276" w:lineRule="auto"/>
              <w:contextualSpacing/>
              <w:jc w:val="both"/>
              <w:rPr>
                <w:rFonts w:ascii="Times New Roman" w:eastAsia="Times New Roman" w:hAnsi="Times New Roman" w:cs="Times New Roman"/>
                <w:color w:val="000000"/>
                <w:sz w:val="22"/>
                <w:szCs w:val="22"/>
                <w:lang w:eastAsia="es-GT"/>
              </w:rPr>
            </w:pPr>
            <w:r w:rsidRPr="00156651">
              <w:rPr>
                <w:rFonts w:ascii="Times New Roman" w:eastAsia="Times New Roman" w:hAnsi="Times New Roman" w:cs="Times New Roman"/>
                <w:color w:val="000000"/>
                <w:sz w:val="22"/>
                <w:szCs w:val="22"/>
                <w:lang w:eastAsia="es-GT"/>
              </w:rPr>
              <w:t>Inversión bruta en activos no financieros</w:t>
            </w:r>
          </w:p>
        </w:tc>
        <w:tc>
          <w:tcPr>
            <w:tcW w:w="1213" w:type="dxa"/>
            <w:tcBorders>
              <w:top w:val="nil"/>
              <w:left w:val="nil"/>
              <w:bottom w:val="nil"/>
              <w:right w:val="nil"/>
            </w:tcBorders>
            <w:shd w:val="clear" w:color="auto" w:fill="auto"/>
            <w:noWrap/>
            <w:vAlign w:val="center"/>
          </w:tcPr>
          <w:p w14:paraId="47900727"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15,372.1</w:t>
            </w:r>
          </w:p>
        </w:tc>
        <w:tc>
          <w:tcPr>
            <w:tcW w:w="1214" w:type="dxa"/>
            <w:tcBorders>
              <w:top w:val="nil"/>
              <w:left w:val="nil"/>
              <w:bottom w:val="nil"/>
              <w:right w:val="nil"/>
            </w:tcBorders>
            <w:shd w:val="clear" w:color="auto" w:fill="auto"/>
            <w:noWrap/>
            <w:vAlign w:val="center"/>
          </w:tcPr>
          <w:p w14:paraId="7B6F4399"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16,754.6</w:t>
            </w:r>
          </w:p>
        </w:tc>
        <w:tc>
          <w:tcPr>
            <w:tcW w:w="1095" w:type="dxa"/>
            <w:tcBorders>
              <w:top w:val="double" w:sz="6" w:space="0" w:color="auto"/>
              <w:left w:val="dotDash" w:sz="4" w:space="0" w:color="auto"/>
              <w:bottom w:val="nil"/>
              <w:right w:val="nil"/>
            </w:tcBorders>
            <w:shd w:val="clear" w:color="auto" w:fill="auto"/>
            <w:noWrap/>
            <w:vAlign w:val="center"/>
          </w:tcPr>
          <w:p w14:paraId="76813C04"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2.3</w:t>
            </w:r>
          </w:p>
        </w:tc>
        <w:tc>
          <w:tcPr>
            <w:tcW w:w="1098" w:type="dxa"/>
            <w:tcBorders>
              <w:top w:val="nil"/>
              <w:left w:val="nil"/>
              <w:bottom w:val="nil"/>
              <w:right w:val="nil"/>
            </w:tcBorders>
            <w:shd w:val="clear" w:color="auto" w:fill="auto"/>
            <w:noWrap/>
            <w:vAlign w:val="center"/>
          </w:tcPr>
          <w:p w14:paraId="56E853F9"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2.3</w:t>
            </w:r>
          </w:p>
        </w:tc>
      </w:tr>
      <w:tr w:rsidR="00156651" w:rsidRPr="00156651" w14:paraId="3700B27D" w14:textId="77777777" w:rsidTr="00654363">
        <w:trPr>
          <w:trHeight w:val="238"/>
          <w:jc w:val="center"/>
        </w:trPr>
        <w:tc>
          <w:tcPr>
            <w:tcW w:w="3905" w:type="dxa"/>
            <w:tcBorders>
              <w:top w:val="nil"/>
              <w:left w:val="nil"/>
              <w:bottom w:val="nil"/>
              <w:right w:val="nil"/>
            </w:tcBorders>
            <w:shd w:val="clear" w:color="auto" w:fill="auto"/>
            <w:noWrap/>
            <w:vAlign w:val="center"/>
            <w:hideMark/>
          </w:tcPr>
          <w:p w14:paraId="1CCAA775" w14:textId="77777777" w:rsidR="00156651" w:rsidRPr="00156651" w:rsidRDefault="00156651" w:rsidP="008D7BB4">
            <w:pPr>
              <w:spacing w:line="276" w:lineRule="auto"/>
              <w:contextualSpacing/>
              <w:jc w:val="both"/>
              <w:rPr>
                <w:rFonts w:ascii="Times New Roman" w:eastAsia="Times New Roman" w:hAnsi="Times New Roman" w:cs="Times New Roman"/>
                <w:color w:val="000000"/>
                <w:sz w:val="22"/>
                <w:szCs w:val="22"/>
                <w:lang w:eastAsia="es-GT"/>
              </w:rPr>
            </w:pPr>
            <w:r w:rsidRPr="00156651">
              <w:rPr>
                <w:rFonts w:ascii="Times New Roman" w:eastAsia="Times New Roman" w:hAnsi="Times New Roman" w:cs="Times New Roman"/>
                <w:color w:val="000000"/>
                <w:sz w:val="22"/>
                <w:szCs w:val="22"/>
                <w:lang w:eastAsia="es-GT"/>
              </w:rPr>
              <w:t>Erogación</w:t>
            </w:r>
          </w:p>
        </w:tc>
        <w:tc>
          <w:tcPr>
            <w:tcW w:w="1213" w:type="dxa"/>
            <w:tcBorders>
              <w:top w:val="nil"/>
              <w:left w:val="nil"/>
              <w:bottom w:val="nil"/>
              <w:right w:val="nil"/>
            </w:tcBorders>
            <w:shd w:val="clear" w:color="auto" w:fill="auto"/>
            <w:noWrap/>
            <w:vAlign w:val="center"/>
          </w:tcPr>
          <w:p w14:paraId="2586F1EC"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115,918.4</w:t>
            </w:r>
          </w:p>
        </w:tc>
        <w:tc>
          <w:tcPr>
            <w:tcW w:w="1214" w:type="dxa"/>
            <w:tcBorders>
              <w:top w:val="nil"/>
              <w:left w:val="nil"/>
              <w:bottom w:val="nil"/>
              <w:right w:val="nil"/>
            </w:tcBorders>
            <w:shd w:val="clear" w:color="auto" w:fill="auto"/>
            <w:noWrap/>
            <w:vAlign w:val="center"/>
          </w:tcPr>
          <w:p w14:paraId="44FBA9F9"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132,272.6</w:t>
            </w:r>
          </w:p>
        </w:tc>
        <w:tc>
          <w:tcPr>
            <w:tcW w:w="1095" w:type="dxa"/>
            <w:tcBorders>
              <w:top w:val="nil"/>
              <w:left w:val="dotDash" w:sz="4" w:space="0" w:color="auto"/>
              <w:bottom w:val="nil"/>
              <w:right w:val="nil"/>
            </w:tcBorders>
            <w:shd w:val="clear" w:color="auto" w:fill="auto"/>
            <w:noWrap/>
            <w:vAlign w:val="center"/>
          </w:tcPr>
          <w:p w14:paraId="05B49AFD"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17.4</w:t>
            </w:r>
          </w:p>
        </w:tc>
        <w:tc>
          <w:tcPr>
            <w:tcW w:w="1098" w:type="dxa"/>
            <w:tcBorders>
              <w:top w:val="nil"/>
              <w:left w:val="nil"/>
              <w:bottom w:val="nil"/>
              <w:right w:val="nil"/>
            </w:tcBorders>
            <w:shd w:val="clear" w:color="auto" w:fill="auto"/>
            <w:noWrap/>
            <w:vAlign w:val="center"/>
          </w:tcPr>
          <w:p w14:paraId="7CAA941A"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18.0</w:t>
            </w:r>
          </w:p>
        </w:tc>
      </w:tr>
      <w:tr w:rsidR="00156651" w:rsidRPr="00156651" w14:paraId="03F50E69" w14:textId="77777777" w:rsidTr="00654363">
        <w:trPr>
          <w:trHeight w:val="238"/>
          <w:jc w:val="center"/>
        </w:trPr>
        <w:tc>
          <w:tcPr>
            <w:tcW w:w="3905" w:type="dxa"/>
            <w:tcBorders>
              <w:top w:val="nil"/>
              <w:left w:val="nil"/>
              <w:bottom w:val="nil"/>
              <w:right w:val="nil"/>
            </w:tcBorders>
            <w:shd w:val="clear" w:color="auto" w:fill="auto"/>
            <w:noWrap/>
            <w:vAlign w:val="center"/>
            <w:hideMark/>
          </w:tcPr>
          <w:p w14:paraId="30CC47CB" w14:textId="77777777" w:rsidR="00156651" w:rsidRPr="00156651" w:rsidRDefault="00156651" w:rsidP="008D7BB4">
            <w:pPr>
              <w:spacing w:line="276" w:lineRule="auto"/>
              <w:contextualSpacing/>
              <w:jc w:val="both"/>
              <w:rPr>
                <w:rFonts w:ascii="Times New Roman" w:eastAsia="Times New Roman" w:hAnsi="Times New Roman" w:cs="Times New Roman"/>
                <w:b/>
                <w:bCs/>
                <w:color w:val="000000"/>
                <w:sz w:val="22"/>
                <w:szCs w:val="22"/>
                <w:lang w:eastAsia="es-GT"/>
              </w:rPr>
            </w:pPr>
            <w:r w:rsidRPr="00156651">
              <w:rPr>
                <w:rFonts w:ascii="Times New Roman" w:eastAsia="Times New Roman" w:hAnsi="Times New Roman" w:cs="Times New Roman"/>
                <w:b/>
                <w:bCs/>
                <w:color w:val="000000"/>
                <w:sz w:val="22"/>
                <w:szCs w:val="22"/>
                <w:lang w:eastAsia="es-GT"/>
              </w:rPr>
              <w:t>Resultado Primario</w:t>
            </w:r>
          </w:p>
        </w:tc>
        <w:tc>
          <w:tcPr>
            <w:tcW w:w="1213" w:type="dxa"/>
            <w:tcBorders>
              <w:top w:val="nil"/>
              <w:left w:val="nil"/>
              <w:bottom w:val="nil"/>
              <w:right w:val="nil"/>
            </w:tcBorders>
            <w:shd w:val="clear" w:color="auto" w:fill="auto"/>
            <w:noWrap/>
            <w:vAlign w:val="center"/>
          </w:tcPr>
          <w:p w14:paraId="27EAFD2E"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156651">
              <w:rPr>
                <w:rFonts w:ascii="Times New Roman" w:hAnsi="Times New Roman" w:cs="Times New Roman"/>
                <w:b/>
                <w:bCs/>
                <w:color w:val="000000"/>
                <w:sz w:val="22"/>
                <w:szCs w:val="22"/>
              </w:rPr>
              <w:t>7,748.9</w:t>
            </w:r>
          </w:p>
        </w:tc>
        <w:tc>
          <w:tcPr>
            <w:tcW w:w="1214" w:type="dxa"/>
            <w:tcBorders>
              <w:top w:val="nil"/>
              <w:left w:val="nil"/>
              <w:bottom w:val="nil"/>
              <w:right w:val="nil"/>
            </w:tcBorders>
            <w:shd w:val="clear" w:color="auto" w:fill="auto"/>
            <w:noWrap/>
            <w:vAlign w:val="center"/>
          </w:tcPr>
          <w:p w14:paraId="7CFF9DA8"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156651">
              <w:rPr>
                <w:rFonts w:ascii="Times New Roman" w:hAnsi="Times New Roman" w:cs="Times New Roman"/>
                <w:b/>
                <w:bCs/>
                <w:color w:val="000000"/>
                <w:sz w:val="22"/>
                <w:szCs w:val="22"/>
              </w:rPr>
              <w:t>5,064.1</w:t>
            </w:r>
          </w:p>
        </w:tc>
        <w:tc>
          <w:tcPr>
            <w:tcW w:w="1095" w:type="dxa"/>
            <w:tcBorders>
              <w:top w:val="nil"/>
              <w:left w:val="dotDash" w:sz="4" w:space="0" w:color="auto"/>
              <w:bottom w:val="nil"/>
              <w:right w:val="nil"/>
            </w:tcBorders>
            <w:shd w:val="clear" w:color="auto" w:fill="auto"/>
            <w:noWrap/>
            <w:vAlign w:val="center"/>
          </w:tcPr>
          <w:p w14:paraId="75502EF6"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156651">
              <w:rPr>
                <w:rFonts w:ascii="Times New Roman" w:hAnsi="Times New Roman" w:cs="Times New Roman"/>
                <w:b/>
                <w:bCs/>
                <w:color w:val="000000"/>
                <w:sz w:val="22"/>
                <w:szCs w:val="22"/>
              </w:rPr>
              <w:t>1.2</w:t>
            </w:r>
          </w:p>
        </w:tc>
        <w:tc>
          <w:tcPr>
            <w:tcW w:w="1098" w:type="dxa"/>
            <w:tcBorders>
              <w:top w:val="nil"/>
              <w:left w:val="nil"/>
              <w:bottom w:val="nil"/>
              <w:right w:val="nil"/>
            </w:tcBorders>
            <w:shd w:val="clear" w:color="auto" w:fill="auto"/>
            <w:noWrap/>
            <w:vAlign w:val="center"/>
          </w:tcPr>
          <w:p w14:paraId="20269A2A"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156651">
              <w:rPr>
                <w:rFonts w:ascii="Times New Roman" w:hAnsi="Times New Roman" w:cs="Times New Roman"/>
                <w:b/>
                <w:bCs/>
                <w:color w:val="000000"/>
                <w:sz w:val="22"/>
                <w:szCs w:val="22"/>
              </w:rPr>
              <w:t>0.7</w:t>
            </w:r>
          </w:p>
        </w:tc>
      </w:tr>
      <w:tr w:rsidR="00156651" w:rsidRPr="00156651" w14:paraId="5B68D7F9" w14:textId="77777777" w:rsidTr="00654363">
        <w:trPr>
          <w:trHeight w:val="238"/>
          <w:jc w:val="center"/>
        </w:trPr>
        <w:tc>
          <w:tcPr>
            <w:tcW w:w="3905" w:type="dxa"/>
            <w:tcBorders>
              <w:top w:val="nil"/>
              <w:left w:val="nil"/>
              <w:bottom w:val="nil"/>
              <w:right w:val="nil"/>
            </w:tcBorders>
            <w:shd w:val="clear" w:color="auto" w:fill="auto"/>
            <w:noWrap/>
            <w:vAlign w:val="center"/>
            <w:hideMark/>
          </w:tcPr>
          <w:p w14:paraId="6B367AC1" w14:textId="77777777" w:rsidR="00156651" w:rsidRPr="00156651" w:rsidRDefault="00156651" w:rsidP="008D7BB4">
            <w:pPr>
              <w:spacing w:line="276" w:lineRule="auto"/>
              <w:contextualSpacing/>
              <w:jc w:val="both"/>
              <w:rPr>
                <w:rFonts w:ascii="Times New Roman" w:eastAsia="Times New Roman" w:hAnsi="Times New Roman" w:cs="Times New Roman"/>
                <w:b/>
                <w:bCs/>
                <w:color w:val="000000"/>
                <w:sz w:val="22"/>
                <w:szCs w:val="22"/>
                <w:lang w:eastAsia="es-GT"/>
              </w:rPr>
            </w:pPr>
            <w:r w:rsidRPr="00156651">
              <w:rPr>
                <w:rFonts w:ascii="Times New Roman" w:eastAsia="Times New Roman" w:hAnsi="Times New Roman" w:cs="Times New Roman"/>
                <w:b/>
                <w:bCs/>
                <w:color w:val="000000"/>
                <w:sz w:val="22"/>
                <w:szCs w:val="22"/>
                <w:lang w:eastAsia="es-GT"/>
              </w:rPr>
              <w:t>Préstamo (+) / endeudamiento (-)</w:t>
            </w:r>
          </w:p>
        </w:tc>
        <w:tc>
          <w:tcPr>
            <w:tcW w:w="1213" w:type="dxa"/>
            <w:tcBorders>
              <w:top w:val="nil"/>
              <w:left w:val="nil"/>
              <w:bottom w:val="nil"/>
              <w:right w:val="nil"/>
            </w:tcBorders>
            <w:shd w:val="clear" w:color="auto" w:fill="auto"/>
            <w:noWrap/>
            <w:vAlign w:val="center"/>
          </w:tcPr>
          <w:p w14:paraId="24102930"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156651">
              <w:rPr>
                <w:rFonts w:ascii="Times New Roman" w:hAnsi="Times New Roman" w:cs="Times New Roman"/>
                <w:b/>
                <w:bCs/>
                <w:color w:val="000000"/>
                <w:sz w:val="22"/>
                <w:szCs w:val="22"/>
              </w:rPr>
              <w:t>-2,558.9</w:t>
            </w:r>
          </w:p>
        </w:tc>
        <w:tc>
          <w:tcPr>
            <w:tcW w:w="1214" w:type="dxa"/>
            <w:tcBorders>
              <w:top w:val="nil"/>
              <w:left w:val="nil"/>
              <w:bottom w:val="nil"/>
              <w:right w:val="nil"/>
            </w:tcBorders>
            <w:shd w:val="clear" w:color="auto" w:fill="auto"/>
            <w:noWrap/>
            <w:vAlign w:val="center"/>
          </w:tcPr>
          <w:p w14:paraId="1B08DFA5"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156651">
              <w:rPr>
                <w:rFonts w:ascii="Times New Roman" w:hAnsi="Times New Roman" w:cs="Times New Roman"/>
                <w:b/>
                <w:bCs/>
                <w:color w:val="000000"/>
                <w:sz w:val="22"/>
                <w:szCs w:val="22"/>
              </w:rPr>
              <w:t>-5,949.0</w:t>
            </w:r>
          </w:p>
        </w:tc>
        <w:tc>
          <w:tcPr>
            <w:tcW w:w="1095" w:type="dxa"/>
            <w:tcBorders>
              <w:top w:val="nil"/>
              <w:left w:val="dotDash" w:sz="4" w:space="0" w:color="auto"/>
              <w:bottom w:val="nil"/>
              <w:right w:val="nil"/>
            </w:tcBorders>
            <w:shd w:val="clear" w:color="auto" w:fill="auto"/>
            <w:noWrap/>
            <w:vAlign w:val="center"/>
          </w:tcPr>
          <w:p w14:paraId="3E78822D"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156651">
              <w:rPr>
                <w:rFonts w:ascii="Times New Roman" w:hAnsi="Times New Roman" w:cs="Times New Roman"/>
                <w:b/>
                <w:bCs/>
                <w:color w:val="000000"/>
                <w:sz w:val="22"/>
                <w:szCs w:val="22"/>
              </w:rPr>
              <w:t>-0.4</w:t>
            </w:r>
          </w:p>
        </w:tc>
        <w:tc>
          <w:tcPr>
            <w:tcW w:w="1098" w:type="dxa"/>
            <w:tcBorders>
              <w:top w:val="nil"/>
              <w:left w:val="nil"/>
              <w:bottom w:val="nil"/>
              <w:right w:val="nil"/>
            </w:tcBorders>
            <w:shd w:val="clear" w:color="auto" w:fill="auto"/>
            <w:noWrap/>
            <w:vAlign w:val="center"/>
          </w:tcPr>
          <w:p w14:paraId="3026CBE5"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156651">
              <w:rPr>
                <w:rFonts w:ascii="Times New Roman" w:hAnsi="Times New Roman" w:cs="Times New Roman"/>
                <w:b/>
                <w:bCs/>
                <w:color w:val="000000"/>
                <w:sz w:val="22"/>
                <w:szCs w:val="22"/>
              </w:rPr>
              <w:t>-0.8</w:t>
            </w:r>
          </w:p>
        </w:tc>
      </w:tr>
      <w:tr w:rsidR="00156651" w:rsidRPr="00156651" w14:paraId="03AA8582" w14:textId="77777777" w:rsidTr="00654363">
        <w:trPr>
          <w:trHeight w:val="238"/>
          <w:jc w:val="center"/>
        </w:trPr>
        <w:tc>
          <w:tcPr>
            <w:tcW w:w="8525" w:type="dxa"/>
            <w:gridSpan w:val="5"/>
            <w:tcBorders>
              <w:top w:val="single" w:sz="8" w:space="0" w:color="auto"/>
              <w:left w:val="nil"/>
              <w:bottom w:val="double" w:sz="6" w:space="0" w:color="auto"/>
              <w:right w:val="nil"/>
            </w:tcBorders>
            <w:shd w:val="clear" w:color="auto" w:fill="auto"/>
            <w:noWrap/>
            <w:vAlign w:val="center"/>
            <w:hideMark/>
          </w:tcPr>
          <w:p w14:paraId="603245BE" w14:textId="77777777" w:rsidR="00156651" w:rsidRPr="00156651" w:rsidRDefault="00156651" w:rsidP="008D7BB4">
            <w:pPr>
              <w:spacing w:line="276" w:lineRule="auto"/>
              <w:contextualSpacing/>
              <w:jc w:val="both"/>
              <w:rPr>
                <w:rFonts w:ascii="Times New Roman" w:eastAsia="Times New Roman" w:hAnsi="Times New Roman" w:cs="Times New Roman"/>
                <w:b/>
                <w:bCs/>
                <w:color w:val="4472C4"/>
                <w:sz w:val="22"/>
                <w:szCs w:val="22"/>
                <w:lang w:eastAsia="es-GT"/>
              </w:rPr>
            </w:pPr>
            <w:r w:rsidRPr="00156651">
              <w:rPr>
                <w:rFonts w:ascii="Times New Roman" w:eastAsia="Times New Roman" w:hAnsi="Times New Roman" w:cs="Times New Roman"/>
                <w:b/>
                <w:bCs/>
                <w:color w:val="4472C4"/>
                <w:sz w:val="22"/>
                <w:szCs w:val="22"/>
                <w:lang w:eastAsia="es-GT"/>
              </w:rPr>
              <w:t>TRANSACCIONES EN ACTIVOS Y PASIVOS FINANCIEROS (FINANCIMIENTO)</w:t>
            </w:r>
          </w:p>
        </w:tc>
      </w:tr>
      <w:tr w:rsidR="00156651" w:rsidRPr="00156651" w14:paraId="55D05E41" w14:textId="77777777" w:rsidTr="00654363">
        <w:trPr>
          <w:trHeight w:val="238"/>
          <w:jc w:val="center"/>
        </w:trPr>
        <w:tc>
          <w:tcPr>
            <w:tcW w:w="3905" w:type="dxa"/>
            <w:tcBorders>
              <w:top w:val="nil"/>
              <w:left w:val="nil"/>
              <w:bottom w:val="nil"/>
              <w:right w:val="nil"/>
            </w:tcBorders>
            <w:shd w:val="clear" w:color="auto" w:fill="auto"/>
            <w:noWrap/>
            <w:vAlign w:val="center"/>
            <w:hideMark/>
          </w:tcPr>
          <w:p w14:paraId="3FD08CE4" w14:textId="77777777" w:rsidR="00156651" w:rsidRPr="00156651" w:rsidRDefault="00156651" w:rsidP="008D7BB4">
            <w:pPr>
              <w:spacing w:line="276" w:lineRule="auto"/>
              <w:contextualSpacing/>
              <w:jc w:val="both"/>
              <w:rPr>
                <w:rFonts w:ascii="Times New Roman" w:eastAsia="Times New Roman" w:hAnsi="Times New Roman" w:cs="Times New Roman"/>
                <w:b/>
                <w:bCs/>
                <w:color w:val="000000"/>
                <w:sz w:val="22"/>
                <w:szCs w:val="22"/>
                <w:lang w:eastAsia="es-GT"/>
              </w:rPr>
            </w:pPr>
            <w:r w:rsidRPr="00156651">
              <w:rPr>
                <w:rFonts w:ascii="Times New Roman" w:eastAsia="Times New Roman" w:hAnsi="Times New Roman" w:cs="Times New Roman"/>
                <w:b/>
                <w:bCs/>
                <w:color w:val="000000"/>
                <w:sz w:val="22"/>
                <w:szCs w:val="22"/>
                <w:lang w:eastAsia="es-GT"/>
              </w:rPr>
              <w:t>Adquisición neta de activos financieros</w:t>
            </w:r>
          </w:p>
        </w:tc>
        <w:tc>
          <w:tcPr>
            <w:tcW w:w="1213" w:type="dxa"/>
            <w:tcBorders>
              <w:top w:val="nil"/>
              <w:left w:val="nil"/>
              <w:bottom w:val="nil"/>
              <w:right w:val="nil"/>
            </w:tcBorders>
            <w:shd w:val="clear" w:color="auto" w:fill="auto"/>
            <w:noWrap/>
            <w:vAlign w:val="center"/>
          </w:tcPr>
          <w:p w14:paraId="3EB9D74D"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156651">
              <w:rPr>
                <w:rFonts w:ascii="Times New Roman" w:hAnsi="Times New Roman" w:cs="Times New Roman"/>
                <w:b/>
                <w:bCs/>
                <w:color w:val="000000"/>
                <w:sz w:val="22"/>
                <w:szCs w:val="22"/>
              </w:rPr>
              <w:t>16,854.8</w:t>
            </w:r>
          </w:p>
        </w:tc>
        <w:tc>
          <w:tcPr>
            <w:tcW w:w="1214" w:type="dxa"/>
            <w:tcBorders>
              <w:top w:val="nil"/>
              <w:left w:val="nil"/>
              <w:bottom w:val="nil"/>
              <w:right w:val="nil"/>
            </w:tcBorders>
            <w:shd w:val="clear" w:color="auto" w:fill="auto"/>
            <w:noWrap/>
            <w:vAlign w:val="center"/>
          </w:tcPr>
          <w:p w14:paraId="7A8581F5"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156651">
              <w:rPr>
                <w:rFonts w:ascii="Times New Roman" w:hAnsi="Times New Roman" w:cs="Times New Roman"/>
                <w:b/>
                <w:bCs/>
                <w:color w:val="000000"/>
                <w:sz w:val="22"/>
                <w:szCs w:val="22"/>
              </w:rPr>
              <w:t>610.0</w:t>
            </w:r>
          </w:p>
        </w:tc>
        <w:tc>
          <w:tcPr>
            <w:tcW w:w="1095" w:type="dxa"/>
            <w:tcBorders>
              <w:top w:val="double" w:sz="6" w:space="0" w:color="auto"/>
              <w:left w:val="dotDash" w:sz="4" w:space="0" w:color="auto"/>
              <w:bottom w:val="nil"/>
              <w:right w:val="nil"/>
            </w:tcBorders>
            <w:shd w:val="clear" w:color="auto" w:fill="auto"/>
            <w:noWrap/>
            <w:vAlign w:val="center"/>
          </w:tcPr>
          <w:p w14:paraId="6ED77DCD"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156651">
              <w:rPr>
                <w:rFonts w:ascii="Times New Roman" w:hAnsi="Times New Roman" w:cs="Times New Roman"/>
                <w:b/>
                <w:bCs/>
                <w:color w:val="000000"/>
                <w:sz w:val="22"/>
                <w:szCs w:val="22"/>
              </w:rPr>
              <w:t>2.5</w:t>
            </w:r>
          </w:p>
        </w:tc>
        <w:tc>
          <w:tcPr>
            <w:tcW w:w="1098" w:type="dxa"/>
            <w:tcBorders>
              <w:top w:val="nil"/>
              <w:left w:val="nil"/>
              <w:bottom w:val="nil"/>
              <w:right w:val="nil"/>
            </w:tcBorders>
            <w:shd w:val="clear" w:color="auto" w:fill="auto"/>
            <w:noWrap/>
            <w:vAlign w:val="center"/>
          </w:tcPr>
          <w:p w14:paraId="5C020D98"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156651">
              <w:rPr>
                <w:rFonts w:ascii="Times New Roman" w:hAnsi="Times New Roman" w:cs="Times New Roman"/>
                <w:b/>
                <w:bCs/>
                <w:color w:val="000000"/>
                <w:sz w:val="22"/>
                <w:szCs w:val="22"/>
              </w:rPr>
              <w:t>0.1</w:t>
            </w:r>
          </w:p>
        </w:tc>
      </w:tr>
      <w:tr w:rsidR="00156651" w:rsidRPr="00156651" w14:paraId="00AFEC3C" w14:textId="77777777" w:rsidTr="00654363">
        <w:trPr>
          <w:trHeight w:val="238"/>
          <w:jc w:val="center"/>
        </w:trPr>
        <w:tc>
          <w:tcPr>
            <w:tcW w:w="3905" w:type="dxa"/>
            <w:tcBorders>
              <w:top w:val="nil"/>
              <w:left w:val="nil"/>
              <w:bottom w:val="nil"/>
              <w:right w:val="nil"/>
            </w:tcBorders>
            <w:shd w:val="clear" w:color="auto" w:fill="auto"/>
            <w:noWrap/>
            <w:vAlign w:val="center"/>
            <w:hideMark/>
          </w:tcPr>
          <w:p w14:paraId="35BCBBE1" w14:textId="77777777" w:rsidR="00156651" w:rsidRPr="00156651" w:rsidRDefault="00156651" w:rsidP="008D7BB4">
            <w:pPr>
              <w:spacing w:line="276" w:lineRule="auto"/>
              <w:ind w:firstLineChars="100" w:firstLine="220"/>
              <w:contextualSpacing/>
              <w:rPr>
                <w:rFonts w:ascii="Times New Roman" w:eastAsia="Times New Roman" w:hAnsi="Times New Roman" w:cs="Times New Roman"/>
                <w:color w:val="000000"/>
                <w:sz w:val="22"/>
                <w:szCs w:val="22"/>
                <w:lang w:eastAsia="es-GT"/>
              </w:rPr>
            </w:pPr>
            <w:r w:rsidRPr="00156651">
              <w:rPr>
                <w:rFonts w:ascii="Times New Roman" w:eastAsia="Times New Roman" w:hAnsi="Times New Roman" w:cs="Times New Roman"/>
                <w:color w:val="000000"/>
                <w:sz w:val="22"/>
                <w:szCs w:val="22"/>
                <w:lang w:eastAsia="es-GT"/>
              </w:rPr>
              <w:t>Billetes monedas y depósitos</w:t>
            </w:r>
          </w:p>
        </w:tc>
        <w:tc>
          <w:tcPr>
            <w:tcW w:w="1213" w:type="dxa"/>
            <w:tcBorders>
              <w:top w:val="nil"/>
              <w:left w:val="nil"/>
              <w:bottom w:val="nil"/>
              <w:right w:val="nil"/>
            </w:tcBorders>
            <w:shd w:val="clear" w:color="auto" w:fill="auto"/>
            <w:noWrap/>
            <w:vAlign w:val="center"/>
          </w:tcPr>
          <w:p w14:paraId="24807F88"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12,130.7</w:t>
            </w:r>
          </w:p>
        </w:tc>
        <w:tc>
          <w:tcPr>
            <w:tcW w:w="1214" w:type="dxa"/>
            <w:tcBorders>
              <w:top w:val="nil"/>
              <w:left w:val="nil"/>
              <w:bottom w:val="nil"/>
              <w:right w:val="nil"/>
            </w:tcBorders>
            <w:shd w:val="clear" w:color="auto" w:fill="auto"/>
            <w:noWrap/>
            <w:vAlign w:val="center"/>
          </w:tcPr>
          <w:p w14:paraId="70A9413F"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-2,568.8</w:t>
            </w:r>
          </w:p>
        </w:tc>
        <w:tc>
          <w:tcPr>
            <w:tcW w:w="1095" w:type="dxa"/>
            <w:tcBorders>
              <w:top w:val="nil"/>
              <w:left w:val="dotDash" w:sz="4" w:space="0" w:color="auto"/>
              <w:bottom w:val="nil"/>
              <w:right w:val="nil"/>
            </w:tcBorders>
            <w:shd w:val="clear" w:color="auto" w:fill="auto"/>
            <w:noWrap/>
            <w:vAlign w:val="center"/>
          </w:tcPr>
          <w:p w14:paraId="2838FA9C"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1.8</w:t>
            </w:r>
          </w:p>
        </w:tc>
        <w:tc>
          <w:tcPr>
            <w:tcW w:w="1098" w:type="dxa"/>
            <w:tcBorders>
              <w:top w:val="nil"/>
              <w:left w:val="nil"/>
              <w:bottom w:val="nil"/>
              <w:right w:val="nil"/>
            </w:tcBorders>
            <w:shd w:val="clear" w:color="auto" w:fill="auto"/>
            <w:noWrap/>
            <w:vAlign w:val="center"/>
          </w:tcPr>
          <w:p w14:paraId="2CF2FBBA"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-0.4</w:t>
            </w:r>
          </w:p>
        </w:tc>
      </w:tr>
      <w:tr w:rsidR="00156651" w:rsidRPr="00156651" w14:paraId="156D919B" w14:textId="77777777" w:rsidTr="00654363">
        <w:trPr>
          <w:trHeight w:val="238"/>
          <w:jc w:val="center"/>
        </w:trPr>
        <w:tc>
          <w:tcPr>
            <w:tcW w:w="3905" w:type="dxa"/>
            <w:tcBorders>
              <w:top w:val="nil"/>
              <w:left w:val="nil"/>
              <w:bottom w:val="nil"/>
              <w:right w:val="nil"/>
            </w:tcBorders>
            <w:shd w:val="clear" w:color="auto" w:fill="auto"/>
            <w:noWrap/>
            <w:vAlign w:val="center"/>
            <w:hideMark/>
          </w:tcPr>
          <w:p w14:paraId="78066F38" w14:textId="77777777" w:rsidR="00156651" w:rsidRPr="00156651" w:rsidRDefault="00156651" w:rsidP="008D7BB4">
            <w:pPr>
              <w:spacing w:line="276" w:lineRule="auto"/>
              <w:ind w:firstLineChars="100" w:firstLine="220"/>
              <w:contextualSpacing/>
              <w:rPr>
                <w:rFonts w:ascii="Times New Roman" w:eastAsia="Times New Roman" w:hAnsi="Times New Roman" w:cs="Times New Roman"/>
                <w:color w:val="000000"/>
                <w:sz w:val="22"/>
                <w:szCs w:val="22"/>
                <w:lang w:eastAsia="es-GT"/>
              </w:rPr>
            </w:pPr>
            <w:r w:rsidRPr="00156651">
              <w:rPr>
                <w:rFonts w:ascii="Times New Roman" w:eastAsia="Times New Roman" w:hAnsi="Times New Roman" w:cs="Times New Roman"/>
                <w:color w:val="000000"/>
                <w:sz w:val="22"/>
                <w:szCs w:val="22"/>
                <w:lang w:eastAsia="es-GT"/>
              </w:rPr>
              <w:t>Préstamos</w:t>
            </w:r>
          </w:p>
        </w:tc>
        <w:tc>
          <w:tcPr>
            <w:tcW w:w="1213" w:type="dxa"/>
            <w:tcBorders>
              <w:top w:val="nil"/>
              <w:left w:val="nil"/>
              <w:bottom w:val="nil"/>
              <w:right w:val="nil"/>
            </w:tcBorders>
            <w:shd w:val="clear" w:color="auto" w:fill="auto"/>
            <w:noWrap/>
            <w:vAlign w:val="center"/>
          </w:tcPr>
          <w:p w14:paraId="29E5A4BE"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1.6</w:t>
            </w:r>
          </w:p>
        </w:tc>
        <w:tc>
          <w:tcPr>
            <w:tcW w:w="1214" w:type="dxa"/>
            <w:tcBorders>
              <w:top w:val="nil"/>
              <w:left w:val="nil"/>
              <w:bottom w:val="nil"/>
              <w:right w:val="nil"/>
            </w:tcBorders>
            <w:shd w:val="clear" w:color="auto" w:fill="auto"/>
            <w:noWrap/>
            <w:vAlign w:val="center"/>
          </w:tcPr>
          <w:p w14:paraId="69EDD387"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-103.1</w:t>
            </w:r>
          </w:p>
        </w:tc>
        <w:tc>
          <w:tcPr>
            <w:tcW w:w="1095" w:type="dxa"/>
            <w:tcBorders>
              <w:top w:val="nil"/>
              <w:left w:val="dotDash" w:sz="4" w:space="0" w:color="auto"/>
              <w:bottom w:val="nil"/>
              <w:right w:val="nil"/>
            </w:tcBorders>
            <w:shd w:val="clear" w:color="auto" w:fill="auto"/>
            <w:noWrap/>
            <w:vAlign w:val="center"/>
          </w:tcPr>
          <w:p w14:paraId="63D8DF52"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0.0</w:t>
            </w:r>
          </w:p>
        </w:tc>
        <w:tc>
          <w:tcPr>
            <w:tcW w:w="1098" w:type="dxa"/>
            <w:tcBorders>
              <w:top w:val="nil"/>
              <w:left w:val="nil"/>
              <w:bottom w:val="nil"/>
              <w:right w:val="nil"/>
            </w:tcBorders>
            <w:shd w:val="clear" w:color="auto" w:fill="auto"/>
            <w:noWrap/>
            <w:vAlign w:val="center"/>
          </w:tcPr>
          <w:p w14:paraId="11FC419B"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0.0</w:t>
            </w:r>
          </w:p>
        </w:tc>
      </w:tr>
      <w:tr w:rsidR="00156651" w:rsidRPr="00156651" w14:paraId="4B1633EE" w14:textId="77777777" w:rsidTr="00654363">
        <w:trPr>
          <w:trHeight w:val="238"/>
          <w:jc w:val="center"/>
        </w:trPr>
        <w:tc>
          <w:tcPr>
            <w:tcW w:w="3905" w:type="dxa"/>
            <w:tcBorders>
              <w:top w:val="nil"/>
              <w:left w:val="nil"/>
              <w:bottom w:val="nil"/>
              <w:right w:val="nil"/>
            </w:tcBorders>
            <w:shd w:val="clear" w:color="auto" w:fill="auto"/>
            <w:noWrap/>
            <w:vAlign w:val="center"/>
            <w:hideMark/>
          </w:tcPr>
          <w:p w14:paraId="2777A6ED" w14:textId="77777777" w:rsidR="00156651" w:rsidRPr="00156651" w:rsidRDefault="00156651" w:rsidP="008D7BB4">
            <w:pPr>
              <w:spacing w:line="276" w:lineRule="auto"/>
              <w:ind w:firstLineChars="100" w:firstLine="220"/>
              <w:contextualSpacing/>
              <w:rPr>
                <w:rFonts w:ascii="Times New Roman" w:eastAsia="Times New Roman" w:hAnsi="Times New Roman" w:cs="Times New Roman"/>
                <w:color w:val="000000"/>
                <w:sz w:val="22"/>
                <w:szCs w:val="22"/>
                <w:lang w:eastAsia="es-GT"/>
              </w:rPr>
            </w:pPr>
            <w:r w:rsidRPr="00156651">
              <w:rPr>
                <w:rFonts w:ascii="Times New Roman" w:eastAsia="Times New Roman" w:hAnsi="Times New Roman" w:cs="Times New Roman"/>
                <w:color w:val="000000"/>
                <w:sz w:val="22"/>
                <w:szCs w:val="22"/>
                <w:lang w:eastAsia="es-GT"/>
              </w:rPr>
              <w:t>Otros</w:t>
            </w:r>
          </w:p>
        </w:tc>
        <w:tc>
          <w:tcPr>
            <w:tcW w:w="1213" w:type="dxa"/>
            <w:tcBorders>
              <w:top w:val="nil"/>
              <w:left w:val="nil"/>
              <w:bottom w:val="nil"/>
              <w:right w:val="nil"/>
            </w:tcBorders>
            <w:shd w:val="clear" w:color="auto" w:fill="auto"/>
            <w:noWrap/>
            <w:vAlign w:val="center"/>
          </w:tcPr>
          <w:p w14:paraId="344B8DBE"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4,722.5</w:t>
            </w:r>
          </w:p>
        </w:tc>
        <w:tc>
          <w:tcPr>
            <w:tcW w:w="1214" w:type="dxa"/>
            <w:tcBorders>
              <w:top w:val="nil"/>
              <w:left w:val="nil"/>
              <w:bottom w:val="nil"/>
              <w:right w:val="nil"/>
            </w:tcBorders>
            <w:shd w:val="clear" w:color="auto" w:fill="auto"/>
            <w:noWrap/>
            <w:vAlign w:val="center"/>
          </w:tcPr>
          <w:p w14:paraId="51897BFA"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3,281.9</w:t>
            </w:r>
          </w:p>
        </w:tc>
        <w:tc>
          <w:tcPr>
            <w:tcW w:w="1095" w:type="dxa"/>
            <w:tcBorders>
              <w:top w:val="nil"/>
              <w:left w:val="dotDash" w:sz="4" w:space="0" w:color="auto"/>
              <w:bottom w:val="nil"/>
              <w:right w:val="nil"/>
            </w:tcBorders>
            <w:shd w:val="clear" w:color="auto" w:fill="auto"/>
            <w:noWrap/>
            <w:vAlign w:val="center"/>
          </w:tcPr>
          <w:p w14:paraId="22660A60"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0.7</w:t>
            </w:r>
          </w:p>
        </w:tc>
        <w:tc>
          <w:tcPr>
            <w:tcW w:w="1098" w:type="dxa"/>
            <w:tcBorders>
              <w:top w:val="nil"/>
              <w:left w:val="nil"/>
              <w:bottom w:val="nil"/>
              <w:right w:val="nil"/>
            </w:tcBorders>
            <w:shd w:val="clear" w:color="auto" w:fill="auto"/>
            <w:noWrap/>
            <w:vAlign w:val="center"/>
          </w:tcPr>
          <w:p w14:paraId="3FA8D593"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0.4</w:t>
            </w:r>
          </w:p>
        </w:tc>
      </w:tr>
      <w:tr w:rsidR="00156651" w:rsidRPr="00156651" w14:paraId="148C82CD" w14:textId="77777777" w:rsidTr="00654363">
        <w:trPr>
          <w:trHeight w:val="238"/>
          <w:jc w:val="center"/>
        </w:trPr>
        <w:tc>
          <w:tcPr>
            <w:tcW w:w="3905" w:type="dxa"/>
            <w:tcBorders>
              <w:top w:val="nil"/>
              <w:left w:val="nil"/>
              <w:bottom w:val="nil"/>
              <w:right w:val="nil"/>
            </w:tcBorders>
            <w:shd w:val="clear" w:color="auto" w:fill="auto"/>
            <w:noWrap/>
            <w:vAlign w:val="center"/>
            <w:hideMark/>
          </w:tcPr>
          <w:p w14:paraId="2DD30EE6" w14:textId="77777777" w:rsidR="00156651" w:rsidRPr="00156651" w:rsidRDefault="00156651" w:rsidP="008D7BB4">
            <w:pPr>
              <w:spacing w:line="276" w:lineRule="auto"/>
              <w:contextualSpacing/>
              <w:jc w:val="both"/>
              <w:rPr>
                <w:rFonts w:ascii="Times New Roman" w:eastAsia="Times New Roman" w:hAnsi="Times New Roman" w:cs="Times New Roman"/>
                <w:b/>
                <w:bCs/>
                <w:color w:val="000000"/>
                <w:sz w:val="22"/>
                <w:szCs w:val="22"/>
                <w:lang w:eastAsia="es-GT"/>
              </w:rPr>
            </w:pPr>
            <w:r w:rsidRPr="00156651">
              <w:rPr>
                <w:rFonts w:ascii="Times New Roman" w:eastAsia="Times New Roman" w:hAnsi="Times New Roman" w:cs="Times New Roman"/>
                <w:b/>
                <w:bCs/>
                <w:color w:val="000000"/>
                <w:sz w:val="22"/>
                <w:szCs w:val="22"/>
                <w:lang w:eastAsia="es-GT"/>
              </w:rPr>
              <w:t>Incurrimiento neto de pasivos</w:t>
            </w:r>
          </w:p>
        </w:tc>
        <w:tc>
          <w:tcPr>
            <w:tcW w:w="1213" w:type="dxa"/>
            <w:tcBorders>
              <w:top w:val="nil"/>
              <w:left w:val="nil"/>
              <w:bottom w:val="nil"/>
              <w:right w:val="nil"/>
            </w:tcBorders>
            <w:shd w:val="clear" w:color="auto" w:fill="auto"/>
            <w:noWrap/>
            <w:vAlign w:val="center"/>
          </w:tcPr>
          <w:p w14:paraId="14EF5471"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156651">
              <w:rPr>
                <w:rFonts w:ascii="Times New Roman" w:hAnsi="Times New Roman" w:cs="Times New Roman"/>
                <w:b/>
                <w:bCs/>
                <w:color w:val="000000"/>
                <w:sz w:val="22"/>
                <w:szCs w:val="22"/>
              </w:rPr>
              <w:t>19,004.8</w:t>
            </w:r>
          </w:p>
        </w:tc>
        <w:tc>
          <w:tcPr>
            <w:tcW w:w="1214" w:type="dxa"/>
            <w:tcBorders>
              <w:top w:val="nil"/>
              <w:left w:val="nil"/>
              <w:bottom w:val="nil"/>
              <w:right w:val="nil"/>
            </w:tcBorders>
            <w:shd w:val="clear" w:color="auto" w:fill="auto"/>
            <w:noWrap/>
            <w:vAlign w:val="center"/>
          </w:tcPr>
          <w:p w14:paraId="3C872015"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156651">
              <w:rPr>
                <w:rFonts w:ascii="Times New Roman" w:hAnsi="Times New Roman" w:cs="Times New Roman"/>
                <w:b/>
                <w:bCs/>
                <w:color w:val="000000"/>
                <w:sz w:val="22"/>
                <w:szCs w:val="22"/>
              </w:rPr>
              <w:t>7,455.7</w:t>
            </w:r>
          </w:p>
        </w:tc>
        <w:tc>
          <w:tcPr>
            <w:tcW w:w="1095" w:type="dxa"/>
            <w:tcBorders>
              <w:top w:val="nil"/>
              <w:left w:val="dotDash" w:sz="4" w:space="0" w:color="auto"/>
              <w:bottom w:val="nil"/>
              <w:right w:val="nil"/>
            </w:tcBorders>
            <w:shd w:val="clear" w:color="auto" w:fill="auto"/>
            <w:noWrap/>
            <w:vAlign w:val="center"/>
          </w:tcPr>
          <w:p w14:paraId="26E6A5D7"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156651">
              <w:rPr>
                <w:rFonts w:ascii="Times New Roman" w:hAnsi="Times New Roman" w:cs="Times New Roman"/>
                <w:b/>
                <w:bCs/>
                <w:color w:val="000000"/>
                <w:sz w:val="22"/>
                <w:szCs w:val="22"/>
              </w:rPr>
              <w:t>2.9</w:t>
            </w:r>
          </w:p>
        </w:tc>
        <w:tc>
          <w:tcPr>
            <w:tcW w:w="1098" w:type="dxa"/>
            <w:tcBorders>
              <w:top w:val="nil"/>
              <w:left w:val="nil"/>
              <w:bottom w:val="nil"/>
              <w:right w:val="nil"/>
            </w:tcBorders>
            <w:shd w:val="clear" w:color="auto" w:fill="auto"/>
            <w:noWrap/>
            <w:vAlign w:val="center"/>
          </w:tcPr>
          <w:p w14:paraId="7974E545"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156651">
              <w:rPr>
                <w:rFonts w:ascii="Times New Roman" w:hAnsi="Times New Roman" w:cs="Times New Roman"/>
                <w:b/>
                <w:bCs/>
                <w:color w:val="000000"/>
                <w:sz w:val="22"/>
                <w:szCs w:val="22"/>
              </w:rPr>
              <w:t>1.0</w:t>
            </w:r>
          </w:p>
        </w:tc>
      </w:tr>
      <w:tr w:rsidR="00156651" w:rsidRPr="00156651" w14:paraId="2297CF91" w14:textId="77777777" w:rsidTr="00654363">
        <w:trPr>
          <w:trHeight w:val="238"/>
          <w:jc w:val="center"/>
        </w:trPr>
        <w:tc>
          <w:tcPr>
            <w:tcW w:w="3905" w:type="dxa"/>
            <w:tcBorders>
              <w:top w:val="nil"/>
              <w:left w:val="nil"/>
              <w:bottom w:val="nil"/>
              <w:right w:val="nil"/>
            </w:tcBorders>
            <w:shd w:val="clear" w:color="auto" w:fill="auto"/>
            <w:noWrap/>
            <w:vAlign w:val="center"/>
            <w:hideMark/>
          </w:tcPr>
          <w:p w14:paraId="6D82BA54" w14:textId="77777777" w:rsidR="00156651" w:rsidRPr="00156651" w:rsidRDefault="00156651" w:rsidP="008D7BB4">
            <w:pPr>
              <w:spacing w:line="276" w:lineRule="auto"/>
              <w:ind w:firstLineChars="100" w:firstLine="220"/>
              <w:contextualSpacing/>
              <w:rPr>
                <w:rFonts w:ascii="Times New Roman" w:eastAsia="Times New Roman" w:hAnsi="Times New Roman" w:cs="Times New Roman"/>
                <w:color w:val="000000"/>
                <w:sz w:val="22"/>
                <w:szCs w:val="22"/>
                <w:lang w:eastAsia="es-GT"/>
              </w:rPr>
            </w:pPr>
            <w:r w:rsidRPr="00156651">
              <w:rPr>
                <w:rFonts w:ascii="Times New Roman" w:eastAsia="Times New Roman" w:hAnsi="Times New Roman" w:cs="Times New Roman"/>
                <w:color w:val="000000"/>
                <w:sz w:val="22"/>
                <w:szCs w:val="22"/>
                <w:lang w:eastAsia="es-GT"/>
              </w:rPr>
              <w:t>Títulos de deuda</w:t>
            </w:r>
          </w:p>
        </w:tc>
        <w:tc>
          <w:tcPr>
            <w:tcW w:w="1213" w:type="dxa"/>
            <w:tcBorders>
              <w:top w:val="nil"/>
              <w:left w:val="nil"/>
              <w:bottom w:val="nil"/>
              <w:right w:val="nil"/>
            </w:tcBorders>
            <w:shd w:val="clear" w:color="auto" w:fill="auto"/>
            <w:noWrap/>
            <w:vAlign w:val="center"/>
          </w:tcPr>
          <w:p w14:paraId="4B3309C6"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21,427.7</w:t>
            </w:r>
          </w:p>
        </w:tc>
        <w:tc>
          <w:tcPr>
            <w:tcW w:w="1214" w:type="dxa"/>
            <w:tcBorders>
              <w:top w:val="nil"/>
              <w:left w:val="nil"/>
              <w:bottom w:val="nil"/>
              <w:right w:val="nil"/>
            </w:tcBorders>
            <w:shd w:val="clear" w:color="auto" w:fill="auto"/>
            <w:noWrap/>
            <w:vAlign w:val="center"/>
          </w:tcPr>
          <w:p w14:paraId="000AC215"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5,520.0</w:t>
            </w:r>
          </w:p>
        </w:tc>
        <w:tc>
          <w:tcPr>
            <w:tcW w:w="1095" w:type="dxa"/>
            <w:tcBorders>
              <w:top w:val="nil"/>
              <w:left w:val="dotDash" w:sz="4" w:space="0" w:color="auto"/>
              <w:bottom w:val="nil"/>
              <w:right w:val="nil"/>
            </w:tcBorders>
            <w:shd w:val="clear" w:color="auto" w:fill="auto"/>
            <w:noWrap/>
            <w:vAlign w:val="center"/>
          </w:tcPr>
          <w:p w14:paraId="37C4483E"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3.2</w:t>
            </w:r>
          </w:p>
        </w:tc>
        <w:tc>
          <w:tcPr>
            <w:tcW w:w="1098" w:type="dxa"/>
            <w:tcBorders>
              <w:top w:val="nil"/>
              <w:left w:val="nil"/>
              <w:bottom w:val="nil"/>
              <w:right w:val="nil"/>
            </w:tcBorders>
            <w:shd w:val="clear" w:color="auto" w:fill="auto"/>
            <w:noWrap/>
            <w:vAlign w:val="center"/>
          </w:tcPr>
          <w:p w14:paraId="0014373D"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0.8</w:t>
            </w:r>
          </w:p>
        </w:tc>
      </w:tr>
      <w:tr w:rsidR="00156651" w:rsidRPr="00156651" w14:paraId="3A8060FD" w14:textId="77777777" w:rsidTr="00654363">
        <w:trPr>
          <w:trHeight w:val="238"/>
          <w:jc w:val="center"/>
        </w:trPr>
        <w:tc>
          <w:tcPr>
            <w:tcW w:w="3905" w:type="dxa"/>
            <w:tcBorders>
              <w:top w:val="nil"/>
              <w:left w:val="nil"/>
              <w:bottom w:val="nil"/>
              <w:right w:val="nil"/>
            </w:tcBorders>
            <w:shd w:val="clear" w:color="auto" w:fill="auto"/>
            <w:noWrap/>
            <w:vAlign w:val="center"/>
            <w:hideMark/>
          </w:tcPr>
          <w:p w14:paraId="3502AE31" w14:textId="77777777" w:rsidR="00156651" w:rsidRPr="00156651" w:rsidRDefault="00156651" w:rsidP="008D7BB4">
            <w:pPr>
              <w:spacing w:line="276" w:lineRule="auto"/>
              <w:ind w:firstLineChars="100" w:firstLine="220"/>
              <w:contextualSpacing/>
              <w:rPr>
                <w:rFonts w:ascii="Times New Roman" w:eastAsia="Times New Roman" w:hAnsi="Times New Roman" w:cs="Times New Roman"/>
                <w:color w:val="000000"/>
                <w:sz w:val="22"/>
                <w:szCs w:val="22"/>
                <w:lang w:eastAsia="es-GT"/>
              </w:rPr>
            </w:pPr>
            <w:r w:rsidRPr="00156651">
              <w:rPr>
                <w:rFonts w:ascii="Times New Roman" w:eastAsia="Times New Roman" w:hAnsi="Times New Roman" w:cs="Times New Roman"/>
                <w:color w:val="000000"/>
                <w:sz w:val="22"/>
                <w:szCs w:val="22"/>
                <w:lang w:eastAsia="es-GT"/>
              </w:rPr>
              <w:t>Préstamos</w:t>
            </w:r>
          </w:p>
        </w:tc>
        <w:tc>
          <w:tcPr>
            <w:tcW w:w="1213" w:type="dxa"/>
            <w:tcBorders>
              <w:top w:val="nil"/>
              <w:left w:val="nil"/>
              <w:bottom w:val="nil"/>
              <w:right w:val="nil"/>
            </w:tcBorders>
            <w:shd w:val="clear" w:color="auto" w:fill="auto"/>
            <w:noWrap/>
            <w:vAlign w:val="center"/>
          </w:tcPr>
          <w:p w14:paraId="42E15DF9"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-2,346.7</w:t>
            </w:r>
          </w:p>
        </w:tc>
        <w:tc>
          <w:tcPr>
            <w:tcW w:w="1214" w:type="dxa"/>
            <w:tcBorders>
              <w:top w:val="nil"/>
              <w:left w:val="nil"/>
              <w:bottom w:val="nil"/>
              <w:right w:val="nil"/>
            </w:tcBorders>
            <w:shd w:val="clear" w:color="auto" w:fill="auto"/>
            <w:noWrap/>
            <w:vAlign w:val="center"/>
          </w:tcPr>
          <w:p w14:paraId="5ADF00EF"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1,465.2</w:t>
            </w:r>
          </w:p>
        </w:tc>
        <w:tc>
          <w:tcPr>
            <w:tcW w:w="1095" w:type="dxa"/>
            <w:tcBorders>
              <w:top w:val="nil"/>
              <w:left w:val="dotDash" w:sz="4" w:space="0" w:color="auto"/>
              <w:bottom w:val="nil"/>
              <w:right w:val="nil"/>
            </w:tcBorders>
            <w:shd w:val="clear" w:color="auto" w:fill="auto"/>
            <w:noWrap/>
            <w:vAlign w:val="center"/>
          </w:tcPr>
          <w:p w14:paraId="3833A4BF"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-0.4</w:t>
            </w:r>
          </w:p>
        </w:tc>
        <w:tc>
          <w:tcPr>
            <w:tcW w:w="1098" w:type="dxa"/>
            <w:tcBorders>
              <w:top w:val="nil"/>
              <w:left w:val="nil"/>
              <w:bottom w:val="nil"/>
              <w:right w:val="nil"/>
            </w:tcBorders>
            <w:shd w:val="clear" w:color="auto" w:fill="auto"/>
            <w:noWrap/>
            <w:vAlign w:val="center"/>
          </w:tcPr>
          <w:p w14:paraId="3043F7A6"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0.2</w:t>
            </w:r>
          </w:p>
        </w:tc>
      </w:tr>
      <w:tr w:rsidR="00156651" w:rsidRPr="00156651" w14:paraId="44F79F4F" w14:textId="77777777" w:rsidTr="00654363">
        <w:trPr>
          <w:trHeight w:val="238"/>
          <w:jc w:val="center"/>
        </w:trPr>
        <w:tc>
          <w:tcPr>
            <w:tcW w:w="3905" w:type="dxa"/>
            <w:tcBorders>
              <w:top w:val="nil"/>
              <w:left w:val="nil"/>
              <w:bottom w:val="nil"/>
              <w:right w:val="nil"/>
            </w:tcBorders>
            <w:shd w:val="clear" w:color="auto" w:fill="auto"/>
            <w:noWrap/>
            <w:vAlign w:val="center"/>
            <w:hideMark/>
          </w:tcPr>
          <w:p w14:paraId="6A15A0E6" w14:textId="77777777" w:rsidR="00156651" w:rsidRPr="00156651" w:rsidRDefault="00156651" w:rsidP="008D7BB4">
            <w:pPr>
              <w:spacing w:line="276" w:lineRule="auto"/>
              <w:ind w:firstLineChars="100" w:firstLine="220"/>
              <w:contextualSpacing/>
              <w:rPr>
                <w:rFonts w:ascii="Times New Roman" w:eastAsia="Times New Roman" w:hAnsi="Times New Roman" w:cs="Times New Roman"/>
                <w:color w:val="000000"/>
                <w:sz w:val="22"/>
                <w:szCs w:val="22"/>
                <w:lang w:eastAsia="es-GT"/>
              </w:rPr>
            </w:pPr>
            <w:r w:rsidRPr="00156651">
              <w:rPr>
                <w:rFonts w:ascii="Times New Roman" w:eastAsia="Times New Roman" w:hAnsi="Times New Roman" w:cs="Times New Roman"/>
                <w:color w:val="000000"/>
                <w:sz w:val="22"/>
                <w:szCs w:val="22"/>
                <w:lang w:eastAsia="es-GT"/>
              </w:rPr>
              <w:t>Otros</w:t>
            </w:r>
          </w:p>
        </w:tc>
        <w:tc>
          <w:tcPr>
            <w:tcW w:w="1213" w:type="dxa"/>
            <w:tcBorders>
              <w:top w:val="nil"/>
              <w:left w:val="nil"/>
              <w:bottom w:val="nil"/>
              <w:right w:val="nil"/>
            </w:tcBorders>
            <w:shd w:val="clear" w:color="auto" w:fill="auto"/>
            <w:noWrap/>
            <w:vAlign w:val="center"/>
          </w:tcPr>
          <w:p w14:paraId="5ACA9356"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-76.3</w:t>
            </w:r>
          </w:p>
        </w:tc>
        <w:tc>
          <w:tcPr>
            <w:tcW w:w="1214" w:type="dxa"/>
            <w:tcBorders>
              <w:top w:val="nil"/>
              <w:left w:val="nil"/>
              <w:bottom w:val="nil"/>
              <w:right w:val="nil"/>
            </w:tcBorders>
            <w:shd w:val="clear" w:color="auto" w:fill="auto"/>
            <w:noWrap/>
            <w:vAlign w:val="center"/>
          </w:tcPr>
          <w:p w14:paraId="288326C8"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470.5</w:t>
            </w:r>
          </w:p>
        </w:tc>
        <w:tc>
          <w:tcPr>
            <w:tcW w:w="1095" w:type="dxa"/>
            <w:tcBorders>
              <w:top w:val="nil"/>
              <w:left w:val="dotDash" w:sz="4" w:space="0" w:color="auto"/>
              <w:bottom w:val="nil"/>
              <w:right w:val="nil"/>
            </w:tcBorders>
            <w:shd w:val="clear" w:color="auto" w:fill="auto"/>
            <w:noWrap/>
            <w:vAlign w:val="center"/>
          </w:tcPr>
          <w:p w14:paraId="4A7386A5"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0.0</w:t>
            </w:r>
          </w:p>
        </w:tc>
        <w:tc>
          <w:tcPr>
            <w:tcW w:w="1098" w:type="dxa"/>
            <w:tcBorders>
              <w:top w:val="nil"/>
              <w:left w:val="nil"/>
              <w:bottom w:val="nil"/>
              <w:right w:val="nil"/>
            </w:tcBorders>
            <w:shd w:val="clear" w:color="auto" w:fill="auto"/>
            <w:noWrap/>
            <w:vAlign w:val="center"/>
          </w:tcPr>
          <w:p w14:paraId="4D01466D" w14:textId="77777777" w:rsidR="00156651" w:rsidRPr="00156651" w:rsidRDefault="00156651" w:rsidP="008D7BB4">
            <w:pPr>
              <w:spacing w:line="276" w:lineRule="auto"/>
              <w:contextualSpacing/>
              <w:jc w:val="center"/>
              <w:rPr>
                <w:rFonts w:ascii="Times New Roman" w:eastAsia="Times New Roman" w:hAnsi="Times New Roman" w:cs="Times New Roman"/>
                <w:color w:val="000000"/>
                <w:sz w:val="22"/>
                <w:szCs w:val="22"/>
                <w:lang w:eastAsia="es-GT"/>
              </w:rPr>
            </w:pPr>
            <w:r w:rsidRPr="00156651">
              <w:rPr>
                <w:rFonts w:ascii="Times New Roman" w:hAnsi="Times New Roman" w:cs="Times New Roman"/>
                <w:color w:val="000000"/>
                <w:sz w:val="22"/>
                <w:szCs w:val="22"/>
              </w:rPr>
              <w:t>0.1</w:t>
            </w:r>
          </w:p>
        </w:tc>
      </w:tr>
      <w:tr w:rsidR="00156651" w:rsidRPr="00156651" w14:paraId="28232C0C" w14:textId="77777777" w:rsidTr="00654363">
        <w:trPr>
          <w:trHeight w:val="238"/>
          <w:jc w:val="center"/>
        </w:trPr>
        <w:tc>
          <w:tcPr>
            <w:tcW w:w="3905" w:type="dxa"/>
            <w:tcBorders>
              <w:top w:val="nil"/>
              <w:left w:val="nil"/>
              <w:bottom w:val="nil"/>
              <w:right w:val="nil"/>
            </w:tcBorders>
            <w:shd w:val="clear" w:color="auto" w:fill="auto"/>
            <w:noWrap/>
            <w:vAlign w:val="center"/>
            <w:hideMark/>
          </w:tcPr>
          <w:p w14:paraId="6AA78020" w14:textId="77777777" w:rsidR="00156651" w:rsidRPr="00156651" w:rsidRDefault="00156651" w:rsidP="008D7BB4">
            <w:pPr>
              <w:spacing w:line="276" w:lineRule="auto"/>
              <w:contextualSpacing/>
              <w:jc w:val="both"/>
              <w:rPr>
                <w:rFonts w:ascii="Times New Roman" w:eastAsia="Times New Roman" w:hAnsi="Times New Roman" w:cs="Times New Roman"/>
                <w:b/>
                <w:bCs/>
                <w:color w:val="000000"/>
                <w:sz w:val="22"/>
                <w:szCs w:val="22"/>
                <w:lang w:eastAsia="es-GT"/>
              </w:rPr>
            </w:pPr>
            <w:r w:rsidRPr="00156651">
              <w:rPr>
                <w:rFonts w:ascii="Times New Roman" w:eastAsia="Times New Roman" w:hAnsi="Times New Roman" w:cs="Times New Roman"/>
                <w:b/>
                <w:bCs/>
                <w:color w:val="000000"/>
                <w:sz w:val="22"/>
                <w:szCs w:val="22"/>
                <w:lang w:eastAsia="es-GT"/>
              </w:rPr>
              <w:t>Discrepancia estadística global</w:t>
            </w:r>
          </w:p>
        </w:tc>
        <w:tc>
          <w:tcPr>
            <w:tcW w:w="1213" w:type="dxa"/>
            <w:tcBorders>
              <w:top w:val="nil"/>
              <w:left w:val="nil"/>
              <w:bottom w:val="nil"/>
              <w:right w:val="nil"/>
            </w:tcBorders>
            <w:shd w:val="clear" w:color="auto" w:fill="auto"/>
            <w:noWrap/>
            <w:vAlign w:val="center"/>
          </w:tcPr>
          <w:p w14:paraId="36EB3114"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156651">
              <w:rPr>
                <w:rFonts w:ascii="Times New Roman" w:hAnsi="Times New Roman" w:cs="Times New Roman"/>
                <w:b/>
                <w:bCs/>
                <w:color w:val="000000"/>
                <w:sz w:val="22"/>
                <w:szCs w:val="22"/>
              </w:rPr>
              <w:t>408.9</w:t>
            </w:r>
          </w:p>
        </w:tc>
        <w:tc>
          <w:tcPr>
            <w:tcW w:w="1214" w:type="dxa"/>
            <w:tcBorders>
              <w:top w:val="nil"/>
              <w:left w:val="nil"/>
              <w:bottom w:val="nil"/>
              <w:right w:val="nil"/>
            </w:tcBorders>
            <w:shd w:val="clear" w:color="auto" w:fill="auto"/>
            <w:noWrap/>
            <w:vAlign w:val="center"/>
          </w:tcPr>
          <w:p w14:paraId="77C6A3DB"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156651">
              <w:rPr>
                <w:rFonts w:ascii="Times New Roman" w:hAnsi="Times New Roman" w:cs="Times New Roman"/>
                <w:b/>
                <w:bCs/>
                <w:color w:val="000000"/>
                <w:sz w:val="22"/>
                <w:szCs w:val="22"/>
              </w:rPr>
              <w:t>-896.6</w:t>
            </w:r>
          </w:p>
        </w:tc>
        <w:tc>
          <w:tcPr>
            <w:tcW w:w="1095" w:type="dxa"/>
            <w:tcBorders>
              <w:top w:val="nil"/>
              <w:left w:val="dotDash" w:sz="4" w:space="0" w:color="auto"/>
              <w:bottom w:val="nil"/>
              <w:right w:val="nil"/>
            </w:tcBorders>
            <w:shd w:val="clear" w:color="auto" w:fill="auto"/>
            <w:noWrap/>
            <w:vAlign w:val="center"/>
          </w:tcPr>
          <w:p w14:paraId="1A88EF5D"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156651">
              <w:rPr>
                <w:rFonts w:ascii="Times New Roman" w:hAnsi="Times New Roman" w:cs="Times New Roman"/>
                <w:b/>
                <w:bCs/>
                <w:color w:val="000000"/>
                <w:sz w:val="22"/>
                <w:szCs w:val="22"/>
              </w:rPr>
              <w:t>0.1</w:t>
            </w:r>
          </w:p>
        </w:tc>
        <w:tc>
          <w:tcPr>
            <w:tcW w:w="1098" w:type="dxa"/>
            <w:tcBorders>
              <w:top w:val="nil"/>
              <w:left w:val="nil"/>
              <w:bottom w:val="nil"/>
              <w:right w:val="nil"/>
            </w:tcBorders>
            <w:shd w:val="clear" w:color="auto" w:fill="auto"/>
            <w:noWrap/>
            <w:vAlign w:val="center"/>
          </w:tcPr>
          <w:p w14:paraId="12537E5B" w14:textId="77777777" w:rsidR="00156651" w:rsidRPr="00156651" w:rsidRDefault="00156651" w:rsidP="008D7BB4">
            <w:pPr>
              <w:spacing w:line="276" w:lineRule="auto"/>
              <w:contextualSpacing/>
              <w:jc w:val="center"/>
              <w:rPr>
                <w:rFonts w:ascii="Times New Roman" w:eastAsia="Times New Roman" w:hAnsi="Times New Roman" w:cs="Times New Roman"/>
                <w:b/>
                <w:bCs/>
                <w:color w:val="000000"/>
                <w:sz w:val="22"/>
                <w:szCs w:val="22"/>
                <w:lang w:eastAsia="es-GT"/>
              </w:rPr>
            </w:pPr>
            <w:r w:rsidRPr="00156651">
              <w:rPr>
                <w:rFonts w:ascii="Times New Roman" w:hAnsi="Times New Roman" w:cs="Times New Roman"/>
                <w:b/>
                <w:bCs/>
                <w:color w:val="000000"/>
                <w:sz w:val="22"/>
                <w:szCs w:val="22"/>
              </w:rPr>
              <w:t>-0.1</w:t>
            </w:r>
          </w:p>
        </w:tc>
      </w:tr>
    </w:tbl>
    <w:p w14:paraId="6061462F" w14:textId="687E98BE" w:rsidR="00156651" w:rsidRPr="008C3120" w:rsidRDefault="00156651" w:rsidP="008D7BB4">
      <w:pPr>
        <w:spacing w:line="276" w:lineRule="auto"/>
        <w:contextualSpacing/>
        <w:rPr>
          <w:rFonts w:ascii="Times New Roman" w:hAnsi="Times New Roman" w:cs="Times New Roman"/>
          <w:sz w:val="18"/>
          <w:szCs w:val="18"/>
        </w:rPr>
      </w:pPr>
      <w:r w:rsidRPr="008C3120">
        <w:rPr>
          <w:rFonts w:ascii="Times New Roman" w:hAnsi="Times New Roman" w:cs="Times New Roman"/>
          <w:sz w:val="18"/>
          <w:szCs w:val="18"/>
        </w:rPr>
        <w:t>*Cifras preliminares</w:t>
      </w:r>
    </w:p>
    <w:sectPr w:rsidR="00156651" w:rsidRPr="008C3120" w:rsidSect="00500E38">
      <w:pgSz w:w="12240" w:h="15840"/>
      <w:pgMar w:top="218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6964F0" w14:textId="77777777" w:rsidR="00F30D99" w:rsidRDefault="00F30D99" w:rsidP="005B1EDE">
      <w:r>
        <w:separator/>
      </w:r>
    </w:p>
  </w:endnote>
  <w:endnote w:type="continuationSeparator" w:id="0">
    <w:p w14:paraId="24DA5A7C" w14:textId="77777777" w:rsidR="00F30D99" w:rsidRDefault="00F30D99" w:rsidP="005B1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charset w:val="00"/>
    <w:family w:val="auto"/>
    <w:pitch w:val="variable"/>
    <w:sig w:usb0="2000020F" w:usb1="00000003" w:usb2="00000000" w:usb3="00000000" w:csb0="00000197" w:csb1="00000000"/>
  </w:font>
  <w:font w:name="AGaramondPro-Regular">
    <w:altName w:val="Yu Gothic"/>
    <w:panose1 w:val="00000000000000000000"/>
    <w:charset w:val="80"/>
    <w:family w:val="auto"/>
    <w:notTrueType/>
    <w:pitch w:val="default"/>
    <w:sig w:usb0="00000001" w:usb1="08070000" w:usb2="00000010" w:usb3="00000000" w:csb0="00020000" w:csb1="00000000"/>
  </w:font>
  <w:font w:name="Montserrat SemiBold">
    <w:altName w:val="Calibri"/>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3855157"/>
      <w:docPartObj>
        <w:docPartGallery w:val="Page Numbers (Bottom of Page)"/>
        <w:docPartUnique/>
      </w:docPartObj>
    </w:sdtPr>
    <w:sdtEndPr/>
    <w:sdtContent>
      <w:p w14:paraId="6B4C37BD" w14:textId="6771F560" w:rsidR="0045177A" w:rsidRDefault="0045177A">
        <w:pPr>
          <w:pStyle w:val="Piedepgina"/>
          <w:jc w:val="right"/>
        </w:pPr>
        <w:r w:rsidRPr="0045177A">
          <w:rPr>
            <w:noProof/>
          </w:rPr>
          <w:drawing>
            <wp:anchor distT="0" distB="0" distL="114300" distR="114300" simplePos="0" relativeHeight="251671552" behindDoc="1" locked="0" layoutInCell="1" allowOverlap="1" wp14:anchorId="76992155" wp14:editId="0AFC7E00">
              <wp:simplePos x="0" y="0"/>
              <wp:positionH relativeFrom="column">
                <wp:posOffset>-885139</wp:posOffset>
              </wp:positionH>
              <wp:positionV relativeFrom="paragraph">
                <wp:posOffset>7010</wp:posOffset>
              </wp:positionV>
              <wp:extent cx="7778115" cy="927735"/>
              <wp:effectExtent l="0" t="0" r="0" b="0"/>
              <wp:wrapNone/>
              <wp:docPr id="7892786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778115" cy="927735"/>
                      </a:xfrm>
                      <a:prstGeom prst="rect">
                        <a:avLst/>
                      </a:prstGeom>
                    </pic:spPr>
                  </pic:pic>
                </a:graphicData>
              </a:graphic>
              <wp14:sizeRelH relativeFrom="page">
                <wp14:pctWidth>0</wp14:pctWidth>
              </wp14:sizeRelH>
              <wp14:sizeRelV relativeFrom="page">
                <wp14:pctHeight>0</wp14:pctHeight>
              </wp14:sizeRelV>
            </wp:anchor>
          </w:drawing>
        </w:r>
        <w:r w:rsidRPr="0045177A">
          <w:rPr>
            <w:rFonts w:ascii="Times New Roman" w:hAnsi="Times New Roman" w:cs="Times New Roman"/>
            <w:color w:val="002060"/>
          </w:rPr>
          <w:fldChar w:fldCharType="begin"/>
        </w:r>
        <w:r w:rsidRPr="0045177A">
          <w:rPr>
            <w:rFonts w:ascii="Times New Roman" w:hAnsi="Times New Roman" w:cs="Times New Roman"/>
            <w:color w:val="002060"/>
          </w:rPr>
          <w:instrText>PAGE   \* MERGEFORMAT</w:instrText>
        </w:r>
        <w:r w:rsidRPr="0045177A">
          <w:rPr>
            <w:rFonts w:ascii="Times New Roman" w:hAnsi="Times New Roman" w:cs="Times New Roman"/>
            <w:color w:val="002060"/>
          </w:rPr>
          <w:fldChar w:fldCharType="separate"/>
        </w:r>
        <w:r w:rsidRPr="0045177A">
          <w:rPr>
            <w:rFonts w:ascii="Times New Roman" w:hAnsi="Times New Roman" w:cs="Times New Roman"/>
            <w:color w:val="002060"/>
            <w:lang w:val="es-ES"/>
          </w:rPr>
          <w:t>2</w:t>
        </w:r>
        <w:r w:rsidRPr="0045177A">
          <w:rPr>
            <w:rFonts w:ascii="Times New Roman" w:hAnsi="Times New Roman" w:cs="Times New Roman"/>
            <w:color w:val="002060"/>
          </w:rPr>
          <w:fldChar w:fldCharType="end"/>
        </w:r>
      </w:p>
    </w:sdtContent>
  </w:sdt>
  <w:p w14:paraId="660344B8" w14:textId="19DF4D9A" w:rsidR="0045177A" w:rsidRDefault="0045177A" w:rsidP="0045177A">
    <w:pPr>
      <w:pStyle w:val="Piedepgina"/>
      <w:jc w:val="center"/>
    </w:pPr>
    <w:r w:rsidRPr="0045177A">
      <w:rPr>
        <w:noProof/>
      </w:rPr>
      <mc:AlternateContent>
        <mc:Choice Requires="wps">
          <w:drawing>
            <wp:anchor distT="0" distB="0" distL="114300" distR="114300" simplePos="0" relativeHeight="251672576" behindDoc="0" locked="0" layoutInCell="1" allowOverlap="1" wp14:anchorId="0CEAAD97" wp14:editId="5C28B3C7">
              <wp:simplePos x="0" y="0"/>
              <wp:positionH relativeFrom="column">
                <wp:posOffset>675056</wp:posOffset>
              </wp:positionH>
              <wp:positionV relativeFrom="paragraph">
                <wp:posOffset>10820</wp:posOffset>
              </wp:positionV>
              <wp:extent cx="4632070" cy="280327"/>
              <wp:effectExtent l="0" t="0" r="0" b="0"/>
              <wp:wrapNone/>
              <wp:docPr id="7" name="Text Box 2"/>
              <wp:cNvGraphicFramePr/>
              <a:graphic xmlns:a="http://schemas.openxmlformats.org/drawingml/2006/main">
                <a:graphicData uri="http://schemas.microsoft.com/office/word/2010/wordprocessingShape">
                  <wps:wsp>
                    <wps:cNvSpPr txBox="1"/>
                    <wps:spPr>
                      <a:xfrm>
                        <a:off x="0" y="0"/>
                        <a:ext cx="4632070" cy="280327"/>
                      </a:xfrm>
                      <a:prstGeom prst="rect">
                        <a:avLst/>
                      </a:prstGeom>
                      <a:noFill/>
                      <a:ln w="6350">
                        <a:noFill/>
                      </a:ln>
                    </wps:spPr>
                    <wps:txbx>
                      <w:txbxContent>
                        <w:p w14:paraId="6A5FC61D" w14:textId="77777777" w:rsidR="0045177A" w:rsidRPr="0024767C" w:rsidRDefault="0045177A" w:rsidP="0045177A">
                          <w:pPr>
                            <w:ind w:left="720" w:hanging="720"/>
                            <w:jc w:val="center"/>
                            <w:rPr>
                              <w:rFonts w:ascii="Calibri" w:hAnsi="Calibri" w:cs="Calibri"/>
                              <w:color w:val="042850"/>
                              <w:sz w:val="18"/>
                              <w:szCs w:val="18"/>
                              <w:lang w:val="es-ES"/>
                            </w:rPr>
                          </w:pPr>
                          <w:r>
                            <w:rPr>
                              <w:rFonts w:ascii="Calibri" w:hAnsi="Calibri" w:cs="Calibri"/>
                              <w:color w:val="042850"/>
                              <w:sz w:val="18"/>
                              <w:szCs w:val="18"/>
                              <w:lang w:val="es-ES"/>
                            </w:rPr>
                            <w:t>PBX: 2374-3000 Dirección de Análisis y Política Fiscal Ext. 11370-11354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0CEAAD97" id="_x0000_t202" coordsize="21600,21600" o:spt="202" path="m,l,21600r21600,l21600,xe">
              <v:stroke joinstyle="miter"/>
              <v:path gradientshapeok="t" o:connecttype="rect"/>
            </v:shapetype>
            <v:shape id="Text Box 2" o:spid="_x0000_s1030" type="#_x0000_t202" style="position:absolute;left:0;text-align:left;margin-left:53.15pt;margin-top:.85pt;width:364.75pt;height:22.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" filled="f" stroked="f" strokeweight=".5pt">
              <v:textbox>
                <w:txbxContent>
                  <w:p w14:paraId="6A5FC61D" w14:textId="77777777" w:rsidR="0045177A" w:rsidRPr="0024767C" w:rsidRDefault="0045177A" w:rsidP="0045177A">
                    <w:pPr>
                      <w:ind w:left="720" w:hanging="720"/>
                      <w:jc w:val="center"/>
                      <w:rPr>
                        <w:rFonts w:ascii="Calibri" w:hAnsi="Calibri" w:cs="Calibri"/>
                        <w:color w:val="042850"/>
                        <w:sz w:val="18"/>
                        <w:szCs w:val="18"/>
                        <w:lang w:val="es-ES"/>
                      </w:rPr>
                    </w:pPr>
                    <w:r>
                      <w:rPr>
                        <w:rFonts w:ascii="Calibri" w:hAnsi="Calibri" w:cs="Calibri"/>
                        <w:color w:val="042850"/>
                        <w:sz w:val="18"/>
                        <w:szCs w:val="18"/>
                        <w:lang w:val="es-ES"/>
                      </w:rPr>
                      <w:t>PBX: 2374-3000 Dirección de Análisis y Política Fiscal Ext. 11370-11354</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1CEEC2" w14:textId="77777777" w:rsidR="00F30D99" w:rsidRDefault="00F30D99" w:rsidP="005B1EDE">
      <w:r>
        <w:separator/>
      </w:r>
    </w:p>
  </w:footnote>
  <w:footnote w:type="continuationSeparator" w:id="0">
    <w:p w14:paraId="4E1BEB59" w14:textId="77777777" w:rsidR="00F30D99" w:rsidRDefault="00F30D99" w:rsidP="005B1EDE">
      <w:r>
        <w:continuationSeparator/>
      </w:r>
    </w:p>
  </w:footnote>
  <w:footnote w:id="1">
    <w:p w14:paraId="43FC52F6" w14:textId="77777777" w:rsidR="005543F9" w:rsidRDefault="005543F9" w:rsidP="005543F9">
      <w:pPr>
        <w:pStyle w:val="Textonotapie"/>
        <w:jc w:val="both"/>
      </w:pPr>
      <w:r>
        <w:rPr>
          <w:rStyle w:val="Refdenotaalpie"/>
        </w:rPr>
        <w:footnoteRef/>
      </w:r>
      <w:r>
        <w:t xml:space="preserve"> </w:t>
      </w:r>
      <w:r w:rsidRPr="008C3120">
        <w:rPr>
          <w:rFonts w:ascii="Times New Roman" w:hAnsi="Times New Roman" w:cs="Times New Roman"/>
          <w:sz w:val="18"/>
          <w:szCs w:val="18"/>
        </w:rPr>
        <w:t>La meta de recaudación tributaria anual se revisó con información proporcionada por el BANGUAT respecto a las expectativas macroeconómicas de cierre, estimándose que, con el nuevo entorno, la recaudación observada superó el nuevo valor de la meta indicativa en 2.6%, generando una brecha positiva de Q2,144.3 millones asociadas a dichas variables.</w:t>
      </w:r>
    </w:p>
  </w:footnote>
  <w:footnote w:id="2">
    <w:p w14:paraId="420784A7" w14:textId="77777777" w:rsidR="005543F9" w:rsidRPr="008C3120" w:rsidRDefault="005543F9" w:rsidP="005543F9">
      <w:pPr>
        <w:pStyle w:val="Textonotapie"/>
        <w:jc w:val="both"/>
        <w:rPr>
          <w:sz w:val="18"/>
          <w:szCs w:val="18"/>
        </w:rPr>
      </w:pPr>
      <w:r w:rsidRPr="008C3120">
        <w:rPr>
          <w:rStyle w:val="Refdenotaalpie"/>
          <w:rFonts w:ascii="Times New Roman" w:hAnsi="Times New Roman"/>
          <w:sz w:val="18"/>
          <w:szCs w:val="18"/>
        </w:rPr>
        <w:footnoteRef/>
      </w:r>
      <w:r w:rsidRPr="008C3120">
        <w:rPr>
          <w:rFonts w:ascii="Times New Roman" w:hAnsi="Times New Roman" w:cs="Times New Roman"/>
          <w:sz w:val="18"/>
          <w:szCs w:val="18"/>
        </w:rPr>
        <w:t xml:space="preserve"> Régimen de Actividades Lucrativas aquí se incluyen actividades relacionadas con la producción y comercialización de productos y la prestación de servicios técnicos y profesionales.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53122" w14:textId="2D1E0F0D" w:rsidR="00CE6F3E" w:rsidRDefault="00CE6F3E">
    <w:pPr>
      <w:pStyle w:val="Encabezado"/>
    </w:pPr>
    <w:r w:rsidRPr="00CE6F3E">
      <w:rPr>
        <w:noProof/>
      </w:rPr>
      <mc:AlternateContent>
        <mc:Choice Requires="wps">
          <w:drawing>
            <wp:anchor distT="0" distB="0" distL="114300" distR="114300" simplePos="0" relativeHeight="251648512" behindDoc="0" locked="0" layoutInCell="1" allowOverlap="1" wp14:anchorId="687C9F40" wp14:editId="05FC2EB3">
              <wp:simplePos x="0" y="0"/>
              <wp:positionH relativeFrom="column">
                <wp:posOffset>2628900</wp:posOffset>
              </wp:positionH>
              <wp:positionV relativeFrom="paragraph">
                <wp:posOffset>37465</wp:posOffset>
              </wp:positionV>
              <wp:extent cx="1348740" cy="553720"/>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1348740" cy="553720"/>
                      </a:xfrm>
                      <a:prstGeom prst="rect">
                        <a:avLst/>
                      </a:prstGeom>
                      <a:noFill/>
                      <a:ln w="6350">
                        <a:noFill/>
                      </a:ln>
                    </wps:spPr>
                    <wps:txbx>
                      <w:txbxContent>
                        <w:p w14:paraId="35117F72" w14:textId="77777777" w:rsidR="00CE6F3E" w:rsidRDefault="00CE6F3E" w:rsidP="00CE6F3E">
                          <w:pPr>
                            <w:snapToGrid w:val="0"/>
                            <w:rPr>
                              <w:rFonts w:ascii="Montserrat SemiBold" w:hAnsi="Montserrat SemiBold"/>
                              <w:b/>
                              <w:bCs/>
                              <w:color w:val="0E1538"/>
                              <w:sz w:val="20"/>
                              <w:szCs w:val="20"/>
                              <w:lang w:val="es-ES"/>
                              <w14:textOutline w14:w="9525" w14:cap="rnd" w14:cmpd="sng" w14:algn="ctr">
                                <w14:noFill/>
                                <w14:prstDash w14:val="solid"/>
                                <w14:bevel/>
                              </w14:textOutline>
                            </w:rPr>
                          </w:pPr>
                          <w:r>
                            <w:rPr>
                              <w:rFonts w:ascii="Montserrat SemiBold" w:hAnsi="Montserrat SemiBold"/>
                              <w:b/>
                              <w:bCs/>
                              <w:color w:val="0E1538"/>
                              <w:sz w:val="20"/>
                              <w:szCs w:val="20"/>
                              <w:lang w:val="es-ES"/>
                              <w14:textOutline w14:w="9525" w14:cap="rnd" w14:cmpd="sng" w14:algn="ctr">
                                <w14:noFill/>
                                <w14:prstDash w14:val="solid"/>
                                <w14:bevel/>
                              </w14:textOutline>
                            </w:rPr>
                            <w:t xml:space="preserve">MINISTERIO </w:t>
                          </w:r>
                        </w:p>
                        <w:p w14:paraId="7B52FB3F" w14:textId="77777777" w:rsidR="00CE6F3E" w:rsidRDefault="00CE6F3E" w:rsidP="00CE6F3E">
                          <w:pPr>
                            <w:snapToGrid w:val="0"/>
                            <w:rPr>
                              <w:rFonts w:ascii="Montserrat SemiBold" w:hAnsi="Montserrat SemiBold"/>
                              <w:b/>
                              <w:bCs/>
                              <w:color w:val="0E1538"/>
                              <w:sz w:val="20"/>
                              <w:szCs w:val="20"/>
                              <w:lang w:val="es-ES"/>
                              <w14:textOutline w14:w="9525" w14:cap="rnd" w14:cmpd="sng" w14:algn="ctr">
                                <w14:noFill/>
                                <w14:prstDash w14:val="solid"/>
                                <w14:bevel/>
                              </w14:textOutline>
                            </w:rPr>
                          </w:pPr>
                          <w:r>
                            <w:rPr>
                              <w:rFonts w:ascii="Montserrat SemiBold" w:hAnsi="Montserrat SemiBold"/>
                              <w:b/>
                              <w:bCs/>
                              <w:color w:val="0E1538"/>
                              <w:sz w:val="20"/>
                              <w:szCs w:val="20"/>
                              <w:lang w:val="es-ES"/>
                              <w14:textOutline w14:w="9525" w14:cap="rnd" w14:cmpd="sng" w14:algn="ctr">
                                <w14:noFill/>
                                <w14:prstDash w14:val="solid"/>
                                <w14:bevel/>
                              </w14:textOutline>
                            </w:rPr>
                            <w:t>DE FINANZAS</w:t>
                          </w:r>
                        </w:p>
                        <w:p w14:paraId="397DA0FD" w14:textId="77777777" w:rsidR="00CE6F3E" w:rsidRPr="00AA43B8" w:rsidRDefault="00CE6F3E" w:rsidP="00CE6F3E">
                          <w:pPr>
                            <w:snapToGrid w:val="0"/>
                            <w:rPr>
                              <w:rFonts w:ascii="Montserrat SemiBold" w:hAnsi="Montserrat SemiBold"/>
                              <w:b/>
                              <w:bCs/>
                              <w:color w:val="0E1538"/>
                              <w:sz w:val="20"/>
                              <w:szCs w:val="20"/>
                              <w:lang w:val="es-ES"/>
                              <w14:textOutline w14:w="9525" w14:cap="rnd" w14:cmpd="sng" w14:algn="ctr">
                                <w14:noFill/>
                                <w14:prstDash w14:val="solid"/>
                                <w14:bevel/>
                              </w14:textOutline>
                            </w:rPr>
                          </w:pPr>
                          <w:r>
                            <w:rPr>
                              <w:rFonts w:ascii="Montserrat SemiBold" w:hAnsi="Montserrat SemiBold"/>
                              <w:b/>
                              <w:bCs/>
                              <w:color w:val="0E1538"/>
                              <w:sz w:val="20"/>
                              <w:szCs w:val="20"/>
                              <w:lang w:val="es-ES"/>
                              <w14:textOutline w14:w="9525" w14:cap="rnd" w14:cmpd="sng" w14:algn="ctr">
                                <w14:noFill/>
                                <w14:prstDash w14:val="solid"/>
                                <w14:bevel/>
                              </w14:textOutline>
                            </w:rPr>
                            <w:t>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687C9F40" id="_x0000_t202" coordsize="21600,21600" o:spt="202" path="m,l,21600r21600,l21600,xe">
              <v:stroke joinstyle="miter"/>
              <v:path gradientshapeok="t" o:connecttype="rect"/>
            </v:shapetype>
            <v:shape id="Cuadro de texto 1" o:spid="_x0000_s1028" type="#_x0000_t202" style="position:absolute;margin-left:207pt;margin-top:2.95pt;width:106.2pt;height:43.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" filled="f" stroked="f" strokeweight=".5pt">
              <v:textbox>
                <w:txbxContent>
                  <w:p w14:paraId="35117F72" w14:textId="77777777" w:rsidR="00CE6F3E" w:rsidRDefault="00CE6F3E" w:rsidP="00CE6F3E">
                    <w:pPr>
                      <w:snapToGrid w:val="0"/>
                      <w:rPr>
                        <w:rFonts w:ascii="Montserrat SemiBold" w:hAnsi="Montserrat SemiBold"/>
                        <w:b/>
                        <w:bCs/>
                        <w:color w:val="0E1538"/>
                        <w:sz w:val="20"/>
                        <w:szCs w:val="20"/>
                        <w:lang w:val="es-ES"/>
                        <w14:textOutline w14:w="9525" w14:cap="rnd" w14:cmpd="sng" w14:algn="ctr">
                          <w14:noFill/>
                          <w14:prstDash w14:val="solid"/>
                          <w14:bevel/>
                        </w14:textOutline>
                      </w:rPr>
                    </w:pPr>
                    <w:r>
                      <w:rPr>
                        <w:rFonts w:ascii="Montserrat SemiBold" w:hAnsi="Montserrat SemiBold"/>
                        <w:b/>
                        <w:bCs/>
                        <w:color w:val="0E1538"/>
                        <w:sz w:val="20"/>
                        <w:szCs w:val="20"/>
                        <w:lang w:val="es-ES"/>
                        <w14:textOutline w14:w="9525" w14:cap="rnd" w14:cmpd="sng" w14:algn="ctr">
                          <w14:noFill/>
                          <w14:prstDash w14:val="solid"/>
                          <w14:bevel/>
                        </w14:textOutline>
                      </w:rPr>
                      <w:t xml:space="preserve">MINISTERIO </w:t>
                    </w:r>
                  </w:p>
                  <w:p w14:paraId="7B52FB3F" w14:textId="77777777" w:rsidR="00CE6F3E" w:rsidRDefault="00CE6F3E" w:rsidP="00CE6F3E">
                    <w:pPr>
                      <w:snapToGrid w:val="0"/>
                      <w:rPr>
                        <w:rFonts w:ascii="Montserrat SemiBold" w:hAnsi="Montserrat SemiBold"/>
                        <w:b/>
                        <w:bCs/>
                        <w:color w:val="0E1538"/>
                        <w:sz w:val="20"/>
                        <w:szCs w:val="20"/>
                        <w:lang w:val="es-ES"/>
                        <w14:textOutline w14:w="9525" w14:cap="rnd" w14:cmpd="sng" w14:algn="ctr">
                          <w14:noFill/>
                          <w14:prstDash w14:val="solid"/>
                          <w14:bevel/>
                        </w14:textOutline>
                      </w:rPr>
                    </w:pPr>
                    <w:r>
                      <w:rPr>
                        <w:rFonts w:ascii="Montserrat SemiBold" w:hAnsi="Montserrat SemiBold"/>
                        <w:b/>
                        <w:bCs/>
                        <w:color w:val="0E1538"/>
                        <w:sz w:val="20"/>
                        <w:szCs w:val="20"/>
                        <w:lang w:val="es-ES"/>
                        <w14:textOutline w14:w="9525" w14:cap="rnd" w14:cmpd="sng" w14:algn="ctr">
                          <w14:noFill/>
                          <w14:prstDash w14:val="solid"/>
                          <w14:bevel/>
                        </w14:textOutline>
                      </w:rPr>
                      <w:t>DE FINANZAS</w:t>
                    </w:r>
                  </w:p>
                  <w:p w14:paraId="397DA0FD" w14:textId="77777777" w:rsidR="00CE6F3E" w:rsidRPr="00AA43B8" w:rsidRDefault="00CE6F3E" w:rsidP="00CE6F3E">
                    <w:pPr>
                      <w:snapToGrid w:val="0"/>
                      <w:rPr>
                        <w:rFonts w:ascii="Montserrat SemiBold" w:hAnsi="Montserrat SemiBold"/>
                        <w:b/>
                        <w:bCs/>
                        <w:color w:val="0E1538"/>
                        <w:sz w:val="20"/>
                        <w:szCs w:val="20"/>
                        <w:lang w:val="es-ES"/>
                        <w14:textOutline w14:w="9525" w14:cap="rnd" w14:cmpd="sng" w14:algn="ctr">
                          <w14:noFill/>
                          <w14:prstDash w14:val="solid"/>
                          <w14:bevel/>
                        </w14:textOutline>
                      </w:rPr>
                    </w:pPr>
                    <w:r>
                      <w:rPr>
                        <w:rFonts w:ascii="Montserrat SemiBold" w:hAnsi="Montserrat SemiBold"/>
                        <w:b/>
                        <w:bCs/>
                        <w:color w:val="0E1538"/>
                        <w:sz w:val="20"/>
                        <w:szCs w:val="20"/>
                        <w:lang w:val="es-ES"/>
                        <w14:textOutline w14:w="9525" w14:cap="rnd" w14:cmpd="sng" w14:algn="ctr">
                          <w14:noFill/>
                          <w14:prstDash w14:val="solid"/>
                          <w14:bevel/>
                        </w14:textOutline>
                      </w:rPr>
                      <w:t>PÚBLICAS</w:t>
                    </w:r>
                  </w:p>
                </w:txbxContent>
              </v:textbox>
            </v:shape>
          </w:pict>
        </mc:Fallback>
      </mc:AlternateContent>
    </w:r>
    <w:r w:rsidRPr="00CE6F3E">
      <w:rPr>
        <w:noProof/>
      </w:rPr>
      <w:drawing>
        <wp:anchor distT="0" distB="0" distL="114300" distR="114300" simplePos="0" relativeHeight="251675136" behindDoc="1" locked="0" layoutInCell="1" allowOverlap="1" wp14:anchorId="75894D62" wp14:editId="5373366F">
          <wp:simplePos x="0" y="0"/>
          <wp:positionH relativeFrom="column">
            <wp:posOffset>723265</wp:posOffset>
          </wp:positionH>
          <wp:positionV relativeFrom="paragraph">
            <wp:posOffset>-245110</wp:posOffset>
          </wp:positionV>
          <wp:extent cx="2064385" cy="1083945"/>
          <wp:effectExtent l="0" t="0" r="0" b="0"/>
          <wp:wrapNone/>
          <wp:docPr id="595793561" name="Imagen 595793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2064385" cy="1083945"/>
                  </a:xfrm>
                  <a:prstGeom prst="rect">
                    <a:avLst/>
                  </a:prstGeom>
                </pic:spPr>
              </pic:pic>
            </a:graphicData>
          </a:graphic>
          <wp14:sizeRelH relativeFrom="page">
            <wp14:pctWidth>0</wp14:pctWidth>
          </wp14:sizeRelH>
          <wp14:sizeRelV relativeFrom="page">
            <wp14:pctHeight>0</wp14:pctHeight>
          </wp14:sizeRelV>
        </wp:anchor>
      </w:drawing>
    </w:r>
    <w:r w:rsidRPr="00CE6F3E">
      <w:rPr>
        <w:noProof/>
      </w:rPr>
      <mc:AlternateContent>
        <mc:Choice Requires="wps">
          <w:drawing>
            <wp:anchor distT="0" distB="0" distL="114300" distR="114300" simplePos="0" relativeHeight="251701760" behindDoc="0" locked="0" layoutInCell="1" allowOverlap="1" wp14:anchorId="290BC1E5" wp14:editId="7A135A11">
              <wp:simplePos x="0" y="0"/>
              <wp:positionH relativeFrom="column">
                <wp:posOffset>2627933</wp:posOffset>
              </wp:positionH>
              <wp:positionV relativeFrom="paragraph">
                <wp:posOffset>507227</wp:posOffset>
              </wp:positionV>
              <wp:extent cx="2412694" cy="203812"/>
              <wp:effectExtent l="0" t="0" r="0" b="0"/>
              <wp:wrapNone/>
              <wp:docPr id="3" name="Text Box 3"/>
              <wp:cNvGraphicFramePr/>
              <a:graphic xmlns:a="http://schemas.openxmlformats.org/drawingml/2006/main">
                <a:graphicData uri="http://schemas.microsoft.com/office/word/2010/wordprocessingShape">
                  <wps:wsp>
                    <wps:cNvSpPr txBox="1"/>
                    <wps:spPr>
                      <a:xfrm>
                        <a:off x="0" y="0"/>
                        <a:ext cx="2412694" cy="203812"/>
                      </a:xfrm>
                      <a:prstGeom prst="rect">
                        <a:avLst/>
                      </a:prstGeom>
                      <a:noFill/>
                      <a:ln w="6350">
                        <a:noFill/>
                      </a:ln>
                    </wps:spPr>
                    <wps:txbx>
                      <w:txbxContent>
                        <w:p w14:paraId="4821107E" w14:textId="77777777" w:rsidR="00CE6F3E" w:rsidRPr="00167349" w:rsidRDefault="00CE6F3E" w:rsidP="00CE6F3E">
                          <w:pPr>
                            <w:jc w:val="both"/>
                            <w:rPr>
                              <w:color w:val="2D83AE"/>
                              <w:sz w:val="15"/>
                              <w:szCs w:val="15"/>
                              <w:lang w:val="es-ES"/>
                              <w14:textOutline w14:w="9525" w14:cap="rnd" w14:cmpd="sng" w14:algn="ctr">
                                <w14:noFill/>
                                <w14:prstDash w14:val="solid"/>
                                <w14:bevel/>
                              </w14:textOutline>
                            </w:rPr>
                          </w:pPr>
                          <w:r w:rsidRPr="00167349">
                            <w:rPr>
                              <w:color w:val="2D83AE"/>
                              <w:sz w:val="15"/>
                              <w:szCs w:val="15"/>
                              <w:lang w:val="es-ES"/>
                              <w14:textOutline w14:w="9525" w14:cap="rnd" w14:cmpd="sng" w14:algn="ctr">
                                <w14:noFill/>
                                <w14:prstDash w14:val="solid"/>
                                <w14:bevel/>
                              </w14:textOutline>
                            </w:rPr>
                            <w:t>Dirección de</w:t>
                          </w:r>
                          <w:r>
                            <w:rPr>
                              <w:color w:val="2D83AE"/>
                              <w:sz w:val="15"/>
                              <w:szCs w:val="15"/>
                              <w:lang w:val="es-ES"/>
                              <w14:textOutline w14:w="9525" w14:cap="rnd" w14:cmpd="sng" w14:algn="ctr">
                                <w14:noFill/>
                                <w14:prstDash w14:val="solid"/>
                                <w14:bevel/>
                              </w14:textOutline>
                            </w:rPr>
                            <w:t xml:space="preserve"> Análisis y Política Fiscal </w:t>
                          </w:r>
                        </w:p>
                        <w:p w14:paraId="37828060" w14:textId="77777777" w:rsidR="00CE6F3E" w:rsidRPr="00F86FA2" w:rsidRDefault="00CE6F3E" w:rsidP="00CE6F3E">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90BC1E5" id="Text Box 3" o:spid="_x0000_s1029" type="#_x0000_t202" style="position:absolute;margin-left:206.9pt;margin-top:39.95pt;width:190pt;height:16.0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" filled="f" stroked="f" strokeweight=".5pt">
              <v:textbox>
                <w:txbxContent>
                  <w:p w14:paraId="4821107E" w14:textId="77777777" w:rsidR="00CE6F3E" w:rsidRPr="00167349" w:rsidRDefault="00CE6F3E" w:rsidP="00CE6F3E">
                    <w:pPr>
                      <w:jc w:val="both"/>
                      <w:rPr>
                        <w:color w:val="2D83AE"/>
                        <w:sz w:val="15"/>
                        <w:szCs w:val="15"/>
                        <w:lang w:val="es-ES"/>
                        <w14:textOutline w14:w="9525" w14:cap="rnd" w14:cmpd="sng" w14:algn="ctr">
                          <w14:noFill/>
                          <w14:prstDash w14:val="solid"/>
                          <w14:bevel/>
                        </w14:textOutline>
                      </w:rPr>
                    </w:pPr>
                    <w:r w:rsidRPr="00167349">
                      <w:rPr>
                        <w:color w:val="2D83AE"/>
                        <w:sz w:val="15"/>
                        <w:szCs w:val="15"/>
                        <w:lang w:val="es-ES"/>
                        <w14:textOutline w14:w="9525" w14:cap="rnd" w14:cmpd="sng" w14:algn="ctr">
                          <w14:noFill/>
                          <w14:prstDash w14:val="solid"/>
                          <w14:bevel/>
                        </w14:textOutline>
                      </w:rPr>
                      <w:t>Dirección de</w:t>
                    </w:r>
                    <w:r>
                      <w:rPr>
                        <w:color w:val="2D83AE"/>
                        <w:sz w:val="15"/>
                        <w:szCs w:val="15"/>
                        <w:lang w:val="es-ES"/>
                        <w14:textOutline w14:w="9525" w14:cap="rnd" w14:cmpd="sng" w14:algn="ctr">
                          <w14:noFill/>
                          <w14:prstDash w14:val="solid"/>
                          <w14:bevel/>
                        </w14:textOutline>
                      </w:rPr>
                      <w:t xml:space="preserve"> Análisis y Política Fiscal </w:t>
                    </w:r>
                  </w:p>
                  <w:p w14:paraId="37828060" w14:textId="77777777" w:rsidR="00CE6F3E" w:rsidRPr="00F86FA2" w:rsidRDefault="00CE6F3E" w:rsidP="00CE6F3E">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A194A"/>
    <w:multiLevelType w:val="hybridMultilevel"/>
    <w:tmpl w:val="D05267F4"/>
    <w:lvl w:ilvl="0" w:tplc="82E8808A">
      <w:start w:val="1"/>
      <w:numFmt w:val="decimal"/>
      <w:lvlText w:val="%1."/>
      <w:lvlJc w:val="left"/>
      <w:pPr>
        <w:ind w:left="720" w:hanging="360"/>
      </w:pPr>
      <w:rPr>
        <w:rFonts w:cs="Times New Roman" w:hint="default"/>
        <w:b w:val="0"/>
        <w:bCs w:val="0"/>
      </w:rPr>
    </w:lvl>
    <w:lvl w:ilvl="1" w:tplc="100A0003" w:tentative="1">
      <w:start w:val="1"/>
      <w:numFmt w:val="bullet"/>
      <w:lvlText w:val="o"/>
      <w:lvlJc w:val="left"/>
      <w:pPr>
        <w:ind w:left="1440" w:hanging="360"/>
      </w:pPr>
      <w:rPr>
        <w:rFonts w:ascii="Courier New" w:hAnsi="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 w15:restartNumberingAfterBreak="0">
    <w:nsid w:val="04F67A77"/>
    <w:multiLevelType w:val="hybridMultilevel"/>
    <w:tmpl w:val="F72ACAB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06256AA2"/>
    <w:multiLevelType w:val="hybridMultilevel"/>
    <w:tmpl w:val="5D1C7A22"/>
    <w:lvl w:ilvl="0" w:tplc="100A000F">
      <w:start w:val="1"/>
      <w:numFmt w:val="decimal"/>
      <w:lvlText w:val="%1."/>
      <w:lvlJc w:val="left"/>
      <w:pPr>
        <w:ind w:left="720" w:hanging="360"/>
      </w:pPr>
      <w:rPr>
        <w:rFonts w:cs="Times New Roman" w:hint="default"/>
      </w:rPr>
    </w:lvl>
    <w:lvl w:ilvl="1" w:tplc="100A0019" w:tentative="1">
      <w:start w:val="1"/>
      <w:numFmt w:val="lowerLetter"/>
      <w:lvlText w:val="%2."/>
      <w:lvlJc w:val="left"/>
      <w:pPr>
        <w:ind w:left="1440" w:hanging="360"/>
      </w:pPr>
      <w:rPr>
        <w:rFonts w:cs="Times New Roman"/>
      </w:rPr>
    </w:lvl>
    <w:lvl w:ilvl="2" w:tplc="100A001B" w:tentative="1">
      <w:start w:val="1"/>
      <w:numFmt w:val="lowerRoman"/>
      <w:lvlText w:val="%3."/>
      <w:lvlJc w:val="right"/>
      <w:pPr>
        <w:ind w:left="2160" w:hanging="180"/>
      </w:pPr>
      <w:rPr>
        <w:rFonts w:cs="Times New Roman"/>
      </w:rPr>
    </w:lvl>
    <w:lvl w:ilvl="3" w:tplc="100A000F" w:tentative="1">
      <w:start w:val="1"/>
      <w:numFmt w:val="decimal"/>
      <w:lvlText w:val="%4."/>
      <w:lvlJc w:val="left"/>
      <w:pPr>
        <w:ind w:left="2880" w:hanging="360"/>
      </w:pPr>
      <w:rPr>
        <w:rFonts w:cs="Times New Roman"/>
      </w:rPr>
    </w:lvl>
    <w:lvl w:ilvl="4" w:tplc="100A0019" w:tentative="1">
      <w:start w:val="1"/>
      <w:numFmt w:val="lowerLetter"/>
      <w:lvlText w:val="%5."/>
      <w:lvlJc w:val="left"/>
      <w:pPr>
        <w:ind w:left="3600" w:hanging="360"/>
      </w:pPr>
      <w:rPr>
        <w:rFonts w:cs="Times New Roman"/>
      </w:rPr>
    </w:lvl>
    <w:lvl w:ilvl="5" w:tplc="100A001B" w:tentative="1">
      <w:start w:val="1"/>
      <w:numFmt w:val="lowerRoman"/>
      <w:lvlText w:val="%6."/>
      <w:lvlJc w:val="right"/>
      <w:pPr>
        <w:ind w:left="4320" w:hanging="180"/>
      </w:pPr>
      <w:rPr>
        <w:rFonts w:cs="Times New Roman"/>
      </w:rPr>
    </w:lvl>
    <w:lvl w:ilvl="6" w:tplc="100A000F" w:tentative="1">
      <w:start w:val="1"/>
      <w:numFmt w:val="decimal"/>
      <w:lvlText w:val="%7."/>
      <w:lvlJc w:val="left"/>
      <w:pPr>
        <w:ind w:left="5040" w:hanging="360"/>
      </w:pPr>
      <w:rPr>
        <w:rFonts w:cs="Times New Roman"/>
      </w:rPr>
    </w:lvl>
    <w:lvl w:ilvl="7" w:tplc="100A0019" w:tentative="1">
      <w:start w:val="1"/>
      <w:numFmt w:val="lowerLetter"/>
      <w:lvlText w:val="%8."/>
      <w:lvlJc w:val="left"/>
      <w:pPr>
        <w:ind w:left="5760" w:hanging="360"/>
      </w:pPr>
      <w:rPr>
        <w:rFonts w:cs="Times New Roman"/>
      </w:rPr>
    </w:lvl>
    <w:lvl w:ilvl="8" w:tplc="100A001B" w:tentative="1">
      <w:start w:val="1"/>
      <w:numFmt w:val="lowerRoman"/>
      <w:lvlText w:val="%9."/>
      <w:lvlJc w:val="right"/>
      <w:pPr>
        <w:ind w:left="6480" w:hanging="180"/>
      </w:pPr>
      <w:rPr>
        <w:rFonts w:cs="Times New Roman"/>
      </w:rPr>
    </w:lvl>
  </w:abstractNum>
  <w:abstractNum w:abstractNumId="3" w15:restartNumberingAfterBreak="0">
    <w:nsid w:val="073A7DCC"/>
    <w:multiLevelType w:val="hybridMultilevel"/>
    <w:tmpl w:val="83F0F5E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 w15:restartNumberingAfterBreak="0">
    <w:nsid w:val="0B9A4C97"/>
    <w:multiLevelType w:val="multilevel"/>
    <w:tmpl w:val="F6466986"/>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bCs w:val="0"/>
        <w:sz w:val="22"/>
        <w:szCs w:val="22"/>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 w15:restartNumberingAfterBreak="0">
    <w:nsid w:val="0F1C5400"/>
    <w:multiLevelType w:val="hybridMultilevel"/>
    <w:tmpl w:val="C51662E8"/>
    <w:lvl w:ilvl="0" w:tplc="100A0019">
      <w:start w:val="1"/>
      <w:numFmt w:val="lowerLetter"/>
      <w:lvlText w:val="%1."/>
      <w:lvlJc w:val="left"/>
      <w:pPr>
        <w:ind w:left="720" w:hanging="360"/>
      </w:pPr>
      <w:rPr>
        <w:rFonts w:cs="Times New Roman" w:hint="default"/>
      </w:rPr>
    </w:lvl>
    <w:lvl w:ilvl="1" w:tplc="100A0019" w:tentative="1">
      <w:start w:val="1"/>
      <w:numFmt w:val="lowerLetter"/>
      <w:lvlText w:val="%2."/>
      <w:lvlJc w:val="left"/>
      <w:pPr>
        <w:ind w:left="1440" w:hanging="360"/>
      </w:pPr>
      <w:rPr>
        <w:rFonts w:cs="Times New Roman"/>
      </w:rPr>
    </w:lvl>
    <w:lvl w:ilvl="2" w:tplc="100A001B" w:tentative="1">
      <w:start w:val="1"/>
      <w:numFmt w:val="lowerRoman"/>
      <w:lvlText w:val="%3."/>
      <w:lvlJc w:val="right"/>
      <w:pPr>
        <w:ind w:left="2160" w:hanging="180"/>
      </w:pPr>
      <w:rPr>
        <w:rFonts w:cs="Times New Roman"/>
      </w:rPr>
    </w:lvl>
    <w:lvl w:ilvl="3" w:tplc="100A000F" w:tentative="1">
      <w:start w:val="1"/>
      <w:numFmt w:val="decimal"/>
      <w:lvlText w:val="%4."/>
      <w:lvlJc w:val="left"/>
      <w:pPr>
        <w:ind w:left="2880" w:hanging="360"/>
      </w:pPr>
      <w:rPr>
        <w:rFonts w:cs="Times New Roman"/>
      </w:rPr>
    </w:lvl>
    <w:lvl w:ilvl="4" w:tplc="100A0019" w:tentative="1">
      <w:start w:val="1"/>
      <w:numFmt w:val="lowerLetter"/>
      <w:lvlText w:val="%5."/>
      <w:lvlJc w:val="left"/>
      <w:pPr>
        <w:ind w:left="3600" w:hanging="360"/>
      </w:pPr>
      <w:rPr>
        <w:rFonts w:cs="Times New Roman"/>
      </w:rPr>
    </w:lvl>
    <w:lvl w:ilvl="5" w:tplc="100A001B" w:tentative="1">
      <w:start w:val="1"/>
      <w:numFmt w:val="lowerRoman"/>
      <w:lvlText w:val="%6."/>
      <w:lvlJc w:val="right"/>
      <w:pPr>
        <w:ind w:left="4320" w:hanging="180"/>
      </w:pPr>
      <w:rPr>
        <w:rFonts w:cs="Times New Roman"/>
      </w:rPr>
    </w:lvl>
    <w:lvl w:ilvl="6" w:tplc="100A000F" w:tentative="1">
      <w:start w:val="1"/>
      <w:numFmt w:val="decimal"/>
      <w:lvlText w:val="%7."/>
      <w:lvlJc w:val="left"/>
      <w:pPr>
        <w:ind w:left="5040" w:hanging="360"/>
      </w:pPr>
      <w:rPr>
        <w:rFonts w:cs="Times New Roman"/>
      </w:rPr>
    </w:lvl>
    <w:lvl w:ilvl="7" w:tplc="100A0019" w:tentative="1">
      <w:start w:val="1"/>
      <w:numFmt w:val="lowerLetter"/>
      <w:lvlText w:val="%8."/>
      <w:lvlJc w:val="left"/>
      <w:pPr>
        <w:ind w:left="5760" w:hanging="360"/>
      </w:pPr>
      <w:rPr>
        <w:rFonts w:cs="Times New Roman"/>
      </w:rPr>
    </w:lvl>
    <w:lvl w:ilvl="8" w:tplc="100A001B" w:tentative="1">
      <w:start w:val="1"/>
      <w:numFmt w:val="lowerRoman"/>
      <w:lvlText w:val="%9."/>
      <w:lvlJc w:val="right"/>
      <w:pPr>
        <w:ind w:left="6480" w:hanging="180"/>
      </w:pPr>
      <w:rPr>
        <w:rFonts w:cs="Times New Roman"/>
      </w:rPr>
    </w:lvl>
  </w:abstractNum>
  <w:abstractNum w:abstractNumId="6" w15:restartNumberingAfterBreak="0">
    <w:nsid w:val="18244A23"/>
    <w:multiLevelType w:val="hybridMultilevel"/>
    <w:tmpl w:val="902A264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 w15:restartNumberingAfterBreak="0">
    <w:nsid w:val="1E794760"/>
    <w:multiLevelType w:val="hybridMultilevel"/>
    <w:tmpl w:val="48E608E8"/>
    <w:lvl w:ilvl="0" w:tplc="F9443E48">
      <w:start w:val="1"/>
      <w:numFmt w:val="decimal"/>
      <w:lvlText w:val="%1."/>
      <w:lvlJc w:val="left"/>
      <w:pPr>
        <w:ind w:left="720" w:hanging="360"/>
      </w:pPr>
      <w:rPr>
        <w:rFonts w:cs="Times New Roman" w:hint="default"/>
        <w:b w:val="0"/>
        <w:bCs w:val="0"/>
      </w:rPr>
    </w:lvl>
    <w:lvl w:ilvl="1" w:tplc="100A0019" w:tentative="1">
      <w:start w:val="1"/>
      <w:numFmt w:val="lowerLetter"/>
      <w:lvlText w:val="%2."/>
      <w:lvlJc w:val="left"/>
      <w:pPr>
        <w:ind w:left="1440" w:hanging="360"/>
      </w:pPr>
      <w:rPr>
        <w:rFonts w:cs="Times New Roman"/>
      </w:rPr>
    </w:lvl>
    <w:lvl w:ilvl="2" w:tplc="100A001B" w:tentative="1">
      <w:start w:val="1"/>
      <w:numFmt w:val="lowerRoman"/>
      <w:lvlText w:val="%3."/>
      <w:lvlJc w:val="right"/>
      <w:pPr>
        <w:ind w:left="2160" w:hanging="180"/>
      </w:pPr>
      <w:rPr>
        <w:rFonts w:cs="Times New Roman"/>
      </w:rPr>
    </w:lvl>
    <w:lvl w:ilvl="3" w:tplc="100A000F" w:tentative="1">
      <w:start w:val="1"/>
      <w:numFmt w:val="decimal"/>
      <w:lvlText w:val="%4."/>
      <w:lvlJc w:val="left"/>
      <w:pPr>
        <w:ind w:left="2880" w:hanging="360"/>
      </w:pPr>
      <w:rPr>
        <w:rFonts w:cs="Times New Roman"/>
      </w:rPr>
    </w:lvl>
    <w:lvl w:ilvl="4" w:tplc="100A0019" w:tentative="1">
      <w:start w:val="1"/>
      <w:numFmt w:val="lowerLetter"/>
      <w:lvlText w:val="%5."/>
      <w:lvlJc w:val="left"/>
      <w:pPr>
        <w:ind w:left="3600" w:hanging="360"/>
      </w:pPr>
      <w:rPr>
        <w:rFonts w:cs="Times New Roman"/>
      </w:rPr>
    </w:lvl>
    <w:lvl w:ilvl="5" w:tplc="100A001B" w:tentative="1">
      <w:start w:val="1"/>
      <w:numFmt w:val="lowerRoman"/>
      <w:lvlText w:val="%6."/>
      <w:lvlJc w:val="right"/>
      <w:pPr>
        <w:ind w:left="4320" w:hanging="180"/>
      </w:pPr>
      <w:rPr>
        <w:rFonts w:cs="Times New Roman"/>
      </w:rPr>
    </w:lvl>
    <w:lvl w:ilvl="6" w:tplc="100A000F" w:tentative="1">
      <w:start w:val="1"/>
      <w:numFmt w:val="decimal"/>
      <w:lvlText w:val="%7."/>
      <w:lvlJc w:val="left"/>
      <w:pPr>
        <w:ind w:left="5040" w:hanging="360"/>
      </w:pPr>
      <w:rPr>
        <w:rFonts w:cs="Times New Roman"/>
      </w:rPr>
    </w:lvl>
    <w:lvl w:ilvl="7" w:tplc="100A0019" w:tentative="1">
      <w:start w:val="1"/>
      <w:numFmt w:val="lowerLetter"/>
      <w:lvlText w:val="%8."/>
      <w:lvlJc w:val="left"/>
      <w:pPr>
        <w:ind w:left="5760" w:hanging="360"/>
      </w:pPr>
      <w:rPr>
        <w:rFonts w:cs="Times New Roman"/>
      </w:rPr>
    </w:lvl>
    <w:lvl w:ilvl="8" w:tplc="100A001B" w:tentative="1">
      <w:start w:val="1"/>
      <w:numFmt w:val="lowerRoman"/>
      <w:lvlText w:val="%9."/>
      <w:lvlJc w:val="right"/>
      <w:pPr>
        <w:ind w:left="6480" w:hanging="180"/>
      </w:pPr>
      <w:rPr>
        <w:rFonts w:cs="Times New Roman"/>
      </w:rPr>
    </w:lvl>
  </w:abstractNum>
  <w:abstractNum w:abstractNumId="8" w15:restartNumberingAfterBreak="0">
    <w:nsid w:val="1E821AAB"/>
    <w:multiLevelType w:val="hybridMultilevel"/>
    <w:tmpl w:val="715064CC"/>
    <w:lvl w:ilvl="0" w:tplc="100A0001">
      <w:start w:val="1"/>
      <w:numFmt w:val="bullet"/>
      <w:lvlText w:val=""/>
      <w:lvlJc w:val="left"/>
      <w:pPr>
        <w:ind w:left="1080" w:hanging="360"/>
      </w:pPr>
      <w:rPr>
        <w:rFonts w:ascii="Symbol" w:hAnsi="Symbol" w:hint="default"/>
      </w:rPr>
    </w:lvl>
    <w:lvl w:ilvl="1" w:tplc="100A0003" w:tentative="1">
      <w:start w:val="1"/>
      <w:numFmt w:val="bullet"/>
      <w:lvlText w:val="o"/>
      <w:lvlJc w:val="left"/>
      <w:pPr>
        <w:ind w:left="1800" w:hanging="360"/>
      </w:pPr>
      <w:rPr>
        <w:rFonts w:ascii="Courier New" w:hAnsi="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9" w15:restartNumberingAfterBreak="0">
    <w:nsid w:val="1F9B2B89"/>
    <w:multiLevelType w:val="hybridMultilevel"/>
    <w:tmpl w:val="E74291EA"/>
    <w:lvl w:ilvl="0" w:tplc="100A000D">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1FBB01C6"/>
    <w:multiLevelType w:val="hybridMultilevel"/>
    <w:tmpl w:val="4002151E"/>
    <w:lvl w:ilvl="0" w:tplc="100A000F">
      <w:start w:val="1"/>
      <w:numFmt w:val="decimal"/>
      <w:lvlText w:val="%1."/>
      <w:lvlJc w:val="left"/>
      <w:pPr>
        <w:ind w:left="720" w:hanging="360"/>
      </w:pPr>
      <w:rPr>
        <w:rFonts w:cs="Times New Roman" w:hint="default"/>
      </w:rPr>
    </w:lvl>
    <w:lvl w:ilvl="1" w:tplc="100A0003" w:tentative="1">
      <w:start w:val="1"/>
      <w:numFmt w:val="bullet"/>
      <w:lvlText w:val="o"/>
      <w:lvlJc w:val="left"/>
      <w:pPr>
        <w:ind w:left="1440" w:hanging="360"/>
      </w:pPr>
      <w:rPr>
        <w:rFonts w:ascii="Courier New" w:hAnsi="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 w15:restartNumberingAfterBreak="0">
    <w:nsid w:val="225A1547"/>
    <w:multiLevelType w:val="hybridMultilevel"/>
    <w:tmpl w:val="7188E478"/>
    <w:lvl w:ilvl="0" w:tplc="71D09B50">
      <w:start w:val="1"/>
      <w:numFmt w:val="bullet"/>
      <w:lvlText w:val=""/>
      <w:lvlJc w:val="left"/>
      <w:pPr>
        <w:ind w:left="720" w:hanging="360"/>
      </w:pPr>
      <w:rPr>
        <w:rFonts w:ascii="Symbol" w:hAnsi="Symbol" w:hint="default"/>
        <w:color w:val="auto"/>
      </w:rPr>
    </w:lvl>
    <w:lvl w:ilvl="1" w:tplc="100A0003" w:tentative="1">
      <w:start w:val="1"/>
      <w:numFmt w:val="bullet"/>
      <w:lvlText w:val="o"/>
      <w:lvlJc w:val="left"/>
      <w:pPr>
        <w:ind w:left="1440" w:hanging="360"/>
      </w:pPr>
      <w:rPr>
        <w:rFonts w:ascii="Courier New" w:hAnsi="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15:restartNumberingAfterBreak="0">
    <w:nsid w:val="2ED907CF"/>
    <w:multiLevelType w:val="hybridMultilevel"/>
    <w:tmpl w:val="62BACEC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 w15:restartNumberingAfterBreak="0">
    <w:nsid w:val="307B140B"/>
    <w:multiLevelType w:val="multilevel"/>
    <w:tmpl w:val="4ECA1D5C"/>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cs="Times New Roman" w:hint="default"/>
        <w:color w:val="auto"/>
        <w:sz w:val="22"/>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4" w15:restartNumberingAfterBreak="0">
    <w:nsid w:val="32756BFE"/>
    <w:multiLevelType w:val="hybridMultilevel"/>
    <w:tmpl w:val="A0EC13DE"/>
    <w:lvl w:ilvl="0" w:tplc="100A000D">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5" w15:restartNumberingAfterBreak="0">
    <w:nsid w:val="33922573"/>
    <w:multiLevelType w:val="hybridMultilevel"/>
    <w:tmpl w:val="F15AD442"/>
    <w:lvl w:ilvl="0" w:tplc="100A000B">
      <w:start w:val="1"/>
      <w:numFmt w:val="bullet"/>
      <w:lvlText w:val=""/>
      <w:lvlJc w:val="left"/>
      <w:pPr>
        <w:ind w:left="720" w:hanging="360"/>
      </w:pPr>
      <w:rPr>
        <w:rFonts w:ascii="Wingdings" w:hAnsi="Wingdings" w:hint="default"/>
      </w:rPr>
    </w:lvl>
    <w:lvl w:ilvl="1" w:tplc="100A0003">
      <w:start w:val="1"/>
      <w:numFmt w:val="bullet"/>
      <w:lvlText w:val="o"/>
      <w:lvlJc w:val="left"/>
      <w:pPr>
        <w:ind w:left="1440" w:hanging="360"/>
      </w:pPr>
      <w:rPr>
        <w:rFonts w:ascii="Courier New" w:hAnsi="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6" w15:restartNumberingAfterBreak="0">
    <w:nsid w:val="39BB6EF1"/>
    <w:multiLevelType w:val="hybridMultilevel"/>
    <w:tmpl w:val="A1581D42"/>
    <w:lvl w:ilvl="0" w:tplc="100A0019">
      <w:start w:val="1"/>
      <w:numFmt w:val="lowerLetter"/>
      <w:lvlText w:val="%1."/>
      <w:lvlJc w:val="left"/>
      <w:pPr>
        <w:ind w:left="720" w:hanging="360"/>
      </w:pPr>
      <w:rPr>
        <w:rFonts w:cs="Times New Roman"/>
      </w:rPr>
    </w:lvl>
    <w:lvl w:ilvl="1" w:tplc="100A0019" w:tentative="1">
      <w:start w:val="1"/>
      <w:numFmt w:val="lowerLetter"/>
      <w:lvlText w:val="%2."/>
      <w:lvlJc w:val="left"/>
      <w:pPr>
        <w:ind w:left="1440" w:hanging="360"/>
      </w:pPr>
      <w:rPr>
        <w:rFonts w:cs="Times New Roman"/>
      </w:rPr>
    </w:lvl>
    <w:lvl w:ilvl="2" w:tplc="100A001B" w:tentative="1">
      <w:start w:val="1"/>
      <w:numFmt w:val="lowerRoman"/>
      <w:lvlText w:val="%3."/>
      <w:lvlJc w:val="right"/>
      <w:pPr>
        <w:ind w:left="2160" w:hanging="180"/>
      </w:pPr>
      <w:rPr>
        <w:rFonts w:cs="Times New Roman"/>
      </w:rPr>
    </w:lvl>
    <w:lvl w:ilvl="3" w:tplc="100A000F" w:tentative="1">
      <w:start w:val="1"/>
      <w:numFmt w:val="decimal"/>
      <w:lvlText w:val="%4."/>
      <w:lvlJc w:val="left"/>
      <w:pPr>
        <w:ind w:left="2880" w:hanging="360"/>
      </w:pPr>
      <w:rPr>
        <w:rFonts w:cs="Times New Roman"/>
      </w:rPr>
    </w:lvl>
    <w:lvl w:ilvl="4" w:tplc="100A0019" w:tentative="1">
      <w:start w:val="1"/>
      <w:numFmt w:val="lowerLetter"/>
      <w:lvlText w:val="%5."/>
      <w:lvlJc w:val="left"/>
      <w:pPr>
        <w:ind w:left="3600" w:hanging="360"/>
      </w:pPr>
      <w:rPr>
        <w:rFonts w:cs="Times New Roman"/>
      </w:rPr>
    </w:lvl>
    <w:lvl w:ilvl="5" w:tplc="100A001B" w:tentative="1">
      <w:start w:val="1"/>
      <w:numFmt w:val="lowerRoman"/>
      <w:lvlText w:val="%6."/>
      <w:lvlJc w:val="right"/>
      <w:pPr>
        <w:ind w:left="4320" w:hanging="180"/>
      </w:pPr>
      <w:rPr>
        <w:rFonts w:cs="Times New Roman"/>
      </w:rPr>
    </w:lvl>
    <w:lvl w:ilvl="6" w:tplc="100A000F" w:tentative="1">
      <w:start w:val="1"/>
      <w:numFmt w:val="decimal"/>
      <w:lvlText w:val="%7."/>
      <w:lvlJc w:val="left"/>
      <w:pPr>
        <w:ind w:left="5040" w:hanging="360"/>
      </w:pPr>
      <w:rPr>
        <w:rFonts w:cs="Times New Roman"/>
      </w:rPr>
    </w:lvl>
    <w:lvl w:ilvl="7" w:tplc="100A0019" w:tentative="1">
      <w:start w:val="1"/>
      <w:numFmt w:val="lowerLetter"/>
      <w:lvlText w:val="%8."/>
      <w:lvlJc w:val="left"/>
      <w:pPr>
        <w:ind w:left="5760" w:hanging="360"/>
      </w:pPr>
      <w:rPr>
        <w:rFonts w:cs="Times New Roman"/>
      </w:rPr>
    </w:lvl>
    <w:lvl w:ilvl="8" w:tplc="100A001B" w:tentative="1">
      <w:start w:val="1"/>
      <w:numFmt w:val="lowerRoman"/>
      <w:lvlText w:val="%9."/>
      <w:lvlJc w:val="right"/>
      <w:pPr>
        <w:ind w:left="6480" w:hanging="180"/>
      </w:pPr>
      <w:rPr>
        <w:rFonts w:cs="Times New Roman"/>
      </w:rPr>
    </w:lvl>
  </w:abstractNum>
  <w:abstractNum w:abstractNumId="17" w15:restartNumberingAfterBreak="0">
    <w:nsid w:val="3ADE0D16"/>
    <w:multiLevelType w:val="hybridMultilevel"/>
    <w:tmpl w:val="254E929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8" w15:restartNumberingAfterBreak="0">
    <w:nsid w:val="41F878AD"/>
    <w:multiLevelType w:val="multilevel"/>
    <w:tmpl w:val="6BE6BB4A"/>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color w:val="auto"/>
        <w:sz w:val="22"/>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9" w15:restartNumberingAfterBreak="0">
    <w:nsid w:val="423772FF"/>
    <w:multiLevelType w:val="multilevel"/>
    <w:tmpl w:val="BA20F804"/>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bCs w:val="0"/>
        <w:sz w:val="22"/>
        <w:szCs w:val="22"/>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0" w15:restartNumberingAfterBreak="0">
    <w:nsid w:val="47E25B64"/>
    <w:multiLevelType w:val="hybridMultilevel"/>
    <w:tmpl w:val="E95E6F7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1" w15:restartNumberingAfterBreak="0">
    <w:nsid w:val="495F738C"/>
    <w:multiLevelType w:val="hybridMultilevel"/>
    <w:tmpl w:val="215E7A7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2" w15:restartNumberingAfterBreak="0">
    <w:nsid w:val="4AFF6198"/>
    <w:multiLevelType w:val="hybridMultilevel"/>
    <w:tmpl w:val="06380660"/>
    <w:lvl w:ilvl="0" w:tplc="100A0019">
      <w:start w:val="1"/>
      <w:numFmt w:val="lowerLetter"/>
      <w:lvlText w:val="%1."/>
      <w:lvlJc w:val="left"/>
      <w:pPr>
        <w:ind w:left="720" w:hanging="360"/>
      </w:pPr>
      <w:rPr>
        <w:rFonts w:cs="Times New Roman" w:hint="default"/>
      </w:rPr>
    </w:lvl>
    <w:lvl w:ilvl="1" w:tplc="100A0019" w:tentative="1">
      <w:start w:val="1"/>
      <w:numFmt w:val="lowerLetter"/>
      <w:lvlText w:val="%2."/>
      <w:lvlJc w:val="left"/>
      <w:pPr>
        <w:ind w:left="1440" w:hanging="360"/>
      </w:pPr>
      <w:rPr>
        <w:rFonts w:cs="Times New Roman"/>
      </w:rPr>
    </w:lvl>
    <w:lvl w:ilvl="2" w:tplc="100A001B" w:tentative="1">
      <w:start w:val="1"/>
      <w:numFmt w:val="lowerRoman"/>
      <w:lvlText w:val="%3."/>
      <w:lvlJc w:val="right"/>
      <w:pPr>
        <w:ind w:left="2160" w:hanging="180"/>
      </w:pPr>
      <w:rPr>
        <w:rFonts w:cs="Times New Roman"/>
      </w:rPr>
    </w:lvl>
    <w:lvl w:ilvl="3" w:tplc="100A000F" w:tentative="1">
      <w:start w:val="1"/>
      <w:numFmt w:val="decimal"/>
      <w:lvlText w:val="%4."/>
      <w:lvlJc w:val="left"/>
      <w:pPr>
        <w:ind w:left="2880" w:hanging="360"/>
      </w:pPr>
      <w:rPr>
        <w:rFonts w:cs="Times New Roman"/>
      </w:rPr>
    </w:lvl>
    <w:lvl w:ilvl="4" w:tplc="100A0019" w:tentative="1">
      <w:start w:val="1"/>
      <w:numFmt w:val="lowerLetter"/>
      <w:lvlText w:val="%5."/>
      <w:lvlJc w:val="left"/>
      <w:pPr>
        <w:ind w:left="3600" w:hanging="360"/>
      </w:pPr>
      <w:rPr>
        <w:rFonts w:cs="Times New Roman"/>
      </w:rPr>
    </w:lvl>
    <w:lvl w:ilvl="5" w:tplc="100A001B" w:tentative="1">
      <w:start w:val="1"/>
      <w:numFmt w:val="lowerRoman"/>
      <w:lvlText w:val="%6."/>
      <w:lvlJc w:val="right"/>
      <w:pPr>
        <w:ind w:left="4320" w:hanging="180"/>
      </w:pPr>
      <w:rPr>
        <w:rFonts w:cs="Times New Roman"/>
      </w:rPr>
    </w:lvl>
    <w:lvl w:ilvl="6" w:tplc="100A000F" w:tentative="1">
      <w:start w:val="1"/>
      <w:numFmt w:val="decimal"/>
      <w:lvlText w:val="%7."/>
      <w:lvlJc w:val="left"/>
      <w:pPr>
        <w:ind w:left="5040" w:hanging="360"/>
      </w:pPr>
      <w:rPr>
        <w:rFonts w:cs="Times New Roman"/>
      </w:rPr>
    </w:lvl>
    <w:lvl w:ilvl="7" w:tplc="100A0019" w:tentative="1">
      <w:start w:val="1"/>
      <w:numFmt w:val="lowerLetter"/>
      <w:lvlText w:val="%8."/>
      <w:lvlJc w:val="left"/>
      <w:pPr>
        <w:ind w:left="5760" w:hanging="360"/>
      </w:pPr>
      <w:rPr>
        <w:rFonts w:cs="Times New Roman"/>
      </w:rPr>
    </w:lvl>
    <w:lvl w:ilvl="8" w:tplc="100A001B" w:tentative="1">
      <w:start w:val="1"/>
      <w:numFmt w:val="lowerRoman"/>
      <w:lvlText w:val="%9."/>
      <w:lvlJc w:val="right"/>
      <w:pPr>
        <w:ind w:left="6480" w:hanging="180"/>
      </w:pPr>
      <w:rPr>
        <w:rFonts w:cs="Times New Roman"/>
      </w:rPr>
    </w:lvl>
  </w:abstractNum>
  <w:abstractNum w:abstractNumId="23" w15:restartNumberingAfterBreak="0">
    <w:nsid w:val="4BD44D8F"/>
    <w:multiLevelType w:val="hybridMultilevel"/>
    <w:tmpl w:val="27205566"/>
    <w:lvl w:ilvl="0" w:tplc="98EC0856">
      <w:start w:val="1"/>
      <w:numFmt w:val="lowerLetter"/>
      <w:lvlText w:val="%1)"/>
      <w:lvlJc w:val="left"/>
      <w:pPr>
        <w:ind w:left="644" w:hanging="360"/>
      </w:pPr>
      <w:rPr>
        <w:rFonts w:cs="Times New Roman" w:hint="default"/>
      </w:rPr>
    </w:lvl>
    <w:lvl w:ilvl="1" w:tplc="100A0019">
      <w:start w:val="1"/>
      <w:numFmt w:val="lowerLetter"/>
      <w:lvlText w:val="%2."/>
      <w:lvlJc w:val="left"/>
      <w:pPr>
        <w:ind w:left="1364" w:hanging="360"/>
      </w:pPr>
      <w:rPr>
        <w:rFonts w:cs="Times New Roman"/>
      </w:rPr>
    </w:lvl>
    <w:lvl w:ilvl="2" w:tplc="100A001B" w:tentative="1">
      <w:start w:val="1"/>
      <w:numFmt w:val="lowerRoman"/>
      <w:lvlText w:val="%3."/>
      <w:lvlJc w:val="right"/>
      <w:pPr>
        <w:ind w:left="2084" w:hanging="180"/>
      </w:pPr>
      <w:rPr>
        <w:rFonts w:cs="Times New Roman"/>
      </w:rPr>
    </w:lvl>
    <w:lvl w:ilvl="3" w:tplc="100A000F" w:tentative="1">
      <w:start w:val="1"/>
      <w:numFmt w:val="decimal"/>
      <w:lvlText w:val="%4."/>
      <w:lvlJc w:val="left"/>
      <w:pPr>
        <w:ind w:left="2804" w:hanging="360"/>
      </w:pPr>
      <w:rPr>
        <w:rFonts w:cs="Times New Roman"/>
      </w:rPr>
    </w:lvl>
    <w:lvl w:ilvl="4" w:tplc="100A0019" w:tentative="1">
      <w:start w:val="1"/>
      <w:numFmt w:val="lowerLetter"/>
      <w:lvlText w:val="%5."/>
      <w:lvlJc w:val="left"/>
      <w:pPr>
        <w:ind w:left="3524" w:hanging="360"/>
      </w:pPr>
      <w:rPr>
        <w:rFonts w:cs="Times New Roman"/>
      </w:rPr>
    </w:lvl>
    <w:lvl w:ilvl="5" w:tplc="100A001B" w:tentative="1">
      <w:start w:val="1"/>
      <w:numFmt w:val="lowerRoman"/>
      <w:lvlText w:val="%6."/>
      <w:lvlJc w:val="right"/>
      <w:pPr>
        <w:ind w:left="4244" w:hanging="180"/>
      </w:pPr>
      <w:rPr>
        <w:rFonts w:cs="Times New Roman"/>
      </w:rPr>
    </w:lvl>
    <w:lvl w:ilvl="6" w:tplc="100A000F" w:tentative="1">
      <w:start w:val="1"/>
      <w:numFmt w:val="decimal"/>
      <w:lvlText w:val="%7."/>
      <w:lvlJc w:val="left"/>
      <w:pPr>
        <w:ind w:left="4964" w:hanging="360"/>
      </w:pPr>
      <w:rPr>
        <w:rFonts w:cs="Times New Roman"/>
      </w:rPr>
    </w:lvl>
    <w:lvl w:ilvl="7" w:tplc="100A0019" w:tentative="1">
      <w:start w:val="1"/>
      <w:numFmt w:val="lowerLetter"/>
      <w:lvlText w:val="%8."/>
      <w:lvlJc w:val="left"/>
      <w:pPr>
        <w:ind w:left="5684" w:hanging="360"/>
      </w:pPr>
      <w:rPr>
        <w:rFonts w:cs="Times New Roman"/>
      </w:rPr>
    </w:lvl>
    <w:lvl w:ilvl="8" w:tplc="100A001B" w:tentative="1">
      <w:start w:val="1"/>
      <w:numFmt w:val="lowerRoman"/>
      <w:lvlText w:val="%9."/>
      <w:lvlJc w:val="right"/>
      <w:pPr>
        <w:ind w:left="6404" w:hanging="180"/>
      </w:pPr>
      <w:rPr>
        <w:rFonts w:cs="Times New Roman"/>
      </w:rPr>
    </w:lvl>
  </w:abstractNum>
  <w:abstractNum w:abstractNumId="24" w15:restartNumberingAfterBreak="0">
    <w:nsid w:val="4C477E62"/>
    <w:multiLevelType w:val="hybridMultilevel"/>
    <w:tmpl w:val="BAB89634"/>
    <w:lvl w:ilvl="0" w:tplc="3BAC8262">
      <w:start w:val="1"/>
      <w:numFmt w:val="lowerLetter"/>
      <w:lvlText w:val="%1."/>
      <w:lvlJc w:val="left"/>
      <w:pPr>
        <w:ind w:left="720" w:hanging="360"/>
      </w:pPr>
      <w:rPr>
        <w:rFonts w:cs="Times New Roman" w:hint="default"/>
      </w:rPr>
    </w:lvl>
    <w:lvl w:ilvl="1" w:tplc="100A0013">
      <w:start w:val="1"/>
      <w:numFmt w:val="upperRoman"/>
      <w:lvlText w:val="%2."/>
      <w:lvlJc w:val="right"/>
      <w:pPr>
        <w:ind w:left="1440" w:hanging="360"/>
      </w:pPr>
      <w:rPr>
        <w:rFonts w:cs="Times New Roman"/>
      </w:rPr>
    </w:lvl>
    <w:lvl w:ilvl="2" w:tplc="100A001B">
      <w:start w:val="1"/>
      <w:numFmt w:val="lowerRoman"/>
      <w:lvlText w:val="%3."/>
      <w:lvlJc w:val="right"/>
      <w:pPr>
        <w:ind w:left="2160" w:hanging="180"/>
      </w:pPr>
      <w:rPr>
        <w:rFonts w:cs="Times New Roman"/>
      </w:rPr>
    </w:lvl>
    <w:lvl w:ilvl="3" w:tplc="100A000F" w:tentative="1">
      <w:start w:val="1"/>
      <w:numFmt w:val="decimal"/>
      <w:lvlText w:val="%4."/>
      <w:lvlJc w:val="left"/>
      <w:pPr>
        <w:ind w:left="2880" w:hanging="360"/>
      </w:pPr>
      <w:rPr>
        <w:rFonts w:cs="Times New Roman"/>
      </w:rPr>
    </w:lvl>
    <w:lvl w:ilvl="4" w:tplc="100A0019" w:tentative="1">
      <w:start w:val="1"/>
      <w:numFmt w:val="lowerLetter"/>
      <w:lvlText w:val="%5."/>
      <w:lvlJc w:val="left"/>
      <w:pPr>
        <w:ind w:left="3600" w:hanging="360"/>
      </w:pPr>
      <w:rPr>
        <w:rFonts w:cs="Times New Roman"/>
      </w:rPr>
    </w:lvl>
    <w:lvl w:ilvl="5" w:tplc="100A001B" w:tentative="1">
      <w:start w:val="1"/>
      <w:numFmt w:val="lowerRoman"/>
      <w:lvlText w:val="%6."/>
      <w:lvlJc w:val="right"/>
      <w:pPr>
        <w:ind w:left="4320" w:hanging="180"/>
      </w:pPr>
      <w:rPr>
        <w:rFonts w:cs="Times New Roman"/>
      </w:rPr>
    </w:lvl>
    <w:lvl w:ilvl="6" w:tplc="100A000F" w:tentative="1">
      <w:start w:val="1"/>
      <w:numFmt w:val="decimal"/>
      <w:lvlText w:val="%7."/>
      <w:lvlJc w:val="left"/>
      <w:pPr>
        <w:ind w:left="5040" w:hanging="360"/>
      </w:pPr>
      <w:rPr>
        <w:rFonts w:cs="Times New Roman"/>
      </w:rPr>
    </w:lvl>
    <w:lvl w:ilvl="7" w:tplc="100A0019" w:tentative="1">
      <w:start w:val="1"/>
      <w:numFmt w:val="lowerLetter"/>
      <w:lvlText w:val="%8."/>
      <w:lvlJc w:val="left"/>
      <w:pPr>
        <w:ind w:left="5760" w:hanging="360"/>
      </w:pPr>
      <w:rPr>
        <w:rFonts w:cs="Times New Roman"/>
      </w:rPr>
    </w:lvl>
    <w:lvl w:ilvl="8" w:tplc="100A001B" w:tentative="1">
      <w:start w:val="1"/>
      <w:numFmt w:val="lowerRoman"/>
      <w:lvlText w:val="%9."/>
      <w:lvlJc w:val="right"/>
      <w:pPr>
        <w:ind w:left="6480" w:hanging="180"/>
      </w:pPr>
      <w:rPr>
        <w:rFonts w:cs="Times New Roman"/>
      </w:rPr>
    </w:lvl>
  </w:abstractNum>
  <w:abstractNum w:abstractNumId="25" w15:restartNumberingAfterBreak="0">
    <w:nsid w:val="4D784695"/>
    <w:multiLevelType w:val="hybridMultilevel"/>
    <w:tmpl w:val="CFF467D0"/>
    <w:lvl w:ilvl="0" w:tplc="0B701318">
      <w:start w:val="1"/>
      <w:numFmt w:val="decimal"/>
      <w:lvlText w:val="%1."/>
      <w:lvlJc w:val="left"/>
      <w:pPr>
        <w:ind w:left="720" w:hanging="360"/>
      </w:pPr>
      <w:rPr>
        <w:rFonts w:cs="Times New Roman"/>
        <w:b/>
        <w:bCs/>
      </w:rPr>
    </w:lvl>
    <w:lvl w:ilvl="1" w:tplc="100A0019" w:tentative="1">
      <w:start w:val="1"/>
      <w:numFmt w:val="lowerLetter"/>
      <w:lvlText w:val="%2."/>
      <w:lvlJc w:val="left"/>
      <w:pPr>
        <w:ind w:left="1440" w:hanging="360"/>
      </w:pPr>
      <w:rPr>
        <w:rFonts w:cs="Times New Roman"/>
      </w:rPr>
    </w:lvl>
    <w:lvl w:ilvl="2" w:tplc="100A001B" w:tentative="1">
      <w:start w:val="1"/>
      <w:numFmt w:val="lowerRoman"/>
      <w:lvlText w:val="%3."/>
      <w:lvlJc w:val="right"/>
      <w:pPr>
        <w:ind w:left="2160" w:hanging="180"/>
      </w:pPr>
      <w:rPr>
        <w:rFonts w:cs="Times New Roman"/>
      </w:rPr>
    </w:lvl>
    <w:lvl w:ilvl="3" w:tplc="100A000F" w:tentative="1">
      <w:start w:val="1"/>
      <w:numFmt w:val="decimal"/>
      <w:lvlText w:val="%4."/>
      <w:lvlJc w:val="left"/>
      <w:pPr>
        <w:ind w:left="2880" w:hanging="360"/>
      </w:pPr>
      <w:rPr>
        <w:rFonts w:cs="Times New Roman"/>
      </w:rPr>
    </w:lvl>
    <w:lvl w:ilvl="4" w:tplc="100A0019" w:tentative="1">
      <w:start w:val="1"/>
      <w:numFmt w:val="lowerLetter"/>
      <w:lvlText w:val="%5."/>
      <w:lvlJc w:val="left"/>
      <w:pPr>
        <w:ind w:left="3600" w:hanging="360"/>
      </w:pPr>
      <w:rPr>
        <w:rFonts w:cs="Times New Roman"/>
      </w:rPr>
    </w:lvl>
    <w:lvl w:ilvl="5" w:tplc="100A001B" w:tentative="1">
      <w:start w:val="1"/>
      <w:numFmt w:val="lowerRoman"/>
      <w:lvlText w:val="%6."/>
      <w:lvlJc w:val="right"/>
      <w:pPr>
        <w:ind w:left="4320" w:hanging="180"/>
      </w:pPr>
      <w:rPr>
        <w:rFonts w:cs="Times New Roman"/>
      </w:rPr>
    </w:lvl>
    <w:lvl w:ilvl="6" w:tplc="100A000F" w:tentative="1">
      <w:start w:val="1"/>
      <w:numFmt w:val="decimal"/>
      <w:lvlText w:val="%7."/>
      <w:lvlJc w:val="left"/>
      <w:pPr>
        <w:ind w:left="5040" w:hanging="360"/>
      </w:pPr>
      <w:rPr>
        <w:rFonts w:cs="Times New Roman"/>
      </w:rPr>
    </w:lvl>
    <w:lvl w:ilvl="7" w:tplc="100A0019" w:tentative="1">
      <w:start w:val="1"/>
      <w:numFmt w:val="lowerLetter"/>
      <w:lvlText w:val="%8."/>
      <w:lvlJc w:val="left"/>
      <w:pPr>
        <w:ind w:left="5760" w:hanging="360"/>
      </w:pPr>
      <w:rPr>
        <w:rFonts w:cs="Times New Roman"/>
      </w:rPr>
    </w:lvl>
    <w:lvl w:ilvl="8" w:tplc="100A001B" w:tentative="1">
      <w:start w:val="1"/>
      <w:numFmt w:val="lowerRoman"/>
      <w:lvlText w:val="%9."/>
      <w:lvlJc w:val="right"/>
      <w:pPr>
        <w:ind w:left="6480" w:hanging="180"/>
      </w:pPr>
      <w:rPr>
        <w:rFonts w:cs="Times New Roman"/>
      </w:rPr>
    </w:lvl>
  </w:abstractNum>
  <w:abstractNum w:abstractNumId="26" w15:restartNumberingAfterBreak="0">
    <w:nsid w:val="4DD05D0C"/>
    <w:multiLevelType w:val="hybridMultilevel"/>
    <w:tmpl w:val="24064AE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7" w15:restartNumberingAfterBreak="0">
    <w:nsid w:val="4E6C3A7E"/>
    <w:multiLevelType w:val="hybridMultilevel"/>
    <w:tmpl w:val="7030851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8" w15:restartNumberingAfterBreak="0">
    <w:nsid w:val="5204388F"/>
    <w:multiLevelType w:val="hybridMultilevel"/>
    <w:tmpl w:val="5AE4660E"/>
    <w:lvl w:ilvl="0" w:tplc="9B2ED388">
      <w:start w:val="1"/>
      <w:numFmt w:val="bullet"/>
      <w:lvlText w:val=""/>
      <w:lvlJc w:val="left"/>
      <w:pPr>
        <w:ind w:left="720" w:hanging="360"/>
      </w:pPr>
      <w:rPr>
        <w:rFonts w:ascii="Symbol" w:hAnsi="Symbol" w:hint="default"/>
        <w:color w:val="000000" w:themeColor="text1"/>
      </w:rPr>
    </w:lvl>
    <w:lvl w:ilvl="1" w:tplc="100A0003" w:tentative="1">
      <w:start w:val="1"/>
      <w:numFmt w:val="bullet"/>
      <w:lvlText w:val="o"/>
      <w:lvlJc w:val="left"/>
      <w:pPr>
        <w:ind w:left="1440" w:hanging="360"/>
      </w:pPr>
      <w:rPr>
        <w:rFonts w:ascii="Courier New" w:hAnsi="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9" w15:restartNumberingAfterBreak="0">
    <w:nsid w:val="521E1FFF"/>
    <w:multiLevelType w:val="hybridMultilevel"/>
    <w:tmpl w:val="FF6431B0"/>
    <w:lvl w:ilvl="0" w:tplc="B8D2D568">
      <w:start w:val="1"/>
      <w:numFmt w:val="decimal"/>
      <w:lvlText w:val="%1."/>
      <w:lvlJc w:val="left"/>
      <w:pPr>
        <w:ind w:left="720" w:hanging="360"/>
      </w:pPr>
      <w:rPr>
        <w:rFonts w:cs="Times New Roman" w:hint="default"/>
        <w:b w:val="0"/>
        <w:bCs/>
      </w:rPr>
    </w:lvl>
    <w:lvl w:ilvl="1" w:tplc="100A0019" w:tentative="1">
      <w:start w:val="1"/>
      <w:numFmt w:val="lowerLetter"/>
      <w:lvlText w:val="%2."/>
      <w:lvlJc w:val="left"/>
      <w:pPr>
        <w:ind w:left="1440" w:hanging="360"/>
      </w:pPr>
      <w:rPr>
        <w:rFonts w:cs="Times New Roman"/>
      </w:rPr>
    </w:lvl>
    <w:lvl w:ilvl="2" w:tplc="100A001B" w:tentative="1">
      <w:start w:val="1"/>
      <w:numFmt w:val="lowerRoman"/>
      <w:lvlText w:val="%3."/>
      <w:lvlJc w:val="right"/>
      <w:pPr>
        <w:ind w:left="2160" w:hanging="180"/>
      </w:pPr>
      <w:rPr>
        <w:rFonts w:cs="Times New Roman"/>
      </w:rPr>
    </w:lvl>
    <w:lvl w:ilvl="3" w:tplc="100A000F" w:tentative="1">
      <w:start w:val="1"/>
      <w:numFmt w:val="decimal"/>
      <w:lvlText w:val="%4."/>
      <w:lvlJc w:val="left"/>
      <w:pPr>
        <w:ind w:left="2880" w:hanging="360"/>
      </w:pPr>
      <w:rPr>
        <w:rFonts w:cs="Times New Roman"/>
      </w:rPr>
    </w:lvl>
    <w:lvl w:ilvl="4" w:tplc="100A0019" w:tentative="1">
      <w:start w:val="1"/>
      <w:numFmt w:val="lowerLetter"/>
      <w:lvlText w:val="%5."/>
      <w:lvlJc w:val="left"/>
      <w:pPr>
        <w:ind w:left="3600" w:hanging="360"/>
      </w:pPr>
      <w:rPr>
        <w:rFonts w:cs="Times New Roman"/>
      </w:rPr>
    </w:lvl>
    <w:lvl w:ilvl="5" w:tplc="100A001B" w:tentative="1">
      <w:start w:val="1"/>
      <w:numFmt w:val="lowerRoman"/>
      <w:lvlText w:val="%6."/>
      <w:lvlJc w:val="right"/>
      <w:pPr>
        <w:ind w:left="4320" w:hanging="180"/>
      </w:pPr>
      <w:rPr>
        <w:rFonts w:cs="Times New Roman"/>
      </w:rPr>
    </w:lvl>
    <w:lvl w:ilvl="6" w:tplc="100A000F" w:tentative="1">
      <w:start w:val="1"/>
      <w:numFmt w:val="decimal"/>
      <w:lvlText w:val="%7."/>
      <w:lvlJc w:val="left"/>
      <w:pPr>
        <w:ind w:left="5040" w:hanging="360"/>
      </w:pPr>
      <w:rPr>
        <w:rFonts w:cs="Times New Roman"/>
      </w:rPr>
    </w:lvl>
    <w:lvl w:ilvl="7" w:tplc="100A0019" w:tentative="1">
      <w:start w:val="1"/>
      <w:numFmt w:val="lowerLetter"/>
      <w:lvlText w:val="%8."/>
      <w:lvlJc w:val="left"/>
      <w:pPr>
        <w:ind w:left="5760" w:hanging="360"/>
      </w:pPr>
      <w:rPr>
        <w:rFonts w:cs="Times New Roman"/>
      </w:rPr>
    </w:lvl>
    <w:lvl w:ilvl="8" w:tplc="100A001B" w:tentative="1">
      <w:start w:val="1"/>
      <w:numFmt w:val="lowerRoman"/>
      <w:lvlText w:val="%9."/>
      <w:lvlJc w:val="right"/>
      <w:pPr>
        <w:ind w:left="6480" w:hanging="180"/>
      </w:pPr>
      <w:rPr>
        <w:rFonts w:cs="Times New Roman"/>
      </w:rPr>
    </w:lvl>
  </w:abstractNum>
  <w:abstractNum w:abstractNumId="30" w15:restartNumberingAfterBreak="0">
    <w:nsid w:val="523C077D"/>
    <w:multiLevelType w:val="multilevel"/>
    <w:tmpl w:val="4322046A"/>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color w:val="auto"/>
        <w:sz w:val="24"/>
        <w:szCs w:val="24"/>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1" w15:restartNumberingAfterBreak="0">
    <w:nsid w:val="53E7069B"/>
    <w:multiLevelType w:val="hybridMultilevel"/>
    <w:tmpl w:val="35ECF658"/>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2" w15:restartNumberingAfterBreak="0">
    <w:nsid w:val="54046B00"/>
    <w:multiLevelType w:val="hybridMultilevel"/>
    <w:tmpl w:val="F3C0A9B4"/>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3" w15:restartNumberingAfterBreak="0">
    <w:nsid w:val="5489575A"/>
    <w:multiLevelType w:val="hybridMultilevel"/>
    <w:tmpl w:val="671619A0"/>
    <w:lvl w:ilvl="0" w:tplc="100A0001">
      <w:start w:val="1"/>
      <w:numFmt w:val="bullet"/>
      <w:lvlText w:val=""/>
      <w:lvlJc w:val="left"/>
      <w:pPr>
        <w:ind w:left="720" w:hanging="360"/>
      </w:pPr>
      <w:rPr>
        <w:rFonts w:ascii="Symbol" w:hAnsi="Symbol" w:hint="default"/>
      </w:rPr>
    </w:lvl>
    <w:lvl w:ilvl="1" w:tplc="100A0019">
      <w:start w:val="1"/>
      <w:numFmt w:val="lowerLetter"/>
      <w:lvlText w:val="%2."/>
      <w:lvlJc w:val="left"/>
      <w:pPr>
        <w:ind w:left="1440" w:hanging="360"/>
      </w:pPr>
      <w:rPr>
        <w:rFonts w:cs="Times New Roman"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4" w15:restartNumberingAfterBreak="0">
    <w:nsid w:val="56182E8E"/>
    <w:multiLevelType w:val="hybridMultilevel"/>
    <w:tmpl w:val="862AA1A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5" w15:restartNumberingAfterBreak="0">
    <w:nsid w:val="58B7204A"/>
    <w:multiLevelType w:val="hybridMultilevel"/>
    <w:tmpl w:val="DD42AE2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6" w15:restartNumberingAfterBreak="0">
    <w:nsid w:val="5F2B2CF3"/>
    <w:multiLevelType w:val="hybridMultilevel"/>
    <w:tmpl w:val="69C8762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7" w15:restartNumberingAfterBreak="0">
    <w:nsid w:val="605A15FF"/>
    <w:multiLevelType w:val="multilevel"/>
    <w:tmpl w:val="4322046A"/>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color w:val="auto"/>
        <w:sz w:val="24"/>
        <w:szCs w:val="24"/>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8" w15:restartNumberingAfterBreak="0">
    <w:nsid w:val="627D15BE"/>
    <w:multiLevelType w:val="multilevel"/>
    <w:tmpl w:val="E6A25086"/>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color w:val="auto"/>
        <w:sz w:val="22"/>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9" w15:restartNumberingAfterBreak="0">
    <w:nsid w:val="65FB276D"/>
    <w:multiLevelType w:val="multilevel"/>
    <w:tmpl w:val="E0B2BB44"/>
    <w:lvl w:ilvl="0">
      <w:start w:val="5"/>
      <w:numFmt w:val="upperRoman"/>
      <w:lvlText w:val="%1."/>
      <w:lvlJc w:val="left"/>
      <w:pPr>
        <w:ind w:left="720" w:hanging="720"/>
      </w:pPr>
      <w:rPr>
        <w:rFonts w:cs="Times New Roman" w:hint="default"/>
      </w:rPr>
    </w:lvl>
    <w:lvl w:ilvl="1">
      <w:start w:val="2"/>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440" w:hanging="1440"/>
      </w:pPr>
      <w:rPr>
        <w:rFonts w:cs="Times New Roman" w:hint="default"/>
      </w:rPr>
    </w:lvl>
  </w:abstractNum>
  <w:abstractNum w:abstractNumId="40" w15:restartNumberingAfterBreak="0">
    <w:nsid w:val="67044010"/>
    <w:multiLevelType w:val="hybridMultilevel"/>
    <w:tmpl w:val="FF8E7E50"/>
    <w:lvl w:ilvl="0" w:tplc="100A0019">
      <w:start w:val="1"/>
      <w:numFmt w:val="lowerLetter"/>
      <w:lvlText w:val="%1."/>
      <w:lvlJc w:val="left"/>
      <w:pPr>
        <w:ind w:left="720" w:hanging="360"/>
      </w:pPr>
      <w:rPr>
        <w:rFonts w:cs="Times New Roman" w:hint="default"/>
      </w:rPr>
    </w:lvl>
    <w:lvl w:ilvl="1" w:tplc="100A0001">
      <w:start w:val="1"/>
      <w:numFmt w:val="bullet"/>
      <w:lvlText w:val=""/>
      <w:lvlJc w:val="left"/>
      <w:pPr>
        <w:ind w:left="1440" w:hanging="360"/>
      </w:pPr>
      <w:rPr>
        <w:rFonts w:ascii="Symbol" w:hAnsi="Symbol" w:hint="default"/>
      </w:rPr>
    </w:lvl>
    <w:lvl w:ilvl="2" w:tplc="100A001B" w:tentative="1">
      <w:start w:val="1"/>
      <w:numFmt w:val="lowerRoman"/>
      <w:lvlText w:val="%3."/>
      <w:lvlJc w:val="right"/>
      <w:pPr>
        <w:ind w:left="2160" w:hanging="180"/>
      </w:pPr>
      <w:rPr>
        <w:rFonts w:cs="Times New Roman"/>
      </w:rPr>
    </w:lvl>
    <w:lvl w:ilvl="3" w:tplc="100A000F" w:tentative="1">
      <w:start w:val="1"/>
      <w:numFmt w:val="decimal"/>
      <w:lvlText w:val="%4."/>
      <w:lvlJc w:val="left"/>
      <w:pPr>
        <w:ind w:left="2880" w:hanging="360"/>
      </w:pPr>
      <w:rPr>
        <w:rFonts w:cs="Times New Roman"/>
      </w:rPr>
    </w:lvl>
    <w:lvl w:ilvl="4" w:tplc="100A0019" w:tentative="1">
      <w:start w:val="1"/>
      <w:numFmt w:val="lowerLetter"/>
      <w:lvlText w:val="%5."/>
      <w:lvlJc w:val="left"/>
      <w:pPr>
        <w:ind w:left="3600" w:hanging="360"/>
      </w:pPr>
      <w:rPr>
        <w:rFonts w:cs="Times New Roman"/>
      </w:rPr>
    </w:lvl>
    <w:lvl w:ilvl="5" w:tplc="100A001B" w:tentative="1">
      <w:start w:val="1"/>
      <w:numFmt w:val="lowerRoman"/>
      <w:lvlText w:val="%6."/>
      <w:lvlJc w:val="right"/>
      <w:pPr>
        <w:ind w:left="4320" w:hanging="180"/>
      </w:pPr>
      <w:rPr>
        <w:rFonts w:cs="Times New Roman"/>
      </w:rPr>
    </w:lvl>
    <w:lvl w:ilvl="6" w:tplc="100A000F" w:tentative="1">
      <w:start w:val="1"/>
      <w:numFmt w:val="decimal"/>
      <w:lvlText w:val="%7."/>
      <w:lvlJc w:val="left"/>
      <w:pPr>
        <w:ind w:left="5040" w:hanging="360"/>
      </w:pPr>
      <w:rPr>
        <w:rFonts w:cs="Times New Roman"/>
      </w:rPr>
    </w:lvl>
    <w:lvl w:ilvl="7" w:tplc="100A0019" w:tentative="1">
      <w:start w:val="1"/>
      <w:numFmt w:val="lowerLetter"/>
      <w:lvlText w:val="%8."/>
      <w:lvlJc w:val="left"/>
      <w:pPr>
        <w:ind w:left="5760" w:hanging="360"/>
      </w:pPr>
      <w:rPr>
        <w:rFonts w:cs="Times New Roman"/>
      </w:rPr>
    </w:lvl>
    <w:lvl w:ilvl="8" w:tplc="100A001B" w:tentative="1">
      <w:start w:val="1"/>
      <w:numFmt w:val="lowerRoman"/>
      <w:lvlText w:val="%9."/>
      <w:lvlJc w:val="right"/>
      <w:pPr>
        <w:ind w:left="6480" w:hanging="180"/>
      </w:pPr>
      <w:rPr>
        <w:rFonts w:cs="Times New Roman"/>
      </w:rPr>
    </w:lvl>
  </w:abstractNum>
  <w:abstractNum w:abstractNumId="41" w15:restartNumberingAfterBreak="0">
    <w:nsid w:val="6EB55569"/>
    <w:multiLevelType w:val="hybridMultilevel"/>
    <w:tmpl w:val="C0AACAD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2" w15:restartNumberingAfterBreak="0">
    <w:nsid w:val="70110388"/>
    <w:multiLevelType w:val="hybridMultilevel"/>
    <w:tmpl w:val="4FD05DD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3" w15:restartNumberingAfterBreak="0">
    <w:nsid w:val="72904360"/>
    <w:multiLevelType w:val="multilevel"/>
    <w:tmpl w:val="1A6ABB16"/>
    <w:lvl w:ilvl="0">
      <w:start w:val="1"/>
      <w:numFmt w:val="upperRoman"/>
      <w:lvlText w:val="%1."/>
      <w:lvlJc w:val="left"/>
      <w:pPr>
        <w:ind w:left="1080" w:hanging="720"/>
      </w:pPr>
      <w:rPr>
        <w:rFonts w:cs="Times New Roman" w:hint="default"/>
      </w:rPr>
    </w:lvl>
    <w:lvl w:ilvl="1">
      <w:start w:val="1"/>
      <w:numFmt w:val="decimal"/>
      <w:isLgl/>
      <w:lvlText w:val="%1.%2"/>
      <w:lvlJc w:val="left"/>
      <w:pPr>
        <w:ind w:left="360" w:hanging="360"/>
      </w:pPr>
      <w:rPr>
        <w:rFonts w:hint="default"/>
        <w:b/>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4" w15:restartNumberingAfterBreak="0">
    <w:nsid w:val="73F30A33"/>
    <w:multiLevelType w:val="hybridMultilevel"/>
    <w:tmpl w:val="CF4AD222"/>
    <w:lvl w:ilvl="0" w:tplc="FB12A200">
      <w:start w:val="1"/>
      <w:numFmt w:val="decimal"/>
      <w:lvlText w:val="%1."/>
      <w:lvlJc w:val="left"/>
      <w:pPr>
        <w:ind w:left="720" w:hanging="360"/>
      </w:pPr>
      <w:rPr>
        <w:rFonts w:ascii="Arial" w:eastAsia="Times New Roman" w:hAnsi="Arial" w:cs="Arial" w:hint="default"/>
        <w:b/>
        <w:bCs/>
        <w:sz w:val="28"/>
        <w:szCs w:val="28"/>
      </w:rPr>
    </w:lvl>
    <w:lvl w:ilvl="1" w:tplc="100A0019" w:tentative="1">
      <w:start w:val="1"/>
      <w:numFmt w:val="lowerLetter"/>
      <w:lvlText w:val="%2."/>
      <w:lvlJc w:val="left"/>
      <w:pPr>
        <w:ind w:left="1440" w:hanging="360"/>
      </w:pPr>
      <w:rPr>
        <w:rFonts w:cs="Times New Roman"/>
      </w:rPr>
    </w:lvl>
    <w:lvl w:ilvl="2" w:tplc="100A001B" w:tentative="1">
      <w:start w:val="1"/>
      <w:numFmt w:val="lowerRoman"/>
      <w:lvlText w:val="%3."/>
      <w:lvlJc w:val="right"/>
      <w:pPr>
        <w:ind w:left="2160" w:hanging="180"/>
      </w:pPr>
      <w:rPr>
        <w:rFonts w:cs="Times New Roman"/>
      </w:rPr>
    </w:lvl>
    <w:lvl w:ilvl="3" w:tplc="100A000F" w:tentative="1">
      <w:start w:val="1"/>
      <w:numFmt w:val="decimal"/>
      <w:lvlText w:val="%4."/>
      <w:lvlJc w:val="left"/>
      <w:pPr>
        <w:ind w:left="2880" w:hanging="360"/>
      </w:pPr>
      <w:rPr>
        <w:rFonts w:cs="Times New Roman"/>
      </w:rPr>
    </w:lvl>
    <w:lvl w:ilvl="4" w:tplc="100A0019" w:tentative="1">
      <w:start w:val="1"/>
      <w:numFmt w:val="lowerLetter"/>
      <w:lvlText w:val="%5."/>
      <w:lvlJc w:val="left"/>
      <w:pPr>
        <w:ind w:left="3600" w:hanging="360"/>
      </w:pPr>
      <w:rPr>
        <w:rFonts w:cs="Times New Roman"/>
      </w:rPr>
    </w:lvl>
    <w:lvl w:ilvl="5" w:tplc="100A001B" w:tentative="1">
      <w:start w:val="1"/>
      <w:numFmt w:val="lowerRoman"/>
      <w:lvlText w:val="%6."/>
      <w:lvlJc w:val="right"/>
      <w:pPr>
        <w:ind w:left="4320" w:hanging="180"/>
      </w:pPr>
      <w:rPr>
        <w:rFonts w:cs="Times New Roman"/>
      </w:rPr>
    </w:lvl>
    <w:lvl w:ilvl="6" w:tplc="100A000F" w:tentative="1">
      <w:start w:val="1"/>
      <w:numFmt w:val="decimal"/>
      <w:lvlText w:val="%7."/>
      <w:lvlJc w:val="left"/>
      <w:pPr>
        <w:ind w:left="5040" w:hanging="360"/>
      </w:pPr>
      <w:rPr>
        <w:rFonts w:cs="Times New Roman"/>
      </w:rPr>
    </w:lvl>
    <w:lvl w:ilvl="7" w:tplc="100A0019" w:tentative="1">
      <w:start w:val="1"/>
      <w:numFmt w:val="lowerLetter"/>
      <w:lvlText w:val="%8."/>
      <w:lvlJc w:val="left"/>
      <w:pPr>
        <w:ind w:left="5760" w:hanging="360"/>
      </w:pPr>
      <w:rPr>
        <w:rFonts w:cs="Times New Roman"/>
      </w:rPr>
    </w:lvl>
    <w:lvl w:ilvl="8" w:tplc="100A001B" w:tentative="1">
      <w:start w:val="1"/>
      <w:numFmt w:val="lowerRoman"/>
      <w:lvlText w:val="%9."/>
      <w:lvlJc w:val="right"/>
      <w:pPr>
        <w:ind w:left="6480" w:hanging="180"/>
      </w:pPr>
      <w:rPr>
        <w:rFonts w:cs="Times New Roman"/>
      </w:rPr>
    </w:lvl>
  </w:abstractNum>
  <w:abstractNum w:abstractNumId="45" w15:restartNumberingAfterBreak="0">
    <w:nsid w:val="7A57400F"/>
    <w:multiLevelType w:val="hybridMultilevel"/>
    <w:tmpl w:val="86E8E90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6" w15:restartNumberingAfterBreak="0">
    <w:nsid w:val="7AB00F91"/>
    <w:multiLevelType w:val="hybridMultilevel"/>
    <w:tmpl w:val="A398AE5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7" w15:restartNumberingAfterBreak="0">
    <w:nsid w:val="7D8827FF"/>
    <w:multiLevelType w:val="hybridMultilevel"/>
    <w:tmpl w:val="BA0618EE"/>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8" w15:restartNumberingAfterBreak="0">
    <w:nsid w:val="7F134448"/>
    <w:multiLevelType w:val="hybridMultilevel"/>
    <w:tmpl w:val="8F288D7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44"/>
  </w:num>
  <w:num w:numId="2">
    <w:abstractNumId w:val="10"/>
  </w:num>
  <w:num w:numId="3">
    <w:abstractNumId w:val="27"/>
  </w:num>
  <w:num w:numId="4">
    <w:abstractNumId w:val="3"/>
  </w:num>
  <w:num w:numId="5">
    <w:abstractNumId w:val="32"/>
  </w:num>
  <w:num w:numId="6">
    <w:abstractNumId w:val="29"/>
  </w:num>
  <w:num w:numId="7">
    <w:abstractNumId w:val="25"/>
  </w:num>
  <w:num w:numId="8">
    <w:abstractNumId w:val="24"/>
  </w:num>
  <w:num w:numId="9">
    <w:abstractNumId w:val="22"/>
  </w:num>
  <w:num w:numId="10">
    <w:abstractNumId w:val="33"/>
  </w:num>
  <w:num w:numId="11">
    <w:abstractNumId w:val="31"/>
  </w:num>
  <w:num w:numId="12">
    <w:abstractNumId w:val="7"/>
  </w:num>
  <w:num w:numId="13">
    <w:abstractNumId w:val="42"/>
  </w:num>
  <w:num w:numId="14">
    <w:abstractNumId w:val="1"/>
  </w:num>
  <w:num w:numId="15">
    <w:abstractNumId w:val="47"/>
  </w:num>
  <w:num w:numId="16">
    <w:abstractNumId w:val="34"/>
  </w:num>
  <w:num w:numId="17">
    <w:abstractNumId w:val="21"/>
  </w:num>
  <w:num w:numId="18">
    <w:abstractNumId w:val="8"/>
  </w:num>
  <w:num w:numId="19">
    <w:abstractNumId w:val="0"/>
  </w:num>
  <w:num w:numId="20">
    <w:abstractNumId w:val="43"/>
  </w:num>
  <w:num w:numId="21">
    <w:abstractNumId w:val="23"/>
  </w:num>
  <w:num w:numId="22">
    <w:abstractNumId w:val="16"/>
  </w:num>
  <w:num w:numId="23">
    <w:abstractNumId w:val="40"/>
  </w:num>
  <w:num w:numId="24">
    <w:abstractNumId w:val="38"/>
  </w:num>
  <w:num w:numId="25">
    <w:abstractNumId w:val="30"/>
  </w:num>
  <w:num w:numId="26">
    <w:abstractNumId w:val="46"/>
  </w:num>
  <w:num w:numId="27">
    <w:abstractNumId w:val="2"/>
  </w:num>
  <w:num w:numId="28">
    <w:abstractNumId w:val="5"/>
  </w:num>
  <w:num w:numId="29">
    <w:abstractNumId w:val="48"/>
  </w:num>
  <w:num w:numId="30">
    <w:abstractNumId w:val="15"/>
  </w:num>
  <w:num w:numId="31">
    <w:abstractNumId w:val="14"/>
  </w:num>
  <w:num w:numId="32">
    <w:abstractNumId w:val="37"/>
  </w:num>
  <w:num w:numId="33">
    <w:abstractNumId w:val="36"/>
  </w:num>
  <w:num w:numId="34">
    <w:abstractNumId w:val="20"/>
  </w:num>
  <w:num w:numId="35">
    <w:abstractNumId w:val="35"/>
  </w:num>
  <w:num w:numId="36">
    <w:abstractNumId w:val="6"/>
  </w:num>
  <w:num w:numId="37">
    <w:abstractNumId w:val="12"/>
  </w:num>
  <w:num w:numId="38">
    <w:abstractNumId w:val="41"/>
  </w:num>
  <w:num w:numId="39">
    <w:abstractNumId w:val="17"/>
  </w:num>
  <w:num w:numId="40">
    <w:abstractNumId w:val="26"/>
  </w:num>
  <w:num w:numId="41">
    <w:abstractNumId w:val="19"/>
  </w:num>
  <w:num w:numId="42">
    <w:abstractNumId w:val="45"/>
  </w:num>
  <w:num w:numId="43">
    <w:abstractNumId w:val="28"/>
  </w:num>
  <w:num w:numId="44">
    <w:abstractNumId w:val="9"/>
  </w:num>
  <w:num w:numId="45">
    <w:abstractNumId w:val="39"/>
  </w:num>
  <w:num w:numId="46">
    <w:abstractNumId w:val="18"/>
  </w:num>
  <w:num w:numId="47">
    <w:abstractNumId w:val="11"/>
  </w:num>
  <w:num w:numId="48">
    <w:abstractNumId w:val="13"/>
  </w:num>
  <w:num w:numId="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1EDE"/>
    <w:rsid w:val="00012CD7"/>
    <w:rsid w:val="000608B6"/>
    <w:rsid w:val="000621FA"/>
    <w:rsid w:val="000627C3"/>
    <w:rsid w:val="00065755"/>
    <w:rsid w:val="000970AB"/>
    <w:rsid w:val="000A2567"/>
    <w:rsid w:val="000A4C07"/>
    <w:rsid w:val="000B267D"/>
    <w:rsid w:val="000E6243"/>
    <w:rsid w:val="000F1409"/>
    <w:rsid w:val="00101823"/>
    <w:rsid w:val="001150DD"/>
    <w:rsid w:val="00131D13"/>
    <w:rsid w:val="00135705"/>
    <w:rsid w:val="0014283B"/>
    <w:rsid w:val="00151068"/>
    <w:rsid w:val="00156651"/>
    <w:rsid w:val="001567F3"/>
    <w:rsid w:val="001638B7"/>
    <w:rsid w:val="001659B1"/>
    <w:rsid w:val="00195AFA"/>
    <w:rsid w:val="00196A75"/>
    <w:rsid w:val="001C00F5"/>
    <w:rsid w:val="001C2474"/>
    <w:rsid w:val="001C2B51"/>
    <w:rsid w:val="001F7A6E"/>
    <w:rsid w:val="00244A7C"/>
    <w:rsid w:val="00261029"/>
    <w:rsid w:val="002A13AD"/>
    <w:rsid w:val="002B4D2B"/>
    <w:rsid w:val="002C4E46"/>
    <w:rsid w:val="002F11EE"/>
    <w:rsid w:val="002F6DED"/>
    <w:rsid w:val="00301F94"/>
    <w:rsid w:val="003176FA"/>
    <w:rsid w:val="00321568"/>
    <w:rsid w:val="00323AC8"/>
    <w:rsid w:val="00362163"/>
    <w:rsid w:val="00366015"/>
    <w:rsid w:val="0038017B"/>
    <w:rsid w:val="003818C0"/>
    <w:rsid w:val="0038200B"/>
    <w:rsid w:val="003832FD"/>
    <w:rsid w:val="003A33F1"/>
    <w:rsid w:val="003C56A8"/>
    <w:rsid w:val="003D738C"/>
    <w:rsid w:val="003E7149"/>
    <w:rsid w:val="003F51B8"/>
    <w:rsid w:val="00411615"/>
    <w:rsid w:val="00411B26"/>
    <w:rsid w:val="004142A0"/>
    <w:rsid w:val="0043048F"/>
    <w:rsid w:val="0045177A"/>
    <w:rsid w:val="004517D3"/>
    <w:rsid w:val="00460523"/>
    <w:rsid w:val="00463623"/>
    <w:rsid w:val="00472DEC"/>
    <w:rsid w:val="00496F74"/>
    <w:rsid w:val="00497F62"/>
    <w:rsid w:val="004A66F0"/>
    <w:rsid w:val="004C205D"/>
    <w:rsid w:val="004C42AB"/>
    <w:rsid w:val="004C5A6F"/>
    <w:rsid w:val="004E298C"/>
    <w:rsid w:val="004E56EA"/>
    <w:rsid w:val="004E713A"/>
    <w:rsid w:val="004F1F06"/>
    <w:rsid w:val="00500E38"/>
    <w:rsid w:val="005232ED"/>
    <w:rsid w:val="00525F75"/>
    <w:rsid w:val="00531450"/>
    <w:rsid w:val="005543F9"/>
    <w:rsid w:val="00564342"/>
    <w:rsid w:val="00572F04"/>
    <w:rsid w:val="00580E0E"/>
    <w:rsid w:val="00584581"/>
    <w:rsid w:val="0059756B"/>
    <w:rsid w:val="005B1EDE"/>
    <w:rsid w:val="005B1FC7"/>
    <w:rsid w:val="005B647E"/>
    <w:rsid w:val="005E5028"/>
    <w:rsid w:val="005E6D8B"/>
    <w:rsid w:val="005F23E4"/>
    <w:rsid w:val="005F6612"/>
    <w:rsid w:val="0062267F"/>
    <w:rsid w:val="00633C2B"/>
    <w:rsid w:val="0065119A"/>
    <w:rsid w:val="0068237B"/>
    <w:rsid w:val="006825AB"/>
    <w:rsid w:val="006C7DA1"/>
    <w:rsid w:val="006D4BA7"/>
    <w:rsid w:val="006F0941"/>
    <w:rsid w:val="006F4BE5"/>
    <w:rsid w:val="00720946"/>
    <w:rsid w:val="00722912"/>
    <w:rsid w:val="0072551C"/>
    <w:rsid w:val="00734317"/>
    <w:rsid w:val="00747567"/>
    <w:rsid w:val="007905E5"/>
    <w:rsid w:val="007A54F9"/>
    <w:rsid w:val="007B262E"/>
    <w:rsid w:val="007C704B"/>
    <w:rsid w:val="007D2A40"/>
    <w:rsid w:val="007F09E5"/>
    <w:rsid w:val="007F0C21"/>
    <w:rsid w:val="007F3A1C"/>
    <w:rsid w:val="00801937"/>
    <w:rsid w:val="00813089"/>
    <w:rsid w:val="00820116"/>
    <w:rsid w:val="0086515E"/>
    <w:rsid w:val="0087450C"/>
    <w:rsid w:val="008A2A78"/>
    <w:rsid w:val="008C0FA7"/>
    <w:rsid w:val="008C3120"/>
    <w:rsid w:val="008D7BB4"/>
    <w:rsid w:val="00917461"/>
    <w:rsid w:val="00923709"/>
    <w:rsid w:val="00946073"/>
    <w:rsid w:val="0099581B"/>
    <w:rsid w:val="009A347E"/>
    <w:rsid w:val="009A43C1"/>
    <w:rsid w:val="009A5504"/>
    <w:rsid w:val="009A5722"/>
    <w:rsid w:val="009C3DE2"/>
    <w:rsid w:val="009C60C1"/>
    <w:rsid w:val="009F246B"/>
    <w:rsid w:val="00A02621"/>
    <w:rsid w:val="00A11E1A"/>
    <w:rsid w:val="00A2662D"/>
    <w:rsid w:val="00A36506"/>
    <w:rsid w:val="00A377A7"/>
    <w:rsid w:val="00A727FF"/>
    <w:rsid w:val="00A7670F"/>
    <w:rsid w:val="00A85FAC"/>
    <w:rsid w:val="00A928B7"/>
    <w:rsid w:val="00AA43B8"/>
    <w:rsid w:val="00AB1F76"/>
    <w:rsid w:val="00AB792A"/>
    <w:rsid w:val="00AC6441"/>
    <w:rsid w:val="00B01E4C"/>
    <w:rsid w:val="00B052DE"/>
    <w:rsid w:val="00B10407"/>
    <w:rsid w:val="00B357BB"/>
    <w:rsid w:val="00B51E46"/>
    <w:rsid w:val="00B52E37"/>
    <w:rsid w:val="00B56FA4"/>
    <w:rsid w:val="00B605EC"/>
    <w:rsid w:val="00B72147"/>
    <w:rsid w:val="00B85496"/>
    <w:rsid w:val="00BA6A5D"/>
    <w:rsid w:val="00BB68EF"/>
    <w:rsid w:val="00BF4A9E"/>
    <w:rsid w:val="00C644EF"/>
    <w:rsid w:val="00C72767"/>
    <w:rsid w:val="00C77ABE"/>
    <w:rsid w:val="00C85EF1"/>
    <w:rsid w:val="00C91DF5"/>
    <w:rsid w:val="00CC159D"/>
    <w:rsid w:val="00CD728D"/>
    <w:rsid w:val="00CD72A1"/>
    <w:rsid w:val="00CE6F3E"/>
    <w:rsid w:val="00D21C37"/>
    <w:rsid w:val="00D21CBB"/>
    <w:rsid w:val="00D31116"/>
    <w:rsid w:val="00D32A4D"/>
    <w:rsid w:val="00D55014"/>
    <w:rsid w:val="00D64BC1"/>
    <w:rsid w:val="00D713A9"/>
    <w:rsid w:val="00D76256"/>
    <w:rsid w:val="00D84E29"/>
    <w:rsid w:val="00D90EB4"/>
    <w:rsid w:val="00DA6C55"/>
    <w:rsid w:val="00DB5607"/>
    <w:rsid w:val="00DB6B9C"/>
    <w:rsid w:val="00DD448F"/>
    <w:rsid w:val="00DE0EFA"/>
    <w:rsid w:val="00E15058"/>
    <w:rsid w:val="00E218AB"/>
    <w:rsid w:val="00E22F99"/>
    <w:rsid w:val="00E32D31"/>
    <w:rsid w:val="00E5175E"/>
    <w:rsid w:val="00E6122C"/>
    <w:rsid w:val="00E63299"/>
    <w:rsid w:val="00E8344D"/>
    <w:rsid w:val="00ED1458"/>
    <w:rsid w:val="00F01CBA"/>
    <w:rsid w:val="00F30D99"/>
    <w:rsid w:val="00F35D18"/>
    <w:rsid w:val="00F410B2"/>
    <w:rsid w:val="00F635C1"/>
    <w:rsid w:val="00F63769"/>
    <w:rsid w:val="00F67C8B"/>
    <w:rsid w:val="00F7717F"/>
    <w:rsid w:val="00F81300"/>
    <w:rsid w:val="00F90685"/>
    <w:rsid w:val="00FA402B"/>
    <w:rsid w:val="00FA7DD8"/>
    <w:rsid w:val="00FD0AB7"/>
    <w:rsid w:val="00FE0B42"/>
    <w:rsid w:val="00FE75C5"/>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C7DFEE"/>
  <w15:chartTrackingRefBased/>
  <w15:docId w15:val="{D46E0FE1-E827-624B-B8E3-6530F7A42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G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43B8"/>
    <w:rPr>
      <w:rFonts w:eastAsiaTheme="minorEastAsia"/>
    </w:rPr>
  </w:style>
  <w:style w:type="paragraph" w:styleId="Ttulo1">
    <w:name w:val="heading 1"/>
    <w:basedOn w:val="Normal"/>
    <w:next w:val="Normal"/>
    <w:link w:val="Ttulo1Car"/>
    <w:uiPriority w:val="9"/>
    <w:qFormat/>
    <w:rsid w:val="004A66F0"/>
    <w:pPr>
      <w:keepNext/>
      <w:keepLines/>
      <w:spacing w:before="240"/>
      <w:outlineLvl w:val="0"/>
    </w:pPr>
    <w:rPr>
      <w:rFonts w:asciiTheme="majorHAnsi" w:eastAsiaTheme="majorEastAsia" w:hAnsiTheme="majorHAnsi" w:cs="Times New Roman"/>
      <w:color w:val="2F5496" w:themeColor="accent1" w:themeShade="BF"/>
      <w:sz w:val="32"/>
      <w:szCs w:val="32"/>
    </w:rPr>
  </w:style>
  <w:style w:type="paragraph" w:styleId="Ttulo2">
    <w:name w:val="heading 2"/>
    <w:basedOn w:val="Normal"/>
    <w:next w:val="Normal"/>
    <w:link w:val="Ttulo2Car"/>
    <w:uiPriority w:val="9"/>
    <w:unhideWhenUsed/>
    <w:qFormat/>
    <w:rsid w:val="004A66F0"/>
    <w:pPr>
      <w:keepNext/>
      <w:keepLines/>
      <w:spacing w:before="40"/>
      <w:outlineLvl w:val="1"/>
    </w:pPr>
    <w:rPr>
      <w:rFonts w:asciiTheme="majorHAnsi" w:eastAsiaTheme="majorEastAsia" w:hAnsiTheme="majorHAnsi" w:cs="Times New Roman"/>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B1EDE"/>
    <w:pPr>
      <w:tabs>
        <w:tab w:val="center" w:pos="4419"/>
        <w:tab w:val="right" w:pos="8838"/>
      </w:tabs>
    </w:pPr>
    <w:rPr>
      <w:rFonts w:eastAsiaTheme="minorHAnsi"/>
      <w:lang w:val="es-ES_tradnl"/>
    </w:rPr>
  </w:style>
  <w:style w:type="character" w:customStyle="1" w:styleId="EncabezadoCar">
    <w:name w:val="Encabezado Car"/>
    <w:basedOn w:val="Fuentedeprrafopredeter"/>
    <w:link w:val="Encabezado"/>
    <w:uiPriority w:val="99"/>
    <w:rsid w:val="005B1EDE"/>
    <w:rPr>
      <w:lang w:val="es-ES_tradnl"/>
    </w:rPr>
  </w:style>
  <w:style w:type="paragraph" w:styleId="Piedepgina">
    <w:name w:val="footer"/>
    <w:basedOn w:val="Normal"/>
    <w:link w:val="PiedepginaCar"/>
    <w:uiPriority w:val="99"/>
    <w:unhideWhenUsed/>
    <w:rsid w:val="005B1EDE"/>
    <w:pPr>
      <w:tabs>
        <w:tab w:val="center" w:pos="4419"/>
        <w:tab w:val="right" w:pos="8838"/>
      </w:tabs>
    </w:pPr>
    <w:rPr>
      <w:rFonts w:eastAsiaTheme="minorHAnsi"/>
      <w:lang w:val="es-ES_tradnl"/>
    </w:rPr>
  </w:style>
  <w:style w:type="character" w:customStyle="1" w:styleId="PiedepginaCar">
    <w:name w:val="Pie de página Car"/>
    <w:basedOn w:val="Fuentedeprrafopredeter"/>
    <w:link w:val="Piedepgina"/>
    <w:uiPriority w:val="99"/>
    <w:rsid w:val="005B1EDE"/>
    <w:rPr>
      <w:lang w:val="es-ES_tradnl"/>
    </w:rPr>
  </w:style>
  <w:style w:type="character" w:customStyle="1" w:styleId="Ttulo1Car">
    <w:name w:val="Título 1 Car"/>
    <w:basedOn w:val="Fuentedeprrafopredeter"/>
    <w:link w:val="Ttulo1"/>
    <w:uiPriority w:val="9"/>
    <w:rsid w:val="004A66F0"/>
    <w:rPr>
      <w:rFonts w:asciiTheme="majorHAnsi" w:eastAsiaTheme="majorEastAsia" w:hAnsiTheme="majorHAnsi" w:cs="Times New Roman"/>
      <w:color w:val="2F5496" w:themeColor="accent1" w:themeShade="BF"/>
      <w:sz w:val="32"/>
      <w:szCs w:val="32"/>
    </w:rPr>
  </w:style>
  <w:style w:type="character" w:customStyle="1" w:styleId="Ttulo2Car">
    <w:name w:val="Título 2 Car"/>
    <w:basedOn w:val="Fuentedeprrafopredeter"/>
    <w:link w:val="Ttulo2"/>
    <w:uiPriority w:val="9"/>
    <w:rsid w:val="004A66F0"/>
    <w:rPr>
      <w:rFonts w:asciiTheme="majorHAnsi" w:eastAsiaTheme="majorEastAsia" w:hAnsiTheme="majorHAnsi" w:cs="Times New Roman"/>
      <w:color w:val="2F5496" w:themeColor="accent1" w:themeShade="BF"/>
      <w:sz w:val="26"/>
      <w:szCs w:val="26"/>
    </w:rPr>
  </w:style>
  <w:style w:type="numbering" w:customStyle="1" w:styleId="Sinlista1">
    <w:name w:val="Sin lista1"/>
    <w:next w:val="Sinlista"/>
    <w:uiPriority w:val="99"/>
    <w:semiHidden/>
    <w:unhideWhenUsed/>
    <w:rsid w:val="004A66F0"/>
  </w:style>
  <w:style w:type="character" w:styleId="Hipervnculo">
    <w:name w:val="Hyperlink"/>
    <w:basedOn w:val="Fuentedeprrafopredeter"/>
    <w:uiPriority w:val="99"/>
    <w:unhideWhenUsed/>
    <w:rsid w:val="004A66F0"/>
    <w:rPr>
      <w:rFonts w:cs="Times New Roman"/>
      <w:color w:val="0563C1" w:themeColor="hyperlink"/>
      <w:u w:val="single"/>
    </w:rPr>
  </w:style>
  <w:style w:type="character" w:customStyle="1" w:styleId="Mencinsinresolver1">
    <w:name w:val="Mención sin resolver1"/>
    <w:basedOn w:val="Fuentedeprrafopredeter"/>
    <w:uiPriority w:val="99"/>
    <w:semiHidden/>
    <w:unhideWhenUsed/>
    <w:rsid w:val="004A66F0"/>
    <w:rPr>
      <w:rFonts w:cs="Times New Roman"/>
      <w:color w:val="605E5C"/>
      <w:shd w:val="clear" w:color="auto" w:fill="E1DFDD"/>
    </w:rPr>
  </w:style>
  <w:style w:type="character" w:customStyle="1" w:styleId="SinespaciadoCar">
    <w:name w:val="Sin espaciado Car"/>
    <w:basedOn w:val="Fuentedeprrafopredeter"/>
    <w:link w:val="Sinespaciado"/>
    <w:uiPriority w:val="1"/>
    <w:locked/>
    <w:rsid w:val="004A66F0"/>
    <w:rPr>
      <w:rFonts w:cs="Times New Roman"/>
    </w:rPr>
  </w:style>
  <w:style w:type="paragraph" w:styleId="Sinespaciado">
    <w:name w:val="No Spacing"/>
    <w:basedOn w:val="Normal"/>
    <w:link w:val="SinespaciadoCar"/>
    <w:uiPriority w:val="1"/>
    <w:qFormat/>
    <w:rsid w:val="004A66F0"/>
    <w:rPr>
      <w:rFonts w:eastAsiaTheme="minorHAnsi" w:cs="Times New Roman"/>
    </w:rPr>
  </w:style>
  <w:style w:type="table" w:styleId="Tablaconcuadrcula">
    <w:name w:val="Table Grid"/>
    <w:basedOn w:val="Tablanormal"/>
    <w:uiPriority w:val="39"/>
    <w:rsid w:val="004A66F0"/>
    <w:rPr>
      <w:rFonts w:eastAsia="Times New Roman" w:cs="Times New Roman"/>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Título PDM Car,Párrafo de lista 2 Car"/>
    <w:basedOn w:val="Fuentedeprrafopredeter"/>
    <w:link w:val="Prrafodelista"/>
    <w:uiPriority w:val="34"/>
    <w:locked/>
    <w:rsid w:val="004A66F0"/>
    <w:rPr>
      <w:rFonts w:ascii="Calibri" w:hAnsi="Calibri" w:cs="Calibri"/>
      <w:sz w:val="22"/>
      <w:szCs w:val="22"/>
    </w:rPr>
  </w:style>
  <w:style w:type="paragraph" w:styleId="Prrafodelista">
    <w:name w:val="List Paragraph"/>
    <w:aliases w:val="Título PDM,Párrafo de lista 2"/>
    <w:basedOn w:val="Normal"/>
    <w:link w:val="PrrafodelistaCar"/>
    <w:uiPriority w:val="34"/>
    <w:qFormat/>
    <w:rsid w:val="004A66F0"/>
    <w:pPr>
      <w:ind w:left="720"/>
      <w:contextualSpacing/>
    </w:pPr>
    <w:rPr>
      <w:rFonts w:ascii="Calibri" w:eastAsiaTheme="minorHAnsi" w:hAnsi="Calibri" w:cs="Calibri"/>
      <w:sz w:val="22"/>
      <w:szCs w:val="22"/>
    </w:rPr>
  </w:style>
  <w:style w:type="paragraph" w:styleId="Textodeglobo">
    <w:name w:val="Balloon Text"/>
    <w:basedOn w:val="Normal"/>
    <w:link w:val="TextodegloboCar"/>
    <w:uiPriority w:val="99"/>
    <w:semiHidden/>
    <w:unhideWhenUsed/>
    <w:rsid w:val="004A66F0"/>
    <w:rPr>
      <w:rFonts w:ascii="Segoe UI" w:eastAsia="Times New Roman" w:hAnsi="Segoe UI" w:cs="Segoe UI"/>
      <w:sz w:val="18"/>
      <w:szCs w:val="18"/>
    </w:rPr>
  </w:style>
  <w:style w:type="character" w:customStyle="1" w:styleId="TextodegloboCar">
    <w:name w:val="Texto de globo Car"/>
    <w:basedOn w:val="Fuentedeprrafopredeter"/>
    <w:link w:val="Textodeglobo"/>
    <w:uiPriority w:val="99"/>
    <w:semiHidden/>
    <w:rsid w:val="004A66F0"/>
    <w:rPr>
      <w:rFonts w:ascii="Segoe UI" w:eastAsia="Times New Roman" w:hAnsi="Segoe UI" w:cs="Segoe UI"/>
      <w:sz w:val="18"/>
      <w:szCs w:val="18"/>
    </w:rPr>
  </w:style>
  <w:style w:type="paragraph" w:styleId="Textonotapie">
    <w:name w:val="footnote text"/>
    <w:aliases w:val="Texto nota pie Car Car Car Car Car Car,Texto nota pie Car Car Car Car Car Car Car,Texto nota pie Car Car Car Car Car Car Ca"/>
    <w:basedOn w:val="Normal"/>
    <w:link w:val="TextonotapieCar"/>
    <w:uiPriority w:val="99"/>
    <w:unhideWhenUsed/>
    <w:rsid w:val="004A66F0"/>
    <w:rPr>
      <w:rFonts w:ascii="Calibri" w:eastAsia="Times New Roman" w:hAnsi="Calibri" w:cs="Calibri"/>
      <w:sz w:val="20"/>
      <w:szCs w:val="20"/>
    </w:rPr>
  </w:style>
  <w:style w:type="character" w:customStyle="1" w:styleId="TextonotapieCar">
    <w:name w:val="Texto nota pie Car"/>
    <w:aliases w:val="Texto nota pie Car Car Car Car Car Car Car1,Texto nota pie Car Car Car Car Car Car Car Car,Texto nota pie Car Car Car Car Car Car Ca Car"/>
    <w:basedOn w:val="Fuentedeprrafopredeter"/>
    <w:link w:val="Textonotapie"/>
    <w:uiPriority w:val="99"/>
    <w:rsid w:val="004A66F0"/>
    <w:rPr>
      <w:rFonts w:ascii="Calibri" w:eastAsia="Times New Roman" w:hAnsi="Calibri" w:cs="Calibri"/>
      <w:sz w:val="20"/>
      <w:szCs w:val="20"/>
    </w:rPr>
  </w:style>
  <w:style w:type="character" w:styleId="Refdenotaalpie">
    <w:name w:val="footnote reference"/>
    <w:basedOn w:val="Fuentedeprrafopredeter"/>
    <w:uiPriority w:val="99"/>
    <w:semiHidden/>
    <w:unhideWhenUsed/>
    <w:rsid w:val="004A66F0"/>
    <w:rPr>
      <w:rFonts w:cs="Times New Roman"/>
      <w:vertAlign w:val="superscript"/>
    </w:rPr>
  </w:style>
  <w:style w:type="table" w:customStyle="1" w:styleId="Tablaconcuadrcula2">
    <w:name w:val="Tabla con cuadrícula2"/>
    <w:basedOn w:val="Tablanormal"/>
    <w:uiPriority w:val="39"/>
    <w:rsid w:val="004A66F0"/>
    <w:pPr>
      <w:spacing w:after="200" w:line="276" w:lineRule="auto"/>
    </w:pPr>
    <w:rPr>
      <w:rFonts w:ascii="Calibri" w:eastAsia="Times New Roman" w:hAnsi="Calibri"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4A66F0"/>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4A66F0"/>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4A66F0"/>
    <w:pPr>
      <w:spacing w:line="259" w:lineRule="auto"/>
      <w:outlineLvl w:val="9"/>
    </w:pPr>
    <w:rPr>
      <w:lang w:eastAsia="es-GT"/>
    </w:rPr>
  </w:style>
  <w:style w:type="paragraph" w:styleId="TDC1">
    <w:name w:val="toc 1"/>
    <w:basedOn w:val="Normal"/>
    <w:next w:val="Normal"/>
    <w:autoRedefine/>
    <w:uiPriority w:val="39"/>
    <w:unhideWhenUsed/>
    <w:rsid w:val="00720946"/>
    <w:pPr>
      <w:tabs>
        <w:tab w:val="left" w:pos="851"/>
        <w:tab w:val="right" w:leader="dot" w:pos="9394"/>
      </w:tabs>
      <w:spacing w:after="100"/>
      <w:contextualSpacing/>
    </w:pPr>
    <w:rPr>
      <w:rFonts w:ascii="Times New Roman" w:eastAsia="Times New Roman" w:hAnsi="Times New Roman" w:cs="Calibri"/>
      <w:b/>
      <w:bCs/>
      <w:noProof/>
      <w:sz w:val="22"/>
      <w:szCs w:val="22"/>
      <w:lang w:val="es-ES_tradnl" w:eastAsia="es-ES"/>
    </w:rPr>
  </w:style>
  <w:style w:type="paragraph" w:styleId="TDC2">
    <w:name w:val="toc 2"/>
    <w:basedOn w:val="Normal"/>
    <w:next w:val="Normal"/>
    <w:autoRedefine/>
    <w:uiPriority w:val="39"/>
    <w:unhideWhenUsed/>
    <w:rsid w:val="00580E0E"/>
    <w:pPr>
      <w:tabs>
        <w:tab w:val="left" w:pos="1134"/>
        <w:tab w:val="left" w:pos="1760"/>
        <w:tab w:val="right" w:leader="dot" w:pos="9394"/>
      </w:tabs>
      <w:spacing w:after="100" w:line="276" w:lineRule="auto"/>
      <w:ind w:left="426" w:hanging="284"/>
      <w:contextualSpacing/>
    </w:pPr>
    <w:rPr>
      <w:rFonts w:ascii="Times New Roman" w:eastAsiaTheme="majorEastAsia" w:hAnsi="Times New Roman" w:cs="Arial"/>
      <w:b/>
      <w:bCs/>
      <w:noProof/>
      <w:sz w:val="22"/>
      <w:szCs w:val="22"/>
    </w:rPr>
  </w:style>
  <w:style w:type="table" w:customStyle="1" w:styleId="Tablaconcuadrcula4">
    <w:name w:val="Tabla con cuadrícula4"/>
    <w:basedOn w:val="Tablanormal"/>
    <w:next w:val="Tablaconcuadrcula"/>
    <w:uiPriority w:val="59"/>
    <w:rsid w:val="004A66F0"/>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4A66F0"/>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4A66F0"/>
    <w:rPr>
      <w:rFonts w:eastAsia="Times New Roman"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unhideWhenUsed/>
    <w:rsid w:val="004A66F0"/>
    <w:pPr>
      <w:spacing w:after="120" w:line="259" w:lineRule="auto"/>
    </w:pPr>
    <w:rPr>
      <w:rFonts w:eastAsia="Times New Roman" w:cs="Times New Roman"/>
      <w:sz w:val="22"/>
      <w:szCs w:val="22"/>
    </w:rPr>
  </w:style>
  <w:style w:type="character" w:customStyle="1" w:styleId="TextoindependienteCar">
    <w:name w:val="Texto independiente Car"/>
    <w:basedOn w:val="Fuentedeprrafopredeter"/>
    <w:link w:val="Textoindependiente"/>
    <w:uiPriority w:val="99"/>
    <w:rsid w:val="004A66F0"/>
    <w:rPr>
      <w:rFonts w:eastAsia="Times New Roman" w:cs="Times New Roman"/>
      <w:sz w:val="22"/>
      <w:szCs w:val="22"/>
    </w:rPr>
  </w:style>
  <w:style w:type="table" w:customStyle="1" w:styleId="Tablaconcuadrcula7">
    <w:name w:val="Tabla con cuadrícula7"/>
    <w:basedOn w:val="Tablanormal"/>
    <w:next w:val="Tablaconcuadrcula"/>
    <w:uiPriority w:val="59"/>
    <w:rsid w:val="00F63769"/>
    <w:rPr>
      <w:rFonts w:eastAsia="Times New Roman"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59"/>
    <w:rsid w:val="00E5175E"/>
    <w:rPr>
      <w:rFonts w:eastAsia="Times New Roman"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59"/>
    <w:rsid w:val="00E5175E"/>
    <w:rPr>
      <w:rFonts w:eastAsia="Times New Roman"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59"/>
    <w:rsid w:val="00E5175E"/>
    <w:rPr>
      <w:rFonts w:eastAsia="Times New Roman"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3">
    <w:name w:val="toc 3"/>
    <w:basedOn w:val="Normal"/>
    <w:next w:val="Normal"/>
    <w:autoRedefine/>
    <w:uiPriority w:val="39"/>
    <w:unhideWhenUsed/>
    <w:rsid w:val="00FD0AB7"/>
    <w:pPr>
      <w:spacing w:after="100"/>
      <w:ind w:left="480"/>
    </w:pPr>
  </w:style>
  <w:style w:type="paragraph" w:styleId="Descripcin">
    <w:name w:val="caption"/>
    <w:basedOn w:val="Normal"/>
    <w:next w:val="Normal"/>
    <w:uiPriority w:val="35"/>
    <w:unhideWhenUsed/>
    <w:qFormat/>
    <w:rsid w:val="00BA6A5D"/>
    <w:pPr>
      <w:spacing w:after="200"/>
    </w:pPr>
    <w:rPr>
      <w:rFonts w:ascii="Times New Roman" w:hAnsi="Times New Roman"/>
      <w:b/>
      <w:iCs/>
      <w:sz w:val="18"/>
      <w:szCs w:val="18"/>
    </w:rPr>
  </w:style>
  <w:style w:type="paragraph" w:styleId="Tabladeilustraciones">
    <w:name w:val="table of figures"/>
    <w:basedOn w:val="Normal"/>
    <w:next w:val="Normal"/>
    <w:uiPriority w:val="99"/>
    <w:unhideWhenUsed/>
    <w:rsid w:val="0038200B"/>
  </w:style>
  <w:style w:type="paragraph" w:styleId="NormalWeb">
    <w:name w:val="Normal (Web)"/>
    <w:basedOn w:val="Normal"/>
    <w:uiPriority w:val="99"/>
    <w:semiHidden/>
    <w:unhideWhenUsed/>
    <w:rsid w:val="00A11E1A"/>
    <w:pPr>
      <w:spacing w:before="100" w:beforeAutospacing="1" w:after="100" w:afterAutospacing="1"/>
    </w:pPr>
    <w:rPr>
      <w:rFonts w:ascii="Times New Roman" w:eastAsia="Times New Roman" w:hAnsi="Times New Roman" w:cs="Times New Roman"/>
      <w:lang w:eastAsia="es-GT"/>
    </w:rPr>
  </w:style>
  <w:style w:type="character" w:styleId="Hipervnculovisitado">
    <w:name w:val="FollowedHyperlink"/>
    <w:basedOn w:val="Fuentedeprrafopredeter"/>
    <w:uiPriority w:val="99"/>
    <w:semiHidden/>
    <w:unhideWhenUsed/>
    <w:rsid w:val="00156651"/>
    <w:rPr>
      <w:color w:val="954F72" w:themeColor="followedHyperlink"/>
      <w:u w:val="single"/>
    </w:rPr>
  </w:style>
  <w:style w:type="character" w:styleId="Refdecomentario">
    <w:name w:val="annotation reference"/>
    <w:basedOn w:val="Fuentedeprrafopredeter"/>
    <w:uiPriority w:val="99"/>
    <w:semiHidden/>
    <w:unhideWhenUsed/>
    <w:rsid w:val="00DB6B9C"/>
    <w:rPr>
      <w:sz w:val="16"/>
      <w:szCs w:val="16"/>
    </w:rPr>
  </w:style>
  <w:style w:type="paragraph" w:styleId="Textocomentario">
    <w:name w:val="annotation text"/>
    <w:basedOn w:val="Normal"/>
    <w:link w:val="TextocomentarioCar"/>
    <w:uiPriority w:val="99"/>
    <w:semiHidden/>
    <w:unhideWhenUsed/>
    <w:rsid w:val="00DB6B9C"/>
    <w:rPr>
      <w:sz w:val="20"/>
      <w:szCs w:val="20"/>
    </w:rPr>
  </w:style>
  <w:style w:type="character" w:customStyle="1" w:styleId="TextocomentarioCar">
    <w:name w:val="Texto comentario Car"/>
    <w:basedOn w:val="Fuentedeprrafopredeter"/>
    <w:link w:val="Textocomentario"/>
    <w:uiPriority w:val="99"/>
    <w:semiHidden/>
    <w:rsid w:val="00DB6B9C"/>
    <w:rPr>
      <w:rFonts w:eastAsiaTheme="minorEastAsia"/>
      <w:sz w:val="20"/>
      <w:szCs w:val="20"/>
    </w:rPr>
  </w:style>
  <w:style w:type="paragraph" w:styleId="Asuntodelcomentario">
    <w:name w:val="annotation subject"/>
    <w:basedOn w:val="Textocomentario"/>
    <w:next w:val="Textocomentario"/>
    <w:link w:val="AsuntodelcomentarioCar"/>
    <w:uiPriority w:val="99"/>
    <w:semiHidden/>
    <w:unhideWhenUsed/>
    <w:rsid w:val="00DB6B9C"/>
    <w:rPr>
      <w:b/>
      <w:bCs/>
    </w:rPr>
  </w:style>
  <w:style w:type="character" w:customStyle="1" w:styleId="AsuntodelcomentarioCar">
    <w:name w:val="Asunto del comentario Car"/>
    <w:basedOn w:val="TextocomentarioCar"/>
    <w:link w:val="Asuntodelcomentario"/>
    <w:uiPriority w:val="99"/>
    <w:semiHidden/>
    <w:rsid w:val="00DB6B9C"/>
    <w:rPr>
      <w:rFonts w:eastAsiaTheme="minorEastAsi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0975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1.xml"/><Relationship Id="rId21" Type="http://schemas.openxmlformats.org/officeDocument/2006/relationships/chart" Target="charts/chart10.xml"/><Relationship Id="rId34" Type="http://schemas.openxmlformats.org/officeDocument/2006/relationships/chart" Target="charts/chart18.xml"/><Relationship Id="rId42" Type="http://schemas.openxmlformats.org/officeDocument/2006/relationships/chart" Target="charts/chart24.xml"/><Relationship Id="rId47" Type="http://schemas.openxmlformats.org/officeDocument/2006/relationships/chart" Target="charts/chart29.xml"/><Relationship Id="rId50" Type="http://schemas.openxmlformats.org/officeDocument/2006/relationships/chart" Target="charts/chart32.xml"/><Relationship Id="rId55" Type="http://schemas.openxmlformats.org/officeDocument/2006/relationships/chart" Target="charts/chart34.xml"/><Relationship Id="rId63" Type="http://schemas.openxmlformats.org/officeDocument/2006/relationships/diagramColors" Target="diagrams/colors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diagramColors" Target="diagrams/colors1.xml"/><Relationship Id="rId11" Type="http://schemas.openxmlformats.org/officeDocument/2006/relationships/image" Target="media/image3.png"/><Relationship Id="rId24" Type="http://schemas.openxmlformats.org/officeDocument/2006/relationships/chart" Target="charts/chart13.xml"/><Relationship Id="rId32" Type="http://schemas.openxmlformats.org/officeDocument/2006/relationships/chart" Target="charts/chart16.xml"/><Relationship Id="rId37" Type="http://schemas.openxmlformats.org/officeDocument/2006/relationships/chart" Target="charts/chart19.xml"/><Relationship Id="rId40" Type="http://schemas.openxmlformats.org/officeDocument/2006/relationships/chart" Target="charts/chart22.xml"/><Relationship Id="rId45" Type="http://schemas.openxmlformats.org/officeDocument/2006/relationships/chart" Target="charts/chart27.xml"/><Relationship Id="rId53" Type="http://schemas.openxmlformats.org/officeDocument/2006/relationships/image" Target="media/image8.png"/><Relationship Id="rId58" Type="http://schemas.openxmlformats.org/officeDocument/2006/relationships/chart" Target="charts/chart37.xm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diagramLayout" Target="diagrams/layout2.xml"/><Relationship Id="rId19" Type="http://schemas.openxmlformats.org/officeDocument/2006/relationships/chart" Target="charts/chart8.xm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image" Target="media/image4.emf"/><Relationship Id="rId43" Type="http://schemas.openxmlformats.org/officeDocument/2006/relationships/chart" Target="charts/chart25.xml"/><Relationship Id="rId48" Type="http://schemas.openxmlformats.org/officeDocument/2006/relationships/chart" Target="charts/chart30.xml"/><Relationship Id="rId56" Type="http://schemas.openxmlformats.org/officeDocument/2006/relationships/chart" Target="charts/chart35.xml"/><Relationship Id="rId64" Type="http://schemas.microsoft.com/office/2007/relationships/diagramDrawing" Target="diagrams/drawing2.xml"/><Relationship Id="rId8" Type="http://schemas.openxmlformats.org/officeDocument/2006/relationships/header" Target="header1.xml"/><Relationship Id="rId51" Type="http://schemas.openxmlformats.org/officeDocument/2006/relationships/image" Target="media/image6.png"/><Relationship Id="rId3" Type="http://schemas.openxmlformats.org/officeDocument/2006/relationships/styles" Target="styles.xml"/><Relationship Id="rId12" Type="http://schemas.openxmlformats.org/officeDocument/2006/relationships/image" Target="media/image30.png"/><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chart" Target="charts/chart17.xml"/><Relationship Id="rId38" Type="http://schemas.openxmlformats.org/officeDocument/2006/relationships/chart" Target="charts/chart20.xml"/><Relationship Id="rId46" Type="http://schemas.openxmlformats.org/officeDocument/2006/relationships/chart" Target="charts/chart28.xml"/><Relationship Id="rId59" Type="http://schemas.openxmlformats.org/officeDocument/2006/relationships/chart" Target="charts/chart38.xml"/><Relationship Id="rId20" Type="http://schemas.openxmlformats.org/officeDocument/2006/relationships/chart" Target="charts/chart9.xml"/><Relationship Id="rId41" Type="http://schemas.openxmlformats.org/officeDocument/2006/relationships/chart" Target="charts/chart23.xml"/><Relationship Id="rId54" Type="http://schemas.openxmlformats.org/officeDocument/2006/relationships/chart" Target="charts/chart33.xml"/><Relationship Id="rId62" Type="http://schemas.openxmlformats.org/officeDocument/2006/relationships/diagramQuickStyle" Target="diagrams/quickStyle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diagramQuickStyle" Target="diagrams/quickStyle1.xml"/><Relationship Id="rId36" Type="http://schemas.openxmlformats.org/officeDocument/2006/relationships/image" Target="media/image5.emf"/><Relationship Id="rId49" Type="http://schemas.openxmlformats.org/officeDocument/2006/relationships/chart" Target="charts/chart31.xml"/><Relationship Id="rId57" Type="http://schemas.openxmlformats.org/officeDocument/2006/relationships/chart" Target="charts/chart36.xml"/><Relationship Id="rId10" Type="http://schemas.openxmlformats.org/officeDocument/2006/relationships/chart" Target="charts/chart1.xml"/><Relationship Id="rId31" Type="http://schemas.openxmlformats.org/officeDocument/2006/relationships/chart" Target="charts/chart15.xml"/><Relationship Id="rId44" Type="http://schemas.openxmlformats.org/officeDocument/2006/relationships/chart" Target="charts/chart26.xml"/><Relationship Id="rId52" Type="http://schemas.openxmlformats.org/officeDocument/2006/relationships/image" Target="media/image7.png"/><Relationship Id="rId60" Type="http://schemas.openxmlformats.org/officeDocument/2006/relationships/diagramData" Target="diagrams/data2.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chart" Target="charts/chart2.xml"/><Relationship Id="rId18" Type="http://schemas.openxmlformats.org/officeDocument/2006/relationships/chart" Target="charts/chart7.xml"/><Relationship Id="rId39" Type="http://schemas.openxmlformats.org/officeDocument/2006/relationships/chart" Target="charts/chart2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24.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25.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26.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27.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28.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29.xlsx"/></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34.xlsx"/></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35.xlsx"/></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37.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9639913016288121E-2"/>
          <c:y val="9.2787853226486708E-2"/>
          <c:w val="0.91682680007959294"/>
          <c:h val="0.79653510060010968"/>
        </c:manualLayout>
      </c:layout>
      <c:lineChart>
        <c:grouping val="standard"/>
        <c:varyColors val="0"/>
        <c:ser>
          <c:idx val="0"/>
          <c:order val="0"/>
          <c:tx>
            <c:strRef>
              <c:f>Hoja1!$B$1</c:f>
              <c:strCache>
                <c:ptCount val="1"/>
                <c:pt idx="0">
                  <c:v>Internos</c:v>
                </c:pt>
              </c:strCache>
            </c:strRef>
          </c:tx>
          <c:spPr>
            <a:ln w="12700" cap="rnd">
              <a:solidFill>
                <a:schemeClr val="accent1"/>
              </a:solidFill>
              <a:round/>
            </a:ln>
            <a:effectLst/>
          </c:spPr>
          <c:marker>
            <c:symbol val="circle"/>
            <c:size val="3"/>
            <c:spPr>
              <a:solidFill>
                <a:schemeClr val="accent5">
                  <a:lumMod val="20000"/>
                  <a:lumOff val="80000"/>
                </a:schemeClr>
              </a:solidFill>
              <a:ln w="9525">
                <a:solidFill>
                  <a:schemeClr val="accent1"/>
                </a:solidFill>
              </a:ln>
              <a:effectLst/>
            </c:spPr>
          </c:marker>
          <c:dLbls>
            <c:dLbl>
              <c:idx val="83"/>
              <c:layout>
                <c:manualLayout>
                  <c:x val="0"/>
                  <c:y val="8.0710250201775621E-2"/>
                </c:manualLayout>
              </c:layout>
              <c:spPr>
                <a:noFill/>
                <a:ln>
                  <a:noFill/>
                </a:ln>
                <a:effectLst/>
              </c:spPr>
              <c:txPr>
                <a:bodyPr rot="0" spcFirstLastPara="1" vertOverflow="ellipsis" vert="horz" wrap="square" anchor="ctr" anchorCtr="1"/>
                <a:lstStyle/>
                <a:p>
                  <a:pPr>
                    <a:defRPr sz="7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583-47B7-B482-AF94EDCE552F}"/>
                </c:ext>
              </c:extLst>
            </c:dLbl>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Hoja1!$A$2:$A$109</c:f>
              <c:numCache>
                <c:formatCode>mmm\-yy</c:formatCode>
                <c:ptCount val="84"/>
                <c:pt idx="0">
                  <c:v>39814</c:v>
                </c:pt>
                <c:pt idx="1">
                  <c:v>39845</c:v>
                </c:pt>
                <c:pt idx="2">
                  <c:v>39873</c:v>
                </c:pt>
                <c:pt idx="3">
                  <c:v>39904</c:v>
                </c:pt>
                <c:pt idx="4">
                  <c:v>39934</c:v>
                </c:pt>
                <c:pt idx="5">
                  <c:v>39965</c:v>
                </c:pt>
                <c:pt idx="6">
                  <c:v>39995</c:v>
                </c:pt>
                <c:pt idx="7">
                  <c:v>40026</c:v>
                </c:pt>
                <c:pt idx="8">
                  <c:v>40057</c:v>
                </c:pt>
                <c:pt idx="9">
                  <c:v>40087</c:v>
                </c:pt>
                <c:pt idx="10">
                  <c:v>40118</c:v>
                </c:pt>
                <c:pt idx="11">
                  <c:v>40148</c:v>
                </c:pt>
                <c:pt idx="12">
                  <c:v>40179</c:v>
                </c:pt>
                <c:pt idx="13">
                  <c:v>40210</c:v>
                </c:pt>
                <c:pt idx="14">
                  <c:v>40238</c:v>
                </c:pt>
                <c:pt idx="15">
                  <c:v>40269</c:v>
                </c:pt>
                <c:pt idx="16">
                  <c:v>40299</c:v>
                </c:pt>
                <c:pt idx="17">
                  <c:v>40330</c:v>
                </c:pt>
                <c:pt idx="18">
                  <c:v>40360</c:v>
                </c:pt>
                <c:pt idx="19">
                  <c:v>40391</c:v>
                </c:pt>
                <c:pt idx="20">
                  <c:v>40422</c:v>
                </c:pt>
                <c:pt idx="21">
                  <c:v>40452</c:v>
                </c:pt>
                <c:pt idx="22">
                  <c:v>40483</c:v>
                </c:pt>
                <c:pt idx="23">
                  <c:v>40513</c:v>
                </c:pt>
                <c:pt idx="24">
                  <c:v>43101</c:v>
                </c:pt>
                <c:pt idx="25">
                  <c:v>43132</c:v>
                </c:pt>
                <c:pt idx="26">
                  <c:v>43160</c:v>
                </c:pt>
                <c:pt idx="27">
                  <c:v>43191</c:v>
                </c:pt>
                <c:pt idx="28">
                  <c:v>43221</c:v>
                </c:pt>
                <c:pt idx="29">
                  <c:v>43252</c:v>
                </c:pt>
                <c:pt idx="30">
                  <c:v>43282</c:v>
                </c:pt>
                <c:pt idx="31">
                  <c:v>43313</c:v>
                </c:pt>
                <c:pt idx="32">
                  <c:v>43344</c:v>
                </c:pt>
                <c:pt idx="33">
                  <c:v>43374</c:v>
                </c:pt>
                <c:pt idx="34">
                  <c:v>43405</c:v>
                </c:pt>
                <c:pt idx="35">
                  <c:v>43435</c:v>
                </c:pt>
                <c:pt idx="36">
                  <c:v>43466</c:v>
                </c:pt>
                <c:pt idx="37">
                  <c:v>43497</c:v>
                </c:pt>
                <c:pt idx="38">
                  <c:v>43525</c:v>
                </c:pt>
                <c:pt idx="39">
                  <c:v>43556</c:v>
                </c:pt>
                <c:pt idx="40">
                  <c:v>43586</c:v>
                </c:pt>
                <c:pt idx="41">
                  <c:v>43617</c:v>
                </c:pt>
                <c:pt idx="42">
                  <c:v>43647</c:v>
                </c:pt>
                <c:pt idx="43">
                  <c:v>43678</c:v>
                </c:pt>
                <c:pt idx="44">
                  <c:v>43709</c:v>
                </c:pt>
                <c:pt idx="45">
                  <c:v>43739</c:v>
                </c:pt>
                <c:pt idx="46">
                  <c:v>43770</c:v>
                </c:pt>
                <c:pt idx="47">
                  <c:v>43800</c:v>
                </c:pt>
                <c:pt idx="48">
                  <c:v>43831</c:v>
                </c:pt>
                <c:pt idx="49">
                  <c:v>43862</c:v>
                </c:pt>
                <c:pt idx="50">
                  <c:v>43891</c:v>
                </c:pt>
                <c:pt idx="51">
                  <c:v>43922</c:v>
                </c:pt>
                <c:pt idx="52">
                  <c:v>43952</c:v>
                </c:pt>
                <c:pt idx="53">
                  <c:v>43983</c:v>
                </c:pt>
                <c:pt idx="54">
                  <c:v>44013</c:v>
                </c:pt>
                <c:pt idx="55">
                  <c:v>44044</c:v>
                </c:pt>
                <c:pt idx="56">
                  <c:v>44075</c:v>
                </c:pt>
                <c:pt idx="57">
                  <c:v>44105</c:v>
                </c:pt>
                <c:pt idx="58">
                  <c:v>44136</c:v>
                </c:pt>
                <c:pt idx="59">
                  <c:v>44166</c:v>
                </c:pt>
                <c:pt idx="60">
                  <c:v>44197</c:v>
                </c:pt>
                <c:pt idx="61">
                  <c:v>44228</c:v>
                </c:pt>
                <c:pt idx="62">
                  <c:v>44256</c:v>
                </c:pt>
                <c:pt idx="63">
                  <c:v>44287</c:v>
                </c:pt>
                <c:pt idx="64">
                  <c:v>44317</c:v>
                </c:pt>
                <c:pt idx="65">
                  <c:v>44348</c:v>
                </c:pt>
                <c:pt idx="66">
                  <c:v>44378</c:v>
                </c:pt>
                <c:pt idx="67">
                  <c:v>44409</c:v>
                </c:pt>
                <c:pt idx="68">
                  <c:v>44440</c:v>
                </c:pt>
                <c:pt idx="69">
                  <c:v>44470</c:v>
                </c:pt>
                <c:pt idx="70">
                  <c:v>44501</c:v>
                </c:pt>
                <c:pt idx="71">
                  <c:v>44531</c:v>
                </c:pt>
                <c:pt idx="72">
                  <c:v>44562</c:v>
                </c:pt>
                <c:pt idx="73">
                  <c:v>44593</c:v>
                </c:pt>
                <c:pt idx="74">
                  <c:v>44621</c:v>
                </c:pt>
                <c:pt idx="75">
                  <c:v>44652</c:v>
                </c:pt>
                <c:pt idx="76">
                  <c:v>44682</c:v>
                </c:pt>
                <c:pt idx="77">
                  <c:v>44713</c:v>
                </c:pt>
                <c:pt idx="78">
                  <c:v>44743</c:v>
                </c:pt>
                <c:pt idx="79">
                  <c:v>44774</c:v>
                </c:pt>
                <c:pt idx="80">
                  <c:v>44805</c:v>
                </c:pt>
                <c:pt idx="81">
                  <c:v>44835</c:v>
                </c:pt>
                <c:pt idx="82">
                  <c:v>44866</c:v>
                </c:pt>
                <c:pt idx="83">
                  <c:v>44896</c:v>
                </c:pt>
              </c:numCache>
            </c:numRef>
          </c:cat>
          <c:val>
            <c:numRef>
              <c:f>Hoja1!$B$2:$B$109</c:f>
              <c:numCache>
                <c:formatCode>0.0%</c:formatCode>
                <c:ptCount val="84"/>
                <c:pt idx="0">
                  <c:v>0.12409175998871791</c:v>
                </c:pt>
                <c:pt idx="1">
                  <c:v>5.910531829057275E-2</c:v>
                </c:pt>
                <c:pt idx="2">
                  <c:v>2.2320556922013068E-3</c:v>
                </c:pt>
                <c:pt idx="3">
                  <c:v>-5.6735797470299776E-3</c:v>
                </c:pt>
                <c:pt idx="4">
                  <c:v>-5.0362067471565464E-3</c:v>
                </c:pt>
                <c:pt idx="5">
                  <c:v>1.0107592681829258E-2</c:v>
                </c:pt>
                <c:pt idx="6">
                  <c:v>-5.7901599045218077E-3</c:v>
                </c:pt>
                <c:pt idx="7">
                  <c:v>-1.963117095624356E-3</c:v>
                </c:pt>
                <c:pt idx="8">
                  <c:v>-2.4453354064336574E-3</c:v>
                </c:pt>
                <c:pt idx="9">
                  <c:v>-1.3846149049485668E-3</c:v>
                </c:pt>
                <c:pt idx="10">
                  <c:v>-2.2962283798527716E-3</c:v>
                </c:pt>
                <c:pt idx="11">
                  <c:v>6.0864675880623054E-3</c:v>
                </c:pt>
                <c:pt idx="12">
                  <c:v>3.7106443539749678E-2</c:v>
                </c:pt>
                <c:pt idx="13">
                  <c:v>6.3333192149289008E-2</c:v>
                </c:pt>
                <c:pt idx="14">
                  <c:v>4.7839346110299941E-2</c:v>
                </c:pt>
                <c:pt idx="15">
                  <c:v>5.6490569302581672E-2</c:v>
                </c:pt>
                <c:pt idx="16">
                  <c:v>6.0081586318207814E-2</c:v>
                </c:pt>
                <c:pt idx="17">
                  <c:v>5.6079275614775437E-2</c:v>
                </c:pt>
                <c:pt idx="18">
                  <c:v>5.7344238689610805E-2</c:v>
                </c:pt>
                <c:pt idx="19">
                  <c:v>7.0374594916908118E-2</c:v>
                </c:pt>
                <c:pt idx="20">
                  <c:v>7.1092301395941027E-2</c:v>
                </c:pt>
                <c:pt idx="21">
                  <c:v>5.9291728582824721E-2</c:v>
                </c:pt>
                <c:pt idx="22">
                  <c:v>6.3581562943069603E-2</c:v>
                </c:pt>
                <c:pt idx="23">
                  <c:v>6.4877165487156052E-2</c:v>
                </c:pt>
                <c:pt idx="24">
                  <c:v>9.5029678328446332E-2</c:v>
                </c:pt>
                <c:pt idx="25">
                  <c:v>7.418438541927741E-2</c:v>
                </c:pt>
                <c:pt idx="26">
                  <c:v>4.4331472829025387E-2</c:v>
                </c:pt>
                <c:pt idx="27">
                  <c:v>3.061679143747309E-2</c:v>
                </c:pt>
                <c:pt idx="28">
                  <c:v>3.567349270858533E-2</c:v>
                </c:pt>
                <c:pt idx="29">
                  <c:v>6.9833455101353525E-3</c:v>
                </c:pt>
                <c:pt idx="30">
                  <c:v>1.3620570745746408E-2</c:v>
                </c:pt>
                <c:pt idx="31">
                  <c:v>1.3639138792564287E-2</c:v>
                </c:pt>
                <c:pt idx="32">
                  <c:v>1.1608366599742848E-2</c:v>
                </c:pt>
                <c:pt idx="33">
                  <c:v>1.520436753258525E-2</c:v>
                </c:pt>
                <c:pt idx="34">
                  <c:v>2.0182723094225086E-2</c:v>
                </c:pt>
                <c:pt idx="35">
                  <c:v>1.8941089642273923E-2</c:v>
                </c:pt>
                <c:pt idx="36">
                  <c:v>1.2133373398879099E-2</c:v>
                </c:pt>
                <c:pt idx="37">
                  <c:v>1.3171949561501473E-2</c:v>
                </c:pt>
                <c:pt idx="38">
                  <c:v>2.1515546627187465E-2</c:v>
                </c:pt>
                <c:pt idx="39">
                  <c:v>2.6500406128148413E-2</c:v>
                </c:pt>
                <c:pt idx="40">
                  <c:v>3.3774818086861336E-2</c:v>
                </c:pt>
                <c:pt idx="41">
                  <c:v>3.0658139325091094E-2</c:v>
                </c:pt>
                <c:pt idx="42">
                  <c:v>3.6913059989126973E-2</c:v>
                </c:pt>
                <c:pt idx="43">
                  <c:v>4.1640139238722451E-2</c:v>
                </c:pt>
                <c:pt idx="44">
                  <c:v>4.8135226542253884E-2</c:v>
                </c:pt>
                <c:pt idx="45">
                  <c:v>5.7783454456295402E-2</c:v>
                </c:pt>
                <c:pt idx="46">
                  <c:v>5.5422204220258564E-2</c:v>
                </c:pt>
                <c:pt idx="47">
                  <c:v>6.6597541083223355E-2</c:v>
                </c:pt>
                <c:pt idx="48">
                  <c:v>0.12355001333193627</c:v>
                </c:pt>
                <c:pt idx="49">
                  <c:v>0.11702529453413901</c:v>
                </c:pt>
                <c:pt idx="50">
                  <c:v>-4.1573962158443001E-2</c:v>
                </c:pt>
                <c:pt idx="51">
                  <c:v>3.5316051677768412E-2</c:v>
                </c:pt>
                <c:pt idx="52">
                  <c:v>-4.5608141251602952E-3</c:v>
                </c:pt>
                <c:pt idx="53">
                  <c:v>-2.760244571157966E-2</c:v>
                </c:pt>
                <c:pt idx="54">
                  <c:v>-4.524004040943197E-2</c:v>
                </c:pt>
                <c:pt idx="55">
                  <c:v>-5.0795729243287013E-2</c:v>
                </c:pt>
                <c:pt idx="56">
                  <c:v>-4.5671337435818637E-2</c:v>
                </c:pt>
                <c:pt idx="57">
                  <c:v>-2.4012277155246342E-2</c:v>
                </c:pt>
                <c:pt idx="58">
                  <c:v>-1.8659806932337597E-2</c:v>
                </c:pt>
                <c:pt idx="59">
                  <c:v>-1.9497461309182063E-2</c:v>
                </c:pt>
                <c:pt idx="60">
                  <c:v>6.0737663743792858E-2</c:v>
                </c:pt>
                <c:pt idx="61">
                  <c:v>6.7628231282831797E-2</c:v>
                </c:pt>
                <c:pt idx="62">
                  <c:v>0.24207599090223919</c:v>
                </c:pt>
                <c:pt idx="63">
                  <c:v>0.16170221856991063</c:v>
                </c:pt>
                <c:pt idx="64">
                  <c:v>0.19481307102479639</c:v>
                </c:pt>
                <c:pt idx="65">
                  <c:v>0.21311343890161871</c:v>
                </c:pt>
                <c:pt idx="66">
                  <c:v>0.25000590353400054</c:v>
                </c:pt>
                <c:pt idx="67">
                  <c:v>0.24869333811400418</c:v>
                </c:pt>
                <c:pt idx="68">
                  <c:v>0.23865355092229312</c:v>
                </c:pt>
                <c:pt idx="69">
                  <c:v>0.22377016823637441</c:v>
                </c:pt>
                <c:pt idx="70">
                  <c:v>0.21261221489466742</c:v>
                </c:pt>
                <c:pt idx="71">
                  <c:v>0.24189141456707031</c:v>
                </c:pt>
                <c:pt idx="72">
                  <c:v>6.1103013917060967E-2</c:v>
                </c:pt>
                <c:pt idx="73">
                  <c:v>4.8899589562914514E-2</c:v>
                </c:pt>
                <c:pt idx="74">
                  <c:v>9.8610280096090408E-2</c:v>
                </c:pt>
                <c:pt idx="75">
                  <c:v>0.12402002401719581</c:v>
                </c:pt>
                <c:pt idx="76">
                  <c:v>0.12265306074707949</c:v>
                </c:pt>
                <c:pt idx="77">
                  <c:v>0.12893635675323489</c:v>
                </c:pt>
                <c:pt idx="78">
                  <c:v>0.13567594975491981</c:v>
                </c:pt>
                <c:pt idx="79">
                  <c:v>0.13488254205916639</c:v>
                </c:pt>
                <c:pt idx="80">
                  <c:v>0.13666316004100043</c:v>
                </c:pt>
                <c:pt idx="81">
                  <c:v>0.13152568562688782</c:v>
                </c:pt>
                <c:pt idx="82">
                  <c:v>0.13354154860574385</c:v>
                </c:pt>
                <c:pt idx="83">
                  <c:v>0.10518515851835408</c:v>
                </c:pt>
              </c:numCache>
            </c:numRef>
          </c:val>
          <c:smooth val="0"/>
          <c:extLst>
            <c:ext xmlns:c16="http://schemas.microsoft.com/office/drawing/2014/chart" uri="{C3380CC4-5D6E-409C-BE32-E72D297353CC}">
              <c16:uniqueId val="{00000001-9583-47B7-B482-AF94EDCE552F}"/>
            </c:ext>
          </c:extLst>
        </c:ser>
        <c:ser>
          <c:idx val="1"/>
          <c:order val="1"/>
          <c:tx>
            <c:strRef>
              <c:f>Hoja1!$C$1</c:f>
              <c:strCache>
                <c:ptCount val="1"/>
                <c:pt idx="0">
                  <c:v>Aduanas</c:v>
                </c:pt>
              </c:strCache>
            </c:strRef>
          </c:tx>
          <c:spPr>
            <a:ln w="12700" cap="rnd">
              <a:solidFill>
                <a:srgbClr val="FF0000"/>
              </a:solidFill>
              <a:round/>
            </a:ln>
            <a:effectLst/>
          </c:spPr>
          <c:marker>
            <c:symbol val="circle"/>
            <c:size val="3"/>
            <c:spPr>
              <a:solidFill>
                <a:schemeClr val="bg1"/>
              </a:solidFill>
              <a:ln w="9525">
                <a:solidFill>
                  <a:srgbClr val="FF0000"/>
                </a:solidFill>
              </a:ln>
              <a:effectLst/>
            </c:spPr>
          </c:marker>
          <c:dLbls>
            <c:dLbl>
              <c:idx val="83"/>
              <c:layout>
                <c:manualLayout>
                  <c:x val="0"/>
                  <c:y val="-0.14124293785310735"/>
                </c:manualLayout>
              </c:layout>
              <c:spPr>
                <a:noFill/>
                <a:ln>
                  <a:noFill/>
                </a:ln>
                <a:effectLst/>
              </c:spPr>
              <c:txPr>
                <a:bodyPr rot="0" spcFirstLastPara="1" vertOverflow="ellipsis" vert="horz" wrap="square" anchor="ctr" anchorCtr="1"/>
                <a:lstStyle/>
                <a:p>
                  <a:pPr>
                    <a:defRPr sz="7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583-47B7-B482-AF94EDCE552F}"/>
                </c:ext>
              </c:extLst>
            </c:dLbl>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Hoja1!$A$2:$A$109</c:f>
              <c:numCache>
                <c:formatCode>mmm\-yy</c:formatCode>
                <c:ptCount val="84"/>
                <c:pt idx="0">
                  <c:v>39814</c:v>
                </c:pt>
                <c:pt idx="1">
                  <c:v>39845</c:v>
                </c:pt>
                <c:pt idx="2">
                  <c:v>39873</c:v>
                </c:pt>
                <c:pt idx="3">
                  <c:v>39904</c:v>
                </c:pt>
                <c:pt idx="4">
                  <c:v>39934</c:v>
                </c:pt>
                <c:pt idx="5">
                  <c:v>39965</c:v>
                </c:pt>
                <c:pt idx="6">
                  <c:v>39995</c:v>
                </c:pt>
                <c:pt idx="7">
                  <c:v>40026</c:v>
                </c:pt>
                <c:pt idx="8">
                  <c:v>40057</c:v>
                </c:pt>
                <c:pt idx="9">
                  <c:v>40087</c:v>
                </c:pt>
                <c:pt idx="10">
                  <c:v>40118</c:v>
                </c:pt>
                <c:pt idx="11">
                  <c:v>40148</c:v>
                </c:pt>
                <c:pt idx="12">
                  <c:v>40179</c:v>
                </c:pt>
                <c:pt idx="13">
                  <c:v>40210</c:v>
                </c:pt>
                <c:pt idx="14">
                  <c:v>40238</c:v>
                </c:pt>
                <c:pt idx="15">
                  <c:v>40269</c:v>
                </c:pt>
                <c:pt idx="16">
                  <c:v>40299</c:v>
                </c:pt>
                <c:pt idx="17">
                  <c:v>40330</c:v>
                </c:pt>
                <c:pt idx="18">
                  <c:v>40360</c:v>
                </c:pt>
                <c:pt idx="19">
                  <c:v>40391</c:v>
                </c:pt>
                <c:pt idx="20">
                  <c:v>40422</c:v>
                </c:pt>
                <c:pt idx="21">
                  <c:v>40452</c:v>
                </c:pt>
                <c:pt idx="22">
                  <c:v>40483</c:v>
                </c:pt>
                <c:pt idx="23">
                  <c:v>40513</c:v>
                </c:pt>
                <c:pt idx="24">
                  <c:v>43101</c:v>
                </c:pt>
                <c:pt idx="25">
                  <c:v>43132</c:v>
                </c:pt>
                <c:pt idx="26">
                  <c:v>43160</c:v>
                </c:pt>
                <c:pt idx="27">
                  <c:v>43191</c:v>
                </c:pt>
                <c:pt idx="28">
                  <c:v>43221</c:v>
                </c:pt>
                <c:pt idx="29">
                  <c:v>43252</c:v>
                </c:pt>
                <c:pt idx="30">
                  <c:v>43282</c:v>
                </c:pt>
                <c:pt idx="31">
                  <c:v>43313</c:v>
                </c:pt>
                <c:pt idx="32">
                  <c:v>43344</c:v>
                </c:pt>
                <c:pt idx="33">
                  <c:v>43374</c:v>
                </c:pt>
                <c:pt idx="34">
                  <c:v>43405</c:v>
                </c:pt>
                <c:pt idx="35">
                  <c:v>43435</c:v>
                </c:pt>
                <c:pt idx="36">
                  <c:v>43466</c:v>
                </c:pt>
                <c:pt idx="37">
                  <c:v>43497</c:v>
                </c:pt>
                <c:pt idx="38">
                  <c:v>43525</c:v>
                </c:pt>
                <c:pt idx="39">
                  <c:v>43556</c:v>
                </c:pt>
                <c:pt idx="40">
                  <c:v>43586</c:v>
                </c:pt>
                <c:pt idx="41">
                  <c:v>43617</c:v>
                </c:pt>
                <c:pt idx="42">
                  <c:v>43647</c:v>
                </c:pt>
                <c:pt idx="43">
                  <c:v>43678</c:v>
                </c:pt>
                <c:pt idx="44">
                  <c:v>43709</c:v>
                </c:pt>
                <c:pt idx="45">
                  <c:v>43739</c:v>
                </c:pt>
                <c:pt idx="46">
                  <c:v>43770</c:v>
                </c:pt>
                <c:pt idx="47">
                  <c:v>43800</c:v>
                </c:pt>
                <c:pt idx="48">
                  <c:v>43831</c:v>
                </c:pt>
                <c:pt idx="49">
                  <c:v>43862</c:v>
                </c:pt>
                <c:pt idx="50">
                  <c:v>43891</c:v>
                </c:pt>
                <c:pt idx="51">
                  <c:v>43922</c:v>
                </c:pt>
                <c:pt idx="52">
                  <c:v>43952</c:v>
                </c:pt>
                <c:pt idx="53">
                  <c:v>43983</c:v>
                </c:pt>
                <c:pt idx="54">
                  <c:v>44013</c:v>
                </c:pt>
                <c:pt idx="55">
                  <c:v>44044</c:v>
                </c:pt>
                <c:pt idx="56">
                  <c:v>44075</c:v>
                </c:pt>
                <c:pt idx="57">
                  <c:v>44105</c:v>
                </c:pt>
                <c:pt idx="58">
                  <c:v>44136</c:v>
                </c:pt>
                <c:pt idx="59">
                  <c:v>44166</c:v>
                </c:pt>
                <c:pt idx="60">
                  <c:v>44197</c:v>
                </c:pt>
                <c:pt idx="61">
                  <c:v>44228</c:v>
                </c:pt>
                <c:pt idx="62">
                  <c:v>44256</c:v>
                </c:pt>
                <c:pt idx="63">
                  <c:v>44287</c:v>
                </c:pt>
                <c:pt idx="64">
                  <c:v>44317</c:v>
                </c:pt>
                <c:pt idx="65">
                  <c:v>44348</c:v>
                </c:pt>
                <c:pt idx="66">
                  <c:v>44378</c:v>
                </c:pt>
                <c:pt idx="67">
                  <c:v>44409</c:v>
                </c:pt>
                <c:pt idx="68">
                  <c:v>44440</c:v>
                </c:pt>
                <c:pt idx="69">
                  <c:v>44470</c:v>
                </c:pt>
                <c:pt idx="70">
                  <c:v>44501</c:v>
                </c:pt>
                <c:pt idx="71">
                  <c:v>44531</c:v>
                </c:pt>
                <c:pt idx="72">
                  <c:v>44562</c:v>
                </c:pt>
                <c:pt idx="73">
                  <c:v>44593</c:v>
                </c:pt>
                <c:pt idx="74">
                  <c:v>44621</c:v>
                </c:pt>
                <c:pt idx="75">
                  <c:v>44652</c:v>
                </c:pt>
                <c:pt idx="76">
                  <c:v>44682</c:v>
                </c:pt>
                <c:pt idx="77">
                  <c:v>44713</c:v>
                </c:pt>
                <c:pt idx="78">
                  <c:v>44743</c:v>
                </c:pt>
                <c:pt idx="79">
                  <c:v>44774</c:v>
                </c:pt>
                <c:pt idx="80">
                  <c:v>44805</c:v>
                </c:pt>
                <c:pt idx="81">
                  <c:v>44835</c:v>
                </c:pt>
                <c:pt idx="82">
                  <c:v>44866</c:v>
                </c:pt>
                <c:pt idx="83">
                  <c:v>44896</c:v>
                </c:pt>
              </c:numCache>
            </c:numRef>
          </c:cat>
          <c:val>
            <c:numRef>
              <c:f>Hoja1!$C$2:$C$109</c:f>
              <c:numCache>
                <c:formatCode>0.0%</c:formatCode>
                <c:ptCount val="84"/>
                <c:pt idx="0">
                  <c:v>-0.2226333848859291</c:v>
                </c:pt>
                <c:pt idx="1">
                  <c:v>-0.22020372196818438</c:v>
                </c:pt>
                <c:pt idx="2">
                  <c:v>-0.20249029881186231</c:v>
                </c:pt>
                <c:pt idx="3">
                  <c:v>-0.22387964236713975</c:v>
                </c:pt>
                <c:pt idx="4">
                  <c:v>-0.22905139369172134</c:v>
                </c:pt>
                <c:pt idx="5">
                  <c:v>-0.21484332431980868</c:v>
                </c:pt>
                <c:pt idx="6">
                  <c:v>-0.1948804190340051</c:v>
                </c:pt>
                <c:pt idx="7">
                  <c:v>-0.1879673747906706</c:v>
                </c:pt>
                <c:pt idx="8">
                  <c:v>-0.17702852637991118</c:v>
                </c:pt>
                <c:pt idx="9">
                  <c:v>-0.16270991238634691</c:v>
                </c:pt>
                <c:pt idx="10">
                  <c:v>-0.14871846243637632</c:v>
                </c:pt>
                <c:pt idx="11">
                  <c:v>-0.13111148536189232</c:v>
                </c:pt>
                <c:pt idx="12">
                  <c:v>0.10657277126813791</c:v>
                </c:pt>
                <c:pt idx="13">
                  <c:v>9.2763833111325633E-2</c:v>
                </c:pt>
                <c:pt idx="14">
                  <c:v>0.12693307345715454</c:v>
                </c:pt>
                <c:pt idx="15">
                  <c:v>0.14983892143443089</c:v>
                </c:pt>
                <c:pt idx="16">
                  <c:v>0.16163170747994671</c:v>
                </c:pt>
                <c:pt idx="17">
                  <c:v>0.15999271647247681</c:v>
                </c:pt>
                <c:pt idx="18">
                  <c:v>0.13844362986217362</c:v>
                </c:pt>
                <c:pt idx="19">
                  <c:v>0.14459018596707218</c:v>
                </c:pt>
                <c:pt idx="20">
                  <c:v>0.14572426808623162</c:v>
                </c:pt>
                <c:pt idx="21">
                  <c:v>0.13066887664684135</c:v>
                </c:pt>
                <c:pt idx="22">
                  <c:v>0.13949655550673867</c:v>
                </c:pt>
                <c:pt idx="23">
                  <c:v>0.14577903824974126</c:v>
                </c:pt>
                <c:pt idx="24">
                  <c:v>8.3856014173852023E-2</c:v>
                </c:pt>
                <c:pt idx="25">
                  <c:v>7.2340311732032259E-2</c:v>
                </c:pt>
                <c:pt idx="26">
                  <c:v>2.8078972297937987E-2</c:v>
                </c:pt>
                <c:pt idx="27">
                  <c:v>8.8263205068506378E-2</c:v>
                </c:pt>
                <c:pt idx="28">
                  <c:v>9.9942194018473263E-2</c:v>
                </c:pt>
                <c:pt idx="29">
                  <c:v>9.0778243708949491E-2</c:v>
                </c:pt>
                <c:pt idx="30">
                  <c:v>9.6117993092632581E-2</c:v>
                </c:pt>
                <c:pt idx="31">
                  <c:v>9.362038133141648E-2</c:v>
                </c:pt>
                <c:pt idx="32">
                  <c:v>9.9634642430840969E-2</c:v>
                </c:pt>
                <c:pt idx="33">
                  <c:v>0.10646041863454814</c:v>
                </c:pt>
                <c:pt idx="34">
                  <c:v>9.5903636881582877E-2</c:v>
                </c:pt>
                <c:pt idx="35">
                  <c:v>8.7701990150353515E-2</c:v>
                </c:pt>
                <c:pt idx="36">
                  <c:v>0.14231067091366278</c:v>
                </c:pt>
                <c:pt idx="37">
                  <c:v>0.11052035471847166</c:v>
                </c:pt>
                <c:pt idx="38">
                  <c:v>0.11776701403870615</c:v>
                </c:pt>
                <c:pt idx="39">
                  <c:v>8.4371207706589679E-2</c:v>
                </c:pt>
                <c:pt idx="40">
                  <c:v>8.0291446384383569E-2</c:v>
                </c:pt>
                <c:pt idx="41">
                  <c:v>6.4402755717617888E-2</c:v>
                </c:pt>
                <c:pt idx="42">
                  <c:v>6.4084902736351479E-2</c:v>
                </c:pt>
                <c:pt idx="43">
                  <c:v>5.8328328182996048E-2</c:v>
                </c:pt>
                <c:pt idx="44">
                  <c:v>5.4179983367725004E-2</c:v>
                </c:pt>
                <c:pt idx="45">
                  <c:v>5.4293890454141902E-2</c:v>
                </c:pt>
                <c:pt idx="46">
                  <c:v>5.6123803819541074E-2</c:v>
                </c:pt>
                <c:pt idx="47">
                  <c:v>5.7210781442385228E-2</c:v>
                </c:pt>
                <c:pt idx="48">
                  <c:v>2.7905007283526517E-2</c:v>
                </c:pt>
                <c:pt idx="49">
                  <c:v>3.8650962860691473E-2</c:v>
                </c:pt>
                <c:pt idx="50">
                  <c:v>-1.1437467318872518E-2</c:v>
                </c:pt>
                <c:pt idx="51">
                  <c:v>-5.8413143875957307E-2</c:v>
                </c:pt>
                <c:pt idx="52">
                  <c:v>-0.11298967478449173</c:v>
                </c:pt>
                <c:pt idx="53">
                  <c:v>-0.11820865466328623</c:v>
                </c:pt>
                <c:pt idx="54">
                  <c:v>-0.12526525776931619</c:v>
                </c:pt>
                <c:pt idx="55">
                  <c:v>-0.12933173997672998</c:v>
                </c:pt>
                <c:pt idx="56">
                  <c:v>-0.11757513849863643</c:v>
                </c:pt>
                <c:pt idx="57">
                  <c:v>-0.11177856784291107</c:v>
                </c:pt>
                <c:pt idx="58">
                  <c:v>-0.10339874460764409</c:v>
                </c:pt>
                <c:pt idx="59">
                  <c:v>-8.0192460140194988E-2</c:v>
                </c:pt>
                <c:pt idx="60">
                  <c:v>-9.7761611690150296E-4</c:v>
                </c:pt>
                <c:pt idx="61">
                  <c:v>8.2291598464747429E-2</c:v>
                </c:pt>
                <c:pt idx="62">
                  <c:v>0.21007301892208607</c:v>
                </c:pt>
                <c:pt idx="63">
                  <c:v>0.30067838824985516</c:v>
                </c:pt>
                <c:pt idx="64">
                  <c:v>0.37199236660461699</c:v>
                </c:pt>
                <c:pt idx="65">
                  <c:v>0.41161224600746538</c:v>
                </c:pt>
                <c:pt idx="66">
                  <c:v>0.43891560660863926</c:v>
                </c:pt>
                <c:pt idx="67">
                  <c:v>0.45841954392154638</c:v>
                </c:pt>
                <c:pt idx="68">
                  <c:v>0.45663593297139782</c:v>
                </c:pt>
                <c:pt idx="69">
                  <c:v>0.45232250013522135</c:v>
                </c:pt>
                <c:pt idx="70">
                  <c:v>0.45138870000339537</c:v>
                </c:pt>
                <c:pt idx="71">
                  <c:v>0.43102791245264682</c:v>
                </c:pt>
                <c:pt idx="72">
                  <c:v>0.35802848994375602</c:v>
                </c:pt>
                <c:pt idx="73">
                  <c:v>0.3041359604226237</c:v>
                </c:pt>
                <c:pt idx="74">
                  <c:v>0.29750178282009454</c:v>
                </c:pt>
                <c:pt idx="75">
                  <c:v>0.27699320692097928</c:v>
                </c:pt>
                <c:pt idx="76">
                  <c:v>0.28111318823070808</c:v>
                </c:pt>
                <c:pt idx="77">
                  <c:v>0.28237311211709315</c:v>
                </c:pt>
                <c:pt idx="78">
                  <c:v>0.26275306676146659</c:v>
                </c:pt>
                <c:pt idx="79">
                  <c:v>0.26271522029927152</c:v>
                </c:pt>
                <c:pt idx="80">
                  <c:v>0.2571784509059154</c:v>
                </c:pt>
                <c:pt idx="81">
                  <c:v>0.23818597838368194</c:v>
                </c:pt>
                <c:pt idx="82">
                  <c:v>0.22080707212811523</c:v>
                </c:pt>
                <c:pt idx="83">
                  <c:v>0.20419552608880132</c:v>
                </c:pt>
              </c:numCache>
            </c:numRef>
          </c:val>
          <c:smooth val="0"/>
          <c:extLst>
            <c:ext xmlns:c16="http://schemas.microsoft.com/office/drawing/2014/chart" uri="{C3380CC4-5D6E-409C-BE32-E72D297353CC}">
              <c16:uniqueId val="{00000003-9583-47B7-B482-AF94EDCE552F}"/>
            </c:ext>
          </c:extLst>
        </c:ser>
        <c:ser>
          <c:idx val="2"/>
          <c:order val="2"/>
          <c:tx>
            <c:strRef>
              <c:f>Hoja1!$D$1</c:f>
              <c:strCache>
                <c:ptCount val="1"/>
                <c:pt idx="0">
                  <c:v>Totales</c:v>
                </c:pt>
              </c:strCache>
            </c:strRef>
          </c:tx>
          <c:spPr>
            <a:ln w="9525" cap="rnd">
              <a:solidFill>
                <a:schemeClr val="tx1"/>
              </a:solidFill>
              <a:round/>
            </a:ln>
            <a:effectLst/>
          </c:spPr>
          <c:marker>
            <c:symbol val="diamond"/>
            <c:size val="3"/>
            <c:spPr>
              <a:solidFill>
                <a:schemeClr val="bg1"/>
              </a:solidFill>
              <a:ln w="9525">
                <a:solidFill>
                  <a:schemeClr val="tx1"/>
                </a:solidFill>
              </a:ln>
              <a:effectLst/>
            </c:spPr>
          </c:marker>
          <c:dLbls>
            <c:dLbl>
              <c:idx val="83"/>
              <c:layout>
                <c:manualLayout>
                  <c:x val="-4.0613718411552348E-2"/>
                  <c:y val="-6.86037126715092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583-47B7-B482-AF94EDCE552F}"/>
                </c:ext>
              </c:extLst>
            </c:dLbl>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Hoja1!$A$2:$A$109</c:f>
              <c:numCache>
                <c:formatCode>mmm\-yy</c:formatCode>
                <c:ptCount val="84"/>
                <c:pt idx="0">
                  <c:v>39814</c:v>
                </c:pt>
                <c:pt idx="1">
                  <c:v>39845</c:v>
                </c:pt>
                <c:pt idx="2">
                  <c:v>39873</c:v>
                </c:pt>
                <c:pt idx="3">
                  <c:v>39904</c:v>
                </c:pt>
                <c:pt idx="4">
                  <c:v>39934</c:v>
                </c:pt>
                <c:pt idx="5">
                  <c:v>39965</c:v>
                </c:pt>
                <c:pt idx="6">
                  <c:v>39995</c:v>
                </c:pt>
                <c:pt idx="7">
                  <c:v>40026</c:v>
                </c:pt>
                <c:pt idx="8">
                  <c:v>40057</c:v>
                </c:pt>
                <c:pt idx="9">
                  <c:v>40087</c:v>
                </c:pt>
                <c:pt idx="10">
                  <c:v>40118</c:v>
                </c:pt>
                <c:pt idx="11">
                  <c:v>40148</c:v>
                </c:pt>
                <c:pt idx="12">
                  <c:v>40179</c:v>
                </c:pt>
                <c:pt idx="13">
                  <c:v>40210</c:v>
                </c:pt>
                <c:pt idx="14">
                  <c:v>40238</c:v>
                </c:pt>
                <c:pt idx="15">
                  <c:v>40269</c:v>
                </c:pt>
                <c:pt idx="16">
                  <c:v>40299</c:v>
                </c:pt>
                <c:pt idx="17">
                  <c:v>40330</c:v>
                </c:pt>
                <c:pt idx="18">
                  <c:v>40360</c:v>
                </c:pt>
                <c:pt idx="19">
                  <c:v>40391</c:v>
                </c:pt>
                <c:pt idx="20">
                  <c:v>40422</c:v>
                </c:pt>
                <c:pt idx="21">
                  <c:v>40452</c:v>
                </c:pt>
                <c:pt idx="22">
                  <c:v>40483</c:v>
                </c:pt>
                <c:pt idx="23">
                  <c:v>40513</c:v>
                </c:pt>
                <c:pt idx="24">
                  <c:v>43101</c:v>
                </c:pt>
                <c:pt idx="25">
                  <c:v>43132</c:v>
                </c:pt>
                <c:pt idx="26">
                  <c:v>43160</c:v>
                </c:pt>
                <c:pt idx="27">
                  <c:v>43191</c:v>
                </c:pt>
                <c:pt idx="28">
                  <c:v>43221</c:v>
                </c:pt>
                <c:pt idx="29">
                  <c:v>43252</c:v>
                </c:pt>
                <c:pt idx="30">
                  <c:v>43282</c:v>
                </c:pt>
                <c:pt idx="31">
                  <c:v>43313</c:v>
                </c:pt>
                <c:pt idx="32">
                  <c:v>43344</c:v>
                </c:pt>
                <c:pt idx="33">
                  <c:v>43374</c:v>
                </c:pt>
                <c:pt idx="34">
                  <c:v>43405</c:v>
                </c:pt>
                <c:pt idx="35">
                  <c:v>43435</c:v>
                </c:pt>
                <c:pt idx="36">
                  <c:v>43466</c:v>
                </c:pt>
                <c:pt idx="37">
                  <c:v>43497</c:v>
                </c:pt>
                <c:pt idx="38">
                  <c:v>43525</c:v>
                </c:pt>
                <c:pt idx="39">
                  <c:v>43556</c:v>
                </c:pt>
                <c:pt idx="40">
                  <c:v>43586</c:v>
                </c:pt>
                <c:pt idx="41">
                  <c:v>43617</c:v>
                </c:pt>
                <c:pt idx="42">
                  <c:v>43647</c:v>
                </c:pt>
                <c:pt idx="43">
                  <c:v>43678</c:v>
                </c:pt>
                <c:pt idx="44">
                  <c:v>43709</c:v>
                </c:pt>
                <c:pt idx="45">
                  <c:v>43739</c:v>
                </c:pt>
                <c:pt idx="46">
                  <c:v>43770</c:v>
                </c:pt>
                <c:pt idx="47">
                  <c:v>43800</c:v>
                </c:pt>
                <c:pt idx="48">
                  <c:v>43831</c:v>
                </c:pt>
                <c:pt idx="49">
                  <c:v>43862</c:v>
                </c:pt>
                <c:pt idx="50">
                  <c:v>43891</c:v>
                </c:pt>
                <c:pt idx="51">
                  <c:v>43922</c:v>
                </c:pt>
                <c:pt idx="52">
                  <c:v>43952</c:v>
                </c:pt>
                <c:pt idx="53">
                  <c:v>43983</c:v>
                </c:pt>
                <c:pt idx="54">
                  <c:v>44013</c:v>
                </c:pt>
                <c:pt idx="55">
                  <c:v>44044</c:v>
                </c:pt>
                <c:pt idx="56">
                  <c:v>44075</c:v>
                </c:pt>
                <c:pt idx="57">
                  <c:v>44105</c:v>
                </c:pt>
                <c:pt idx="58">
                  <c:v>44136</c:v>
                </c:pt>
                <c:pt idx="59">
                  <c:v>44166</c:v>
                </c:pt>
                <c:pt idx="60">
                  <c:v>44197</c:v>
                </c:pt>
                <c:pt idx="61">
                  <c:v>44228</c:v>
                </c:pt>
                <c:pt idx="62">
                  <c:v>44256</c:v>
                </c:pt>
                <c:pt idx="63">
                  <c:v>44287</c:v>
                </c:pt>
                <c:pt idx="64">
                  <c:v>44317</c:v>
                </c:pt>
                <c:pt idx="65">
                  <c:v>44348</c:v>
                </c:pt>
                <c:pt idx="66">
                  <c:v>44378</c:v>
                </c:pt>
                <c:pt idx="67">
                  <c:v>44409</c:v>
                </c:pt>
                <c:pt idx="68">
                  <c:v>44440</c:v>
                </c:pt>
                <c:pt idx="69">
                  <c:v>44470</c:v>
                </c:pt>
                <c:pt idx="70">
                  <c:v>44501</c:v>
                </c:pt>
                <c:pt idx="71">
                  <c:v>44531</c:v>
                </c:pt>
                <c:pt idx="72">
                  <c:v>44562</c:v>
                </c:pt>
                <c:pt idx="73">
                  <c:v>44593</c:v>
                </c:pt>
                <c:pt idx="74">
                  <c:v>44621</c:v>
                </c:pt>
                <c:pt idx="75">
                  <c:v>44652</c:v>
                </c:pt>
                <c:pt idx="76">
                  <c:v>44682</c:v>
                </c:pt>
                <c:pt idx="77">
                  <c:v>44713</c:v>
                </c:pt>
                <c:pt idx="78">
                  <c:v>44743</c:v>
                </c:pt>
                <c:pt idx="79">
                  <c:v>44774</c:v>
                </c:pt>
                <c:pt idx="80">
                  <c:v>44805</c:v>
                </c:pt>
                <c:pt idx="81">
                  <c:v>44835</c:v>
                </c:pt>
                <c:pt idx="82">
                  <c:v>44866</c:v>
                </c:pt>
                <c:pt idx="83">
                  <c:v>44896</c:v>
                </c:pt>
              </c:numCache>
            </c:numRef>
          </c:cat>
          <c:val>
            <c:numRef>
              <c:f>Hoja1!$D$2:$D$109</c:f>
              <c:numCache>
                <c:formatCode>0.0%</c:formatCode>
                <c:ptCount val="84"/>
                <c:pt idx="0">
                  <c:v>7.5462367320842105E-3</c:v>
                </c:pt>
                <c:pt idx="1">
                  <c:v>-4.9387351948698255E-2</c:v>
                </c:pt>
                <c:pt idx="2">
                  <c:v>-7.3373932567152522E-2</c:v>
                </c:pt>
                <c:pt idx="3">
                  <c:v>-8.4506677998720692E-2</c:v>
                </c:pt>
                <c:pt idx="4">
                  <c:v>-8.9839967246931773E-2</c:v>
                </c:pt>
                <c:pt idx="5">
                  <c:v>-7.796503381061215E-2</c:v>
                </c:pt>
                <c:pt idx="6">
                  <c:v>-7.6524530806233226E-2</c:v>
                </c:pt>
                <c:pt idx="7">
                  <c:v>-7.31446921721981E-2</c:v>
                </c:pt>
                <c:pt idx="8">
                  <c:v>-7.0116728178559629E-2</c:v>
                </c:pt>
                <c:pt idx="9">
                  <c:v>-6.2144390254875281E-2</c:v>
                </c:pt>
                <c:pt idx="10">
                  <c:v>-5.7910576975993333E-2</c:v>
                </c:pt>
                <c:pt idx="11">
                  <c:v>-4.6359290272709353E-2</c:v>
                </c:pt>
                <c:pt idx="12">
                  <c:v>5.5121909478959896E-2</c:v>
                </c:pt>
                <c:pt idx="13">
                  <c:v>7.2710813567027577E-2</c:v>
                </c:pt>
                <c:pt idx="14">
                  <c:v>7.2979297320476144E-2</c:v>
                </c:pt>
                <c:pt idx="15">
                  <c:v>8.5081107627293262E-2</c:v>
                </c:pt>
                <c:pt idx="16">
                  <c:v>9.264468772675305E-2</c:v>
                </c:pt>
                <c:pt idx="17">
                  <c:v>9.0723739282147164E-2</c:v>
                </c:pt>
                <c:pt idx="18">
                  <c:v>8.3793524997834323E-2</c:v>
                </c:pt>
                <c:pt idx="19">
                  <c:v>9.5257517919248302E-2</c:v>
                </c:pt>
                <c:pt idx="20">
                  <c:v>9.6694892530943433E-2</c:v>
                </c:pt>
                <c:pt idx="21">
                  <c:v>8.329181721174983E-2</c:v>
                </c:pt>
                <c:pt idx="22">
                  <c:v>8.963640629119074E-2</c:v>
                </c:pt>
                <c:pt idx="23">
                  <c:v>9.3054543821984748E-2</c:v>
                </c:pt>
                <c:pt idx="24">
                  <c:v>9.2493921006903346E-2</c:v>
                </c:pt>
                <c:pt idx="25">
                  <c:v>7.3698015702486463E-2</c:v>
                </c:pt>
                <c:pt idx="26">
                  <c:v>4.0016680576675512E-2</c:v>
                </c:pt>
                <c:pt idx="27">
                  <c:v>4.4581969858168868E-2</c:v>
                </c:pt>
                <c:pt idx="28">
                  <c:v>5.2144869251667503E-2</c:v>
                </c:pt>
                <c:pt idx="29">
                  <c:v>2.8817404101354249E-2</c:v>
                </c:pt>
                <c:pt idx="30">
                  <c:v>3.4246820315482429E-2</c:v>
                </c:pt>
                <c:pt idx="31">
                  <c:v>3.4375806237206374E-2</c:v>
                </c:pt>
                <c:pt idx="32">
                  <c:v>3.4947805171942736E-2</c:v>
                </c:pt>
                <c:pt idx="33">
                  <c:v>3.9075881160395953E-2</c:v>
                </c:pt>
                <c:pt idx="34">
                  <c:v>4.0706969971971763E-2</c:v>
                </c:pt>
                <c:pt idx="35">
                  <c:v>3.7950676594244781E-2</c:v>
                </c:pt>
                <c:pt idx="36">
                  <c:v>4.144229832341817E-2</c:v>
                </c:pt>
                <c:pt idx="37">
                  <c:v>3.8814875506469448E-2</c:v>
                </c:pt>
                <c:pt idx="38">
                  <c:v>4.6775539995209447E-2</c:v>
                </c:pt>
                <c:pt idx="39">
                  <c:v>4.110619818220318E-2</c:v>
                </c:pt>
                <c:pt idx="40">
                  <c:v>4.6238114373573946E-2</c:v>
                </c:pt>
                <c:pt idx="41">
                  <c:v>3.9980363745735659E-2</c:v>
                </c:pt>
                <c:pt idx="42">
                  <c:v>4.4113053319681628E-2</c:v>
                </c:pt>
                <c:pt idx="43">
                  <c:v>4.6214688048084929E-2</c:v>
                </c:pt>
                <c:pt idx="44">
                  <c:v>4.983811764446E-2</c:v>
                </c:pt>
                <c:pt idx="45">
                  <c:v>5.6811428030196343E-2</c:v>
                </c:pt>
                <c:pt idx="46">
                  <c:v>5.5622459797806112E-2</c:v>
                </c:pt>
                <c:pt idx="47">
                  <c:v>6.3878097653571775E-2</c:v>
                </c:pt>
                <c:pt idx="48">
                  <c:v>9.9930227400694793E-2</c:v>
                </c:pt>
                <c:pt idx="49">
                  <c:v>9.4955364780329843E-2</c:v>
                </c:pt>
                <c:pt idx="50">
                  <c:v>-3.3128637792832483E-2</c:v>
                </c:pt>
                <c:pt idx="51">
                  <c:v>1.0677030515781061E-2</c:v>
                </c:pt>
                <c:pt idx="52">
                  <c:v>-3.4557963525804203E-2</c:v>
                </c:pt>
                <c:pt idx="53">
                  <c:v>-5.3220955811382198E-2</c:v>
                </c:pt>
                <c:pt idx="54">
                  <c:v>-6.6850729747290227E-2</c:v>
                </c:pt>
                <c:pt idx="55">
                  <c:v>-7.2573203198649683E-2</c:v>
                </c:pt>
                <c:pt idx="56">
                  <c:v>-6.6011401647065537E-2</c:v>
                </c:pt>
                <c:pt idx="57">
                  <c:v>-4.8401549131182997E-2</c:v>
                </c:pt>
                <c:pt idx="58">
                  <c:v>-4.2858087798717692E-2</c:v>
                </c:pt>
                <c:pt idx="59">
                  <c:v>-3.6971244964329686E-2</c:v>
                </c:pt>
                <c:pt idx="60">
                  <c:v>4.6494902126083204E-2</c:v>
                </c:pt>
                <c:pt idx="61">
                  <c:v>7.1545054968904287E-2</c:v>
                </c:pt>
                <c:pt idx="62">
                  <c:v>0.23290641274254331</c:v>
                </c:pt>
                <c:pt idx="63">
                  <c:v>0.19573809126610486</c:v>
                </c:pt>
                <c:pt idx="64">
                  <c:v>0.23984810898328712</c:v>
                </c:pt>
                <c:pt idx="65">
                  <c:v>0.26538566620848791</c:v>
                </c:pt>
                <c:pt idx="66">
                  <c:v>0.29782719256067147</c:v>
                </c:pt>
                <c:pt idx="67">
                  <c:v>0.30328979233186715</c:v>
                </c:pt>
                <c:pt idx="68">
                  <c:v>0.29691188013712133</c:v>
                </c:pt>
                <c:pt idx="69">
                  <c:v>0.28305236265725098</c:v>
                </c:pt>
                <c:pt idx="70">
                  <c:v>0.27648503060633067</c:v>
                </c:pt>
                <c:pt idx="71">
                  <c:v>0.2938990490263258</c:v>
                </c:pt>
                <c:pt idx="72">
                  <c:v>0.12651947806173802</c:v>
                </c:pt>
                <c:pt idx="73">
                  <c:v>0.11776112850662801</c:v>
                </c:pt>
                <c:pt idx="74">
                  <c:v>0.15454181537735634</c:v>
                </c:pt>
                <c:pt idx="75">
                  <c:v>0.16477172262651441</c:v>
                </c:pt>
                <c:pt idx="76">
                  <c:v>0.16722287251972778</c:v>
                </c:pt>
                <c:pt idx="77">
                  <c:v>0.17401128449168146</c:v>
                </c:pt>
                <c:pt idx="78">
                  <c:v>0.17134182100907824</c:v>
                </c:pt>
                <c:pt idx="79">
                  <c:v>0.1721212945572137</c:v>
                </c:pt>
                <c:pt idx="80">
                  <c:v>0.17283906044041286</c:v>
                </c:pt>
                <c:pt idx="81">
                  <c:v>0.16284123847429655</c:v>
                </c:pt>
                <c:pt idx="82">
                  <c:v>0.16008364534048058</c:v>
                </c:pt>
                <c:pt idx="83">
                  <c:v>0.13528670076888427</c:v>
                </c:pt>
              </c:numCache>
            </c:numRef>
          </c:val>
          <c:smooth val="0"/>
          <c:extLst>
            <c:ext xmlns:c16="http://schemas.microsoft.com/office/drawing/2014/chart" uri="{C3380CC4-5D6E-409C-BE32-E72D297353CC}">
              <c16:uniqueId val="{00000005-9583-47B7-B482-AF94EDCE552F}"/>
            </c:ext>
          </c:extLst>
        </c:ser>
        <c:dLbls>
          <c:showLegendKey val="0"/>
          <c:showVal val="0"/>
          <c:showCatName val="0"/>
          <c:showSerName val="0"/>
          <c:showPercent val="0"/>
          <c:showBubbleSize val="0"/>
        </c:dLbls>
        <c:marker val="1"/>
        <c:smooth val="0"/>
        <c:axId val="1964381184"/>
        <c:axId val="1964383264"/>
      </c:lineChart>
      <c:catAx>
        <c:axId val="1964381184"/>
        <c:scaling>
          <c:orientation val="minMax"/>
        </c:scaling>
        <c:delete val="0"/>
        <c:axPos val="b"/>
        <c:numFmt formatCode="mmm\-yy" sourceLinked="1"/>
        <c:majorTickMark val="none"/>
        <c:min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5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964383264"/>
        <c:crosses val="autoZero"/>
        <c:auto val="0"/>
        <c:lblAlgn val="ctr"/>
        <c:lblOffset val="100"/>
        <c:noMultiLvlLbl val="0"/>
      </c:catAx>
      <c:valAx>
        <c:axId val="1964383264"/>
        <c:scaling>
          <c:orientation val="minMax"/>
        </c:scaling>
        <c:delete val="0"/>
        <c:axPos val="l"/>
        <c:majorGridlines>
          <c:spPr>
            <a:ln w="9525" cap="flat" cmpd="sng" algn="ctr">
              <a:solidFill>
                <a:schemeClr val="tx1">
                  <a:lumMod val="15000"/>
                  <a:lumOff val="85000"/>
                  <a:alpha val="50000"/>
                </a:schemeClr>
              </a:solidFill>
              <a:prstDash val="sysDot"/>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964381184"/>
        <c:crossesAt val="1"/>
        <c:crossBetween val="between"/>
      </c:valAx>
      <c:spPr>
        <a:noFill/>
        <a:ln>
          <a:noFill/>
        </a:ln>
        <a:effectLst/>
      </c:spPr>
    </c:plotArea>
    <c:legend>
      <c:legendPos val="b"/>
      <c:layout>
        <c:manualLayout>
          <c:xMode val="edge"/>
          <c:yMode val="edge"/>
          <c:x val="7.7264134853179456E-2"/>
          <c:y val="4.6116057526707464E-3"/>
          <c:w val="0.54254064925097356"/>
          <c:h val="0.10175544559393131"/>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4">
    <c:autoUpdate val="0"/>
  </c:externalData>
  <c:userShapes r:id="rId5"/>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0065637857482358E-2"/>
          <c:y val="2.0876531573986806E-2"/>
          <c:w val="0.98993436214251762"/>
          <c:h val="0.72083682753604905"/>
        </c:manualLayout>
      </c:layout>
      <c:barChart>
        <c:barDir val="col"/>
        <c:grouping val="clustered"/>
        <c:varyColors val="0"/>
        <c:ser>
          <c:idx val="3"/>
          <c:order val="3"/>
          <c:tx>
            <c:strRef>
              <c:f>Sheet1!$E$1</c:f>
              <c:strCache>
                <c:ptCount val="1"/>
                <c:pt idx="0">
                  <c:v>2021</c:v>
                </c:pt>
              </c:strCache>
            </c:strRef>
          </c:tx>
          <c:spPr>
            <a:solidFill>
              <a:schemeClr val="accent6">
                <a:lumMod val="60000"/>
              </a:schemeClr>
            </a:solidFill>
            <a:ln>
              <a:solidFill>
                <a:sysClr val="windowText" lastClr="000000"/>
              </a:solidFill>
              <a:prstDash val="sysDash"/>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2">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Sheet1!$A$2:$A$13</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Sheet1!$E$2:$E$13</c:f>
              <c:numCache>
                <c:formatCode>0.0</c:formatCode>
                <c:ptCount val="12"/>
                <c:pt idx="0">
                  <c:v>3.7189413058487304</c:v>
                </c:pt>
                <c:pt idx="1">
                  <c:v>6.1267370575853732</c:v>
                </c:pt>
                <c:pt idx="2">
                  <c:v>1.9518107242856928</c:v>
                </c:pt>
                <c:pt idx="3">
                  <c:v>11.31040113518587</c:v>
                </c:pt>
                <c:pt idx="4">
                  <c:v>6.3930371872600773</c:v>
                </c:pt>
                <c:pt idx="5">
                  <c:v>0.38854905082506264</c:v>
                </c:pt>
                <c:pt idx="6">
                  <c:v>1.4992457432228861</c:v>
                </c:pt>
                <c:pt idx="7">
                  <c:v>-1.4193223500163015</c:v>
                </c:pt>
                <c:pt idx="8">
                  <c:v>-4.3420352501965027</c:v>
                </c:pt>
                <c:pt idx="9">
                  <c:v>-5.6943807513343216</c:v>
                </c:pt>
                <c:pt idx="10">
                  <c:v>-3.3547814445017821</c:v>
                </c:pt>
                <c:pt idx="11">
                  <c:v>-3.7028426386675619</c:v>
                </c:pt>
              </c:numCache>
            </c:numRef>
          </c:val>
          <c:extLst>
            <c:ext xmlns:c16="http://schemas.microsoft.com/office/drawing/2014/chart" uri="{C3380CC4-5D6E-409C-BE32-E72D297353CC}">
              <c16:uniqueId val="{00000000-9453-459A-85DB-9B7768FA66CA}"/>
            </c:ext>
          </c:extLst>
        </c:ser>
        <c:ser>
          <c:idx val="4"/>
          <c:order val="4"/>
          <c:tx>
            <c:strRef>
              <c:f>Sheet1!$F$1</c:f>
              <c:strCache>
                <c:ptCount val="1"/>
                <c:pt idx="0">
                  <c:v>2022</c:v>
                </c:pt>
              </c:strCache>
            </c:strRef>
          </c:tx>
          <c:spPr>
            <a:solidFill>
              <a:schemeClr val="accent5">
                <a:lumMod val="60000"/>
              </a:schemeClr>
            </a:solidFill>
            <a:ln w="12700">
              <a:solidFill>
                <a:sysClr val="windowText" lastClr="000000"/>
              </a:solidFill>
              <a:prstDash val="sysDash"/>
            </a:ln>
            <a:effectLst/>
            <a:scene3d>
              <a:camera prst="orthographicFront"/>
              <a:lightRig rig="threePt" dir="t"/>
            </a:scene3d>
            <a:sp3d/>
          </c:spPr>
          <c:invertIfNegative val="0"/>
          <c:dPt>
            <c:idx val="12"/>
            <c:invertIfNegative val="0"/>
            <c:bubble3D val="0"/>
            <c:spPr>
              <a:solidFill>
                <a:srgbClr val="C00000"/>
              </a:solidFill>
              <a:ln w="12700">
                <a:solidFill>
                  <a:sysClr val="windowText" lastClr="000000"/>
                </a:solidFill>
                <a:prstDash val="sysDash"/>
              </a:ln>
              <a:effectLst/>
              <a:scene3d>
                <a:camera prst="orthographicFront"/>
                <a:lightRig rig="threePt" dir="t"/>
              </a:scene3d>
              <a:sp3d/>
            </c:spPr>
            <c:extLst>
              <c:ext xmlns:c16="http://schemas.microsoft.com/office/drawing/2014/chart" uri="{C3380CC4-5D6E-409C-BE32-E72D297353CC}">
                <c16:uniqueId val="{00000002-9453-459A-85DB-9B7768FA66CA}"/>
              </c:ext>
            </c:extLst>
          </c:dPt>
          <c:dLbls>
            <c:dLbl>
              <c:idx val="4"/>
              <c:layout>
                <c:manualLayout>
                  <c:x val="-2.0306630114732462E-3"/>
                  <c:y val="9.210223347916187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453-459A-85DB-9B7768FA66CA}"/>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Sheet1!$A$2:$A$13</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Sheet1!$F$2:$F$13</c:f>
              <c:numCache>
                <c:formatCode>0.0</c:formatCode>
                <c:ptCount val="12"/>
                <c:pt idx="0">
                  <c:v>9.5136409548139795</c:v>
                </c:pt>
                <c:pt idx="1">
                  <c:v>17.328752165433642</c:v>
                </c:pt>
                <c:pt idx="2">
                  <c:v>19.685141533238919</c:v>
                </c:pt>
                <c:pt idx="3">
                  <c:v>12.472865890464078</c:v>
                </c:pt>
                <c:pt idx="4">
                  <c:v>14.566464186412389</c:v>
                </c:pt>
                <c:pt idx="5">
                  <c:v>15.508254865892113</c:v>
                </c:pt>
                <c:pt idx="6">
                  <c:v>14.817577312031858</c:v>
                </c:pt>
                <c:pt idx="7">
                  <c:v>15.640396419967857</c:v>
                </c:pt>
                <c:pt idx="8">
                  <c:v>17.259325689435741</c:v>
                </c:pt>
                <c:pt idx="9">
                  <c:v>19.909327117635243</c:v>
                </c:pt>
                <c:pt idx="10">
                  <c:v>17.878039287757062</c:v>
                </c:pt>
                <c:pt idx="11">
                  <c:v>17.379407268578433</c:v>
                </c:pt>
              </c:numCache>
            </c:numRef>
          </c:val>
          <c:extLst>
            <c:ext xmlns:c16="http://schemas.microsoft.com/office/drawing/2014/chart" uri="{C3380CC4-5D6E-409C-BE32-E72D297353CC}">
              <c16:uniqueId val="{00000004-9453-459A-85DB-9B7768FA66CA}"/>
            </c:ext>
          </c:extLst>
        </c:ser>
        <c:dLbls>
          <c:showLegendKey val="0"/>
          <c:showVal val="0"/>
          <c:showCatName val="0"/>
          <c:showSerName val="0"/>
          <c:showPercent val="0"/>
          <c:showBubbleSize val="0"/>
        </c:dLbls>
        <c:gapWidth val="61"/>
        <c:axId val="176204032"/>
        <c:axId val="203491200"/>
      </c:barChart>
      <c:lineChart>
        <c:grouping val="standard"/>
        <c:varyColors val="0"/>
        <c:ser>
          <c:idx val="0"/>
          <c:order val="0"/>
          <c:tx>
            <c:strRef>
              <c:f>Sheet1!$B$1</c:f>
              <c:strCache>
                <c:ptCount val="1"/>
                <c:pt idx="0">
                  <c:v>2018</c:v>
                </c:pt>
              </c:strCache>
            </c:strRef>
          </c:tx>
          <c:spPr>
            <a:ln w="28575" cap="rnd" cmpd="sng" algn="ctr">
              <a:solidFill>
                <a:schemeClr val="accent6">
                  <a:shade val="95000"/>
                  <a:satMod val="105000"/>
                </a:schemeClr>
              </a:solidFill>
              <a:prstDash val="solid"/>
              <a:round/>
            </a:ln>
            <a:effectLst/>
          </c:spPr>
          <c:marker>
            <c:symbol val="none"/>
          </c:marker>
          <c:cat>
            <c:strRef>
              <c:f>Sheet1!$A$2:$A$13</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Sheet1!$B$2:$B$13</c:f>
              <c:numCache>
                <c:formatCode>General</c:formatCode>
                <c:ptCount val="12"/>
                <c:pt idx="0">
                  <c:v>1.7</c:v>
                </c:pt>
                <c:pt idx="1">
                  <c:v>3.2</c:v>
                </c:pt>
                <c:pt idx="2">
                  <c:v>3.2</c:v>
                </c:pt>
                <c:pt idx="3">
                  <c:v>3.9</c:v>
                </c:pt>
                <c:pt idx="4">
                  <c:v>3.6</c:v>
                </c:pt>
                <c:pt idx="5">
                  <c:v>7</c:v>
                </c:pt>
                <c:pt idx="6">
                  <c:v>7.4</c:v>
                </c:pt>
                <c:pt idx="7">
                  <c:v>8.5</c:v>
                </c:pt>
                <c:pt idx="8">
                  <c:v>8.4</c:v>
                </c:pt>
                <c:pt idx="9">
                  <c:v>8.6999999999999993</c:v>
                </c:pt>
                <c:pt idx="10">
                  <c:v>9.8000000000000007</c:v>
                </c:pt>
                <c:pt idx="11">
                  <c:v>8.1</c:v>
                </c:pt>
              </c:numCache>
            </c:numRef>
          </c:val>
          <c:smooth val="1"/>
          <c:extLst>
            <c:ext xmlns:c16="http://schemas.microsoft.com/office/drawing/2014/chart" uri="{C3380CC4-5D6E-409C-BE32-E72D297353CC}">
              <c16:uniqueId val="{00000005-9453-459A-85DB-9B7768FA66CA}"/>
            </c:ext>
          </c:extLst>
        </c:ser>
        <c:ser>
          <c:idx val="1"/>
          <c:order val="1"/>
          <c:tx>
            <c:strRef>
              <c:f>Sheet1!$C$1</c:f>
              <c:strCache>
                <c:ptCount val="1"/>
                <c:pt idx="0">
                  <c:v>2019</c:v>
                </c:pt>
              </c:strCache>
            </c:strRef>
          </c:tx>
          <c:spPr>
            <a:ln w="28575" cap="rnd" cmpd="sng" algn="ctr">
              <a:solidFill>
                <a:schemeClr val="accent1">
                  <a:lumMod val="75000"/>
                </a:schemeClr>
              </a:solidFill>
              <a:prstDash val="dash"/>
              <a:round/>
            </a:ln>
            <a:effectLst/>
          </c:spPr>
          <c:marker>
            <c:symbol val="none"/>
          </c:marker>
          <c:cat>
            <c:strRef>
              <c:f>Sheet1!$A$2:$A$13</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Sheet1!$C$2:$C$13</c:f>
              <c:numCache>
                <c:formatCode>General</c:formatCode>
                <c:ptCount val="12"/>
                <c:pt idx="0">
                  <c:v>20.7</c:v>
                </c:pt>
                <c:pt idx="1">
                  <c:v>17.600000000000001</c:v>
                </c:pt>
                <c:pt idx="2">
                  <c:v>18.2</c:v>
                </c:pt>
                <c:pt idx="3">
                  <c:v>20.7</c:v>
                </c:pt>
                <c:pt idx="4">
                  <c:v>17.600000000000001</c:v>
                </c:pt>
                <c:pt idx="5">
                  <c:v>16.5</c:v>
                </c:pt>
                <c:pt idx="6">
                  <c:v>14</c:v>
                </c:pt>
                <c:pt idx="7">
                  <c:v>13.1</c:v>
                </c:pt>
                <c:pt idx="8">
                  <c:v>13.2</c:v>
                </c:pt>
                <c:pt idx="9">
                  <c:v>13.1</c:v>
                </c:pt>
                <c:pt idx="10">
                  <c:v>11.4</c:v>
                </c:pt>
                <c:pt idx="11">
                  <c:v>9.8000000000000007</c:v>
                </c:pt>
              </c:numCache>
            </c:numRef>
          </c:val>
          <c:smooth val="1"/>
          <c:extLst>
            <c:ext xmlns:c16="http://schemas.microsoft.com/office/drawing/2014/chart" uri="{C3380CC4-5D6E-409C-BE32-E72D297353CC}">
              <c16:uniqueId val="{00000006-9453-459A-85DB-9B7768FA66CA}"/>
            </c:ext>
          </c:extLst>
        </c:ser>
        <c:ser>
          <c:idx val="2"/>
          <c:order val="2"/>
          <c:tx>
            <c:strRef>
              <c:f>Sheet1!$D$1</c:f>
              <c:strCache>
                <c:ptCount val="1"/>
                <c:pt idx="0">
                  <c:v>2020</c:v>
                </c:pt>
              </c:strCache>
            </c:strRef>
          </c:tx>
          <c:spPr>
            <a:ln w="28575" cap="rnd" cmpd="dbl" algn="ctr">
              <a:solidFill>
                <a:schemeClr val="accent4">
                  <a:shade val="95000"/>
                  <a:satMod val="105000"/>
                </a:schemeClr>
              </a:solidFill>
              <a:prstDash val="solid"/>
              <a:round/>
            </a:ln>
            <a:effectLst/>
          </c:spPr>
          <c:marker>
            <c:symbol val="none"/>
          </c:marker>
          <c:dLbls>
            <c:dLbl>
              <c:idx val="11"/>
              <c:layout>
                <c:manualLayout>
                  <c:x val="-1.2183978068839476E-2"/>
                  <c:y val="3.2235781717706677E-2"/>
                </c:manualLayout>
              </c:layout>
              <c:spPr>
                <a:solidFill>
                  <a:srgbClr val="7030A0"/>
                </a:solid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453-459A-85DB-9B7768FA66CA}"/>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Sheet1!$A$2:$A$13</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Sheet1!$D$2:$D$13</c:f>
              <c:numCache>
                <c:formatCode>0.0</c:formatCode>
                <c:ptCount val="12"/>
                <c:pt idx="0">
                  <c:v>4.8191861258905817</c:v>
                </c:pt>
                <c:pt idx="1">
                  <c:v>9.5655130970186519E-2</c:v>
                </c:pt>
                <c:pt idx="2">
                  <c:v>2.3974325379896584</c:v>
                </c:pt>
                <c:pt idx="3">
                  <c:v>-1.9848700717106169</c:v>
                </c:pt>
                <c:pt idx="4">
                  <c:v>4.2224631181484256</c:v>
                </c:pt>
                <c:pt idx="5">
                  <c:v>9.0680434021580965</c:v>
                </c:pt>
                <c:pt idx="6">
                  <c:v>10.232293442045986</c:v>
                </c:pt>
                <c:pt idx="7">
                  <c:v>12.533229099769343</c:v>
                </c:pt>
                <c:pt idx="8">
                  <c:v>14.872198669992656</c:v>
                </c:pt>
                <c:pt idx="9">
                  <c:v>14.678379762438269</c:v>
                </c:pt>
                <c:pt idx="10">
                  <c:v>15.472802612662733</c:v>
                </c:pt>
                <c:pt idx="11">
                  <c:v>17.151091678742532</c:v>
                </c:pt>
              </c:numCache>
            </c:numRef>
          </c:val>
          <c:smooth val="1"/>
          <c:extLst>
            <c:ext xmlns:c16="http://schemas.microsoft.com/office/drawing/2014/chart" uri="{C3380CC4-5D6E-409C-BE32-E72D297353CC}">
              <c16:uniqueId val="{00000008-9453-459A-85DB-9B7768FA66CA}"/>
            </c:ext>
          </c:extLst>
        </c:ser>
        <c:dLbls>
          <c:showLegendKey val="0"/>
          <c:showVal val="0"/>
          <c:showCatName val="0"/>
          <c:showSerName val="0"/>
          <c:showPercent val="0"/>
          <c:showBubbleSize val="0"/>
        </c:dLbls>
        <c:marker val="1"/>
        <c:smooth val="0"/>
        <c:axId val="176204032"/>
        <c:axId val="203491200"/>
      </c:lineChart>
      <c:catAx>
        <c:axId val="17620403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prstDash val="solid"/>
            <a:round/>
          </a:ln>
          <a:effectLst/>
        </c:spPr>
        <c:txPr>
          <a:bodyPr rot="-1920000" spcFirstLastPara="1" vertOverflow="ellipsis"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03491200"/>
        <c:crosses val="autoZero"/>
        <c:auto val="1"/>
        <c:lblAlgn val="ctr"/>
        <c:lblOffset val="100"/>
        <c:noMultiLvlLbl val="0"/>
      </c:catAx>
      <c:valAx>
        <c:axId val="203491200"/>
        <c:scaling>
          <c:orientation val="minMax"/>
        </c:scaling>
        <c:delete val="1"/>
        <c:axPos val="l"/>
        <c:numFmt formatCode="0.0" sourceLinked="1"/>
        <c:majorTickMark val="none"/>
        <c:minorTickMark val="none"/>
        <c:tickLblPos val="nextTo"/>
        <c:crossAx val="176204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noFill/>
      <a:prstDash val="solid"/>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930824838341236"/>
          <c:y val="0"/>
          <c:w val="0.71769559864080124"/>
          <c:h val="0.93305279690877119"/>
        </c:manualLayout>
      </c:layout>
      <c:barChart>
        <c:barDir val="bar"/>
        <c:grouping val="clustered"/>
        <c:varyColors val="0"/>
        <c:ser>
          <c:idx val="0"/>
          <c:order val="0"/>
          <c:tx>
            <c:strRef>
              <c:f>Sheet1!$B$1</c:f>
              <c:strCache>
                <c:ptCount val="1"/>
                <c:pt idx="0">
                  <c:v>2021</c:v>
                </c:pt>
              </c:strCache>
            </c:strRef>
          </c:tx>
          <c:spPr>
            <a:gradFill flip="none" rotWithShape="1">
              <a:gsLst>
                <a:gs pos="0">
                  <a:srgbClr val="FFC000"/>
                </a:gs>
                <a:gs pos="0">
                  <a:srgbClr val="FFC000">
                    <a:lumMod val="75000"/>
                  </a:srgbClr>
                </a:gs>
                <a:gs pos="0">
                  <a:srgbClr val="FFC000">
                    <a:lumMod val="40000"/>
                    <a:lumOff val="60000"/>
                  </a:srgbClr>
                </a:gs>
                <a:gs pos="0">
                  <a:srgbClr val="FFFF00"/>
                </a:gs>
                <a:gs pos="61000">
                  <a:srgbClr val="FFC000">
                    <a:lumMod val="60000"/>
                    <a:lumOff val="40000"/>
                  </a:srgbClr>
                </a:gs>
              </a:gsLst>
              <a:lin ang="5400000" scaled="1"/>
              <a:tileRect/>
            </a:gradFill>
            <a:ln>
              <a:noFill/>
            </a:ln>
            <a:effectLst/>
          </c:spPr>
          <c:invertIfNegative val="0"/>
          <c:dLbls>
            <c:dLbl>
              <c:idx val="6"/>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4">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6="http://schemas.microsoft.com/office/drawing/2014/chart" uri="{C3380CC4-5D6E-409C-BE32-E72D297353CC}">
                  <c16:uniqueId val="{00000000-1C61-4021-9E7B-7CC29E368627}"/>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4">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Sheet1!$A$2:$A$9</c:f>
              <c:strCache>
                <c:ptCount val="8"/>
                <c:pt idx="0">
                  <c:v>Inversión Financiera</c:v>
                </c:pt>
                <c:pt idx="1">
                  <c:v>Prestaciones a la S.S</c:v>
                </c:pt>
                <c:pt idx="2">
                  <c:v>Intereses </c:v>
                </c:pt>
                <c:pt idx="3">
                  <c:v>Inversión Real Directa </c:v>
                </c:pt>
                <c:pt idx="4">
                  <c:v>Remuneraciones </c:v>
                </c:pt>
                <c:pt idx="5">
                  <c:v>Trans. De Capital</c:v>
                </c:pt>
                <c:pt idx="6">
                  <c:v>Bienes y servicios </c:v>
                </c:pt>
                <c:pt idx="7">
                  <c:v>Trans. Corrientes</c:v>
                </c:pt>
              </c:strCache>
            </c:strRef>
          </c:cat>
          <c:val>
            <c:numRef>
              <c:f>Sheet1!$B$2:$B$9</c:f>
              <c:numCache>
                <c:formatCode>#,##0.0</c:formatCode>
                <c:ptCount val="8"/>
                <c:pt idx="0">
                  <c:v>-3085.2289436000001</c:v>
                </c:pt>
                <c:pt idx="1">
                  <c:v>160.20488341999953</c:v>
                </c:pt>
                <c:pt idx="2">
                  <c:v>1214.4533131700027</c:v>
                </c:pt>
                <c:pt idx="3">
                  <c:v>793.55096981999986</c:v>
                </c:pt>
                <c:pt idx="4">
                  <c:v>998.15668891999303</c:v>
                </c:pt>
                <c:pt idx="5">
                  <c:v>138.98680753999906</c:v>
                </c:pt>
                <c:pt idx="6">
                  <c:v>3765.8029696699978</c:v>
                </c:pt>
                <c:pt idx="7">
                  <c:v>-7460.689321019996</c:v>
                </c:pt>
              </c:numCache>
            </c:numRef>
          </c:val>
          <c:extLst>
            <c:ext xmlns:c16="http://schemas.microsoft.com/office/drawing/2014/chart" uri="{C3380CC4-5D6E-409C-BE32-E72D297353CC}">
              <c16:uniqueId val="{00000001-1C61-4021-9E7B-7CC29E368627}"/>
            </c:ext>
          </c:extLst>
        </c:ser>
        <c:ser>
          <c:idx val="1"/>
          <c:order val="1"/>
          <c:tx>
            <c:strRef>
              <c:f>Sheet1!$C$1</c:f>
              <c:strCache>
                <c:ptCount val="1"/>
                <c:pt idx="0">
                  <c:v>2022</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10800000" scaled="1"/>
              <a:tileRect/>
            </a:gradFill>
            <a:ln>
              <a:noFill/>
            </a:ln>
            <a:effectLst/>
          </c:spPr>
          <c:invertIfNegative val="0"/>
          <c:dLbls>
            <c:dLbl>
              <c:idx val="0"/>
              <c:layout>
                <c:manualLayout>
                  <c:x val="-4.4516889478965378E-3"/>
                  <c:y val="-7.936507936508081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C61-4021-9E7B-7CC29E368627}"/>
                </c:ext>
              </c:extLst>
            </c:dLbl>
            <c:dLbl>
              <c:idx val="7"/>
              <c:layout>
                <c:manualLayout>
                  <c:x val="-1.131477709889115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C61-4021-9E7B-7CC29E368627}"/>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3">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Sheet1!$A$2:$A$9</c:f>
              <c:strCache>
                <c:ptCount val="8"/>
                <c:pt idx="0">
                  <c:v>Inversión Financiera</c:v>
                </c:pt>
                <c:pt idx="1">
                  <c:v>Prestaciones a la S.S</c:v>
                </c:pt>
                <c:pt idx="2">
                  <c:v>Intereses </c:v>
                </c:pt>
                <c:pt idx="3">
                  <c:v>Inversión Real Directa </c:v>
                </c:pt>
                <c:pt idx="4">
                  <c:v>Remuneraciones </c:v>
                </c:pt>
                <c:pt idx="5">
                  <c:v>Trans. De Capital</c:v>
                </c:pt>
                <c:pt idx="6">
                  <c:v>Bienes y servicios </c:v>
                </c:pt>
                <c:pt idx="7">
                  <c:v>Trans. Corrientes</c:v>
                </c:pt>
              </c:strCache>
            </c:strRef>
          </c:cat>
          <c:val>
            <c:numRef>
              <c:f>Sheet1!$C$2:$C$9</c:f>
              <c:numCache>
                <c:formatCode>#,##0.0</c:formatCode>
                <c:ptCount val="8"/>
                <c:pt idx="0">
                  <c:v>-225.56050658999999</c:v>
                </c:pt>
                <c:pt idx="1">
                  <c:v>415.74622973000078</c:v>
                </c:pt>
                <c:pt idx="2">
                  <c:v>726.37922564999826</c:v>
                </c:pt>
                <c:pt idx="3">
                  <c:v>888.25381561999939</c:v>
                </c:pt>
                <c:pt idx="4">
                  <c:v>1313.7182690200025</c:v>
                </c:pt>
                <c:pt idx="5">
                  <c:v>1975.2340180499978</c:v>
                </c:pt>
                <c:pt idx="6">
                  <c:v>3875.9207500800039</c:v>
                </c:pt>
                <c:pt idx="7">
                  <c:v>6579.3687616600037</c:v>
                </c:pt>
              </c:numCache>
            </c:numRef>
          </c:val>
          <c:extLst>
            <c:ext xmlns:c16="http://schemas.microsoft.com/office/drawing/2014/chart" uri="{C3380CC4-5D6E-409C-BE32-E72D297353CC}">
              <c16:uniqueId val="{00000004-1C61-4021-9E7B-7CC29E368627}"/>
            </c:ext>
          </c:extLst>
        </c:ser>
        <c:dLbls>
          <c:showLegendKey val="0"/>
          <c:showVal val="0"/>
          <c:showCatName val="0"/>
          <c:showSerName val="0"/>
          <c:showPercent val="0"/>
          <c:showBubbleSize val="0"/>
        </c:dLbls>
        <c:gapWidth val="62"/>
        <c:overlap val="-58"/>
        <c:axId val="168376192"/>
        <c:axId val="168377728"/>
      </c:barChart>
      <c:catAx>
        <c:axId val="168376192"/>
        <c:scaling>
          <c:orientation val="minMax"/>
        </c:scaling>
        <c:delete val="0"/>
        <c:axPos val="l"/>
        <c:numFmt formatCode="General" sourceLinked="1"/>
        <c:majorTickMark val="none"/>
        <c:minorTickMark val="none"/>
        <c:tickLblPos val="low"/>
        <c:spPr>
          <a:noFill/>
          <a:ln w="19050"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800" b="1" i="0" u="none" strike="noStrike" kern="120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es-GT"/>
          </a:p>
        </c:txPr>
        <c:crossAx val="168377728"/>
        <c:crosses val="autoZero"/>
        <c:auto val="1"/>
        <c:lblAlgn val="ctr"/>
        <c:lblOffset val="100"/>
        <c:noMultiLvlLbl val="0"/>
      </c:catAx>
      <c:valAx>
        <c:axId val="168377728"/>
        <c:scaling>
          <c:orientation val="minMax"/>
          <c:max val="9500"/>
          <c:min val="-8500"/>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68376192"/>
        <c:crosses val="autoZero"/>
        <c:crossBetween val="between"/>
        <c:majorUnit val="3000"/>
      </c:valAx>
      <c:spPr>
        <a:pattFill prst="lgGrid">
          <a:fgClr>
            <a:schemeClr val="bg1">
              <a:lumMod val="85000"/>
            </a:schemeClr>
          </a:fgClr>
          <a:bgClr>
            <a:schemeClr val="bg1"/>
          </a:bgClr>
        </a:pattFill>
        <a:ln>
          <a:noFill/>
        </a:ln>
        <a:effectLst/>
      </c:spPr>
    </c:plotArea>
    <c:legend>
      <c:legendPos val="b"/>
      <c:layout>
        <c:manualLayout>
          <c:xMode val="edge"/>
          <c:yMode val="edge"/>
          <c:x val="0.74722378134505085"/>
          <c:y val="0.36776574803149598"/>
          <c:w val="0.1708757637474542"/>
          <c:h val="6.7549151842130839E-2"/>
        </c:manualLayout>
      </c:layout>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665588998361684E-2"/>
          <c:y val="4.3650793650793648E-2"/>
          <c:w val="0.8595059591625942"/>
          <c:h val="0.84310647708393693"/>
        </c:manualLayout>
      </c:layout>
      <c:barChart>
        <c:barDir val="col"/>
        <c:grouping val="clustered"/>
        <c:varyColors val="0"/>
        <c:ser>
          <c:idx val="0"/>
          <c:order val="0"/>
          <c:tx>
            <c:strRef>
              <c:f>Sheet1!$B$1</c:f>
              <c:strCache>
                <c:ptCount val="1"/>
                <c:pt idx="0">
                  <c:v>Column2</c:v>
                </c:pt>
              </c:strCache>
            </c:strRef>
          </c:tx>
          <c:spPr>
            <a:solidFill>
              <a:srgbClr val="7030A0">
                <a:alpha val="24000"/>
              </a:srgbClr>
            </a:solidFill>
            <a:ln w="22225">
              <a:solidFill>
                <a:sysClr val="windowText" lastClr="000000">
                  <a:lumMod val="95000"/>
                  <a:lumOff val="5000"/>
                </a:sysClr>
              </a:solidFill>
            </a:ln>
            <a:effectLst>
              <a:outerShdw blurRad="50800" dist="38100" dir="18900000" algn="bl" rotWithShape="0">
                <a:prstClr val="black">
                  <a:alpha val="40000"/>
                </a:prstClr>
              </a:outerShdw>
            </a:effectLst>
            <a:scene3d>
              <a:camera prst="orthographicFront"/>
              <a:lightRig rig="threePt" dir="t"/>
            </a:scene3d>
            <a:sp3d/>
          </c:spPr>
          <c:invertIfNegative val="0"/>
          <c:dLbls>
            <c:dLbl>
              <c:idx val="1"/>
              <c:layout>
                <c:manualLayout>
                  <c:x val="-4.2266562645645624E-17"/>
                  <c:y val="-5.001301944848882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AAB-40AB-937E-863A12FA4F32}"/>
                </c:ext>
              </c:extLst>
            </c:dLbl>
            <c:dLbl>
              <c:idx val="2"/>
              <c:layout>
                <c:manualLayout>
                  <c:x val="0"/>
                  <c:y val="-2.969534490536144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AAB-40AB-937E-863A12FA4F32}"/>
                </c:ext>
              </c:extLst>
            </c:dLbl>
            <c:dLbl>
              <c:idx val="3"/>
              <c:layout>
                <c:manualLayout>
                  <c:x val="-2.3054755043228512E-3"/>
                  <c:y val="9.916785553179777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AAB-40AB-937E-863A12FA4F32}"/>
                </c:ext>
              </c:extLst>
            </c:dLbl>
            <c:dLbl>
              <c:idx val="4"/>
              <c:layout>
                <c:manualLayout>
                  <c:x val="-8.4533125291291247E-17"/>
                  <c:y val="-2.138857002446274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AAB-40AB-937E-863A12FA4F32}"/>
                </c:ext>
              </c:extLst>
            </c:dLbl>
            <c:dLbl>
              <c:idx val="5"/>
              <c:layout>
                <c:manualLayout>
                  <c:x val="-4.6109510086455334E-3"/>
                  <c:y val="0.1565773887020526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AAB-40AB-937E-863A12FA4F32}"/>
                </c:ext>
              </c:extLst>
            </c:dLbl>
            <c:numFmt formatCode="&quot;Q&quot;#,##0.0" sourceLinked="0"/>
            <c:spPr>
              <a:noFill/>
              <a:ln>
                <a:noFill/>
              </a:ln>
              <a:effectLst/>
            </c:spPr>
            <c:txPr>
              <a:bodyPr rot="-5400000" spcFirstLastPara="1" vertOverflow="ellipsis" wrap="square" lIns="38100" tIns="19050" rIns="38100" bIns="19050" anchor="ctr" anchorCtr="1">
                <a:spAutoFit/>
              </a:bodyPr>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Gobernación</c:v>
                </c:pt>
                <c:pt idx="1">
                  <c:v>Salud Pública</c:v>
                </c:pt>
                <c:pt idx="2">
                  <c:v>Defensa </c:v>
                </c:pt>
                <c:pt idx="3">
                  <c:v>Comunicaciones</c:v>
                </c:pt>
                <c:pt idx="4">
                  <c:v>Agricultura</c:v>
                </c:pt>
                <c:pt idx="5">
                  <c:v>Economía</c:v>
                </c:pt>
              </c:strCache>
            </c:strRef>
          </c:cat>
          <c:val>
            <c:numRef>
              <c:f>Sheet1!$B$2:$B$7</c:f>
              <c:numCache>
                <c:formatCode>#,##0.0</c:formatCode>
                <c:ptCount val="6"/>
                <c:pt idx="0">
                  <c:v>180.88195755999999</c:v>
                </c:pt>
                <c:pt idx="1">
                  <c:v>30.87448448</c:v>
                </c:pt>
                <c:pt idx="2">
                  <c:v>30.152205889999998</c:v>
                </c:pt>
                <c:pt idx="3">
                  <c:v>13.214605839999999</c:v>
                </c:pt>
                <c:pt idx="4">
                  <c:v>5.5838416100000003</c:v>
                </c:pt>
                <c:pt idx="5">
                  <c:v>-8.429818999999994E-2</c:v>
                </c:pt>
              </c:numCache>
            </c:numRef>
          </c:val>
          <c:extLst>
            <c:ext xmlns:c16="http://schemas.microsoft.com/office/drawing/2014/chart" uri="{C3380CC4-5D6E-409C-BE32-E72D297353CC}">
              <c16:uniqueId val="{00000005-DAAB-40AB-937E-863A12FA4F32}"/>
            </c:ext>
          </c:extLst>
        </c:ser>
        <c:dLbls>
          <c:showLegendKey val="0"/>
          <c:showVal val="0"/>
          <c:showCatName val="0"/>
          <c:showSerName val="0"/>
          <c:showPercent val="0"/>
          <c:showBubbleSize val="0"/>
        </c:dLbls>
        <c:gapWidth val="115"/>
        <c:axId val="168408576"/>
        <c:axId val="168410112"/>
      </c:barChart>
      <c:lineChart>
        <c:grouping val="standard"/>
        <c:varyColors val="0"/>
        <c:ser>
          <c:idx val="1"/>
          <c:order val="1"/>
          <c:tx>
            <c:strRef>
              <c:f>Sheet1!$C$1</c:f>
              <c:strCache>
                <c:ptCount val="1"/>
                <c:pt idx="0">
                  <c:v>%</c:v>
                </c:pt>
              </c:strCache>
            </c:strRef>
          </c:tx>
          <c:spPr>
            <a:ln w="25400" cap="rnd">
              <a:noFill/>
              <a:round/>
            </a:ln>
            <a:effectLst/>
          </c:spPr>
          <c:marker>
            <c:symbol val="dash"/>
            <c:size val="11"/>
            <c:spPr>
              <a:solidFill>
                <a:srgbClr val="7030A0"/>
              </a:solidFill>
              <a:ln w="6350">
                <a:solidFill>
                  <a:schemeClr val="tx1"/>
                </a:solidFill>
                <a:round/>
              </a:ln>
              <a:effectLst/>
            </c:spPr>
          </c:marker>
          <c:dLbls>
            <c:dLbl>
              <c:idx val="0"/>
              <c:layout>
                <c:manualLayout>
                  <c:x val="1.3888946878758333E-2"/>
                  <c:y val="-1.6041060773318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AAB-40AB-937E-863A12FA4F32}"/>
                </c:ext>
              </c:extLst>
            </c:dLbl>
            <c:dLbl>
              <c:idx val="1"/>
              <c:layout>
                <c:manualLayout>
                  <c:x val="-2.215820961666338E-3"/>
                  <c:y val="-1.00603621730383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AAB-40AB-937E-863A12FA4F32}"/>
                </c:ext>
              </c:extLst>
            </c:dLbl>
            <c:dLbl>
              <c:idx val="2"/>
              <c:layout>
                <c:manualLayout>
                  <c:x val="-2.3695568313326829E-3"/>
                  <c:y val="-1.88180541242312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AAB-40AB-937E-863A12FA4F32}"/>
                </c:ext>
              </c:extLst>
            </c:dLbl>
            <c:dLbl>
              <c:idx val="4"/>
              <c:layout>
                <c:manualLayout>
                  <c:x val="-5.3025936599423548E-2"/>
                  <c:y val="-4.65766185374941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AAB-40AB-937E-863A12FA4F32}"/>
                </c:ext>
              </c:extLst>
            </c:dLbl>
            <c:dLbl>
              <c:idx val="5"/>
              <c:layout>
                <c:manualLayout>
                  <c:x val="-9.9135446685878967E-2"/>
                  <c:y val="-2.79459711224965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AAB-40AB-937E-863A12FA4F3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Gobernación</c:v>
                </c:pt>
                <c:pt idx="1">
                  <c:v>Salud Pública</c:v>
                </c:pt>
                <c:pt idx="2">
                  <c:v>Defensa </c:v>
                </c:pt>
                <c:pt idx="3">
                  <c:v>Comunicaciones</c:v>
                </c:pt>
                <c:pt idx="4">
                  <c:v>Agricultura</c:v>
                </c:pt>
                <c:pt idx="5">
                  <c:v>Economía</c:v>
                </c:pt>
              </c:strCache>
            </c:strRef>
          </c:cat>
          <c:val>
            <c:numRef>
              <c:f>Sheet1!$C$2:$C$7</c:f>
              <c:numCache>
                <c:formatCode>0.0%</c:formatCode>
                <c:ptCount val="6"/>
                <c:pt idx="0">
                  <c:v>1.7310000000000001</c:v>
                </c:pt>
                <c:pt idx="1">
                  <c:v>0.70499999999999996</c:v>
                </c:pt>
                <c:pt idx="2">
                  <c:v>0.57299999999999995</c:v>
                </c:pt>
                <c:pt idx="3">
                  <c:v>3.7069999999999999</c:v>
                </c:pt>
                <c:pt idx="4">
                  <c:v>2.0720000000000001</c:v>
                </c:pt>
                <c:pt idx="5">
                  <c:v>-5.8999999999999997E-2</c:v>
                </c:pt>
              </c:numCache>
            </c:numRef>
          </c:val>
          <c:smooth val="0"/>
          <c:extLst>
            <c:ext xmlns:c16="http://schemas.microsoft.com/office/drawing/2014/chart" uri="{C3380CC4-5D6E-409C-BE32-E72D297353CC}">
              <c16:uniqueId val="{0000000B-DAAB-40AB-937E-863A12FA4F32}"/>
            </c:ext>
          </c:extLst>
        </c:ser>
        <c:dLbls>
          <c:showLegendKey val="0"/>
          <c:showVal val="0"/>
          <c:showCatName val="0"/>
          <c:showSerName val="0"/>
          <c:showPercent val="0"/>
          <c:showBubbleSize val="0"/>
        </c:dLbls>
        <c:marker val="1"/>
        <c:smooth val="0"/>
        <c:axId val="168413440"/>
        <c:axId val="168411904"/>
      </c:lineChart>
      <c:catAx>
        <c:axId val="16840857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1"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68410112"/>
        <c:crosses val="autoZero"/>
        <c:auto val="1"/>
        <c:lblAlgn val="ctr"/>
        <c:lblOffset val="100"/>
        <c:noMultiLvlLbl val="0"/>
      </c:catAx>
      <c:valAx>
        <c:axId val="168410112"/>
        <c:scaling>
          <c:orientation val="minMax"/>
          <c:max val="200"/>
          <c:min val="-5"/>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68408576"/>
        <c:crosses val="autoZero"/>
        <c:crossBetween val="between"/>
      </c:valAx>
      <c:valAx>
        <c:axId val="168411904"/>
        <c:scaling>
          <c:orientation val="minMax"/>
          <c:max val="4"/>
          <c:min val="-0.2"/>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68413440"/>
        <c:crosses val="max"/>
        <c:crossBetween val="between"/>
      </c:valAx>
      <c:catAx>
        <c:axId val="168413440"/>
        <c:scaling>
          <c:orientation val="minMax"/>
        </c:scaling>
        <c:delete val="1"/>
        <c:axPos val="b"/>
        <c:numFmt formatCode="General" sourceLinked="1"/>
        <c:majorTickMark val="out"/>
        <c:minorTickMark val="none"/>
        <c:tickLblPos val="nextTo"/>
        <c:crossAx val="168411904"/>
        <c:crosses val="autoZero"/>
        <c:auto val="1"/>
        <c:lblAlgn val="ctr"/>
        <c:lblOffset val="100"/>
        <c:noMultiLvlLbl val="0"/>
      </c:catAx>
      <c:spPr>
        <a:solidFill>
          <a:srgbClr val="7030A0">
            <a:alpha val="10000"/>
          </a:srgbClr>
        </a:solidFill>
        <a:ln>
          <a:noFill/>
        </a:ln>
        <a:effectLst/>
      </c:spPr>
    </c:plotArea>
    <c:plotVisOnly val="1"/>
    <c:dispBlanksAs val="gap"/>
    <c:showDLblsOverMax val="0"/>
  </c:chart>
  <c:spPr>
    <a:no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7008123475400616E-2"/>
          <c:y val="8.8467590649914843E-2"/>
          <c:w val="0.9090413087366116"/>
          <c:h val="0.6461137505491138"/>
        </c:manualLayout>
      </c:layout>
      <c:barChart>
        <c:barDir val="col"/>
        <c:grouping val="stacked"/>
        <c:varyColors val="0"/>
        <c:ser>
          <c:idx val="0"/>
          <c:order val="0"/>
          <c:tx>
            <c:strRef>
              <c:f>Hoja1!$A$2</c:f>
              <c:strCache>
                <c:ptCount val="1"/>
                <c:pt idx="0">
                  <c:v>Personal 029</c:v>
                </c:pt>
              </c:strCache>
            </c:strRef>
          </c:tx>
          <c:spPr>
            <a:solidFill>
              <a:srgbClr val="5B9BD5">
                <a:lumMod val="50000"/>
              </a:srgbClr>
            </a:solidFill>
            <a:ln>
              <a:solidFill>
                <a:schemeClr val="tx1"/>
              </a:solidFill>
            </a:ln>
            <a:effectLst/>
          </c:spPr>
          <c:invertIfNegative val="0"/>
          <c:dLbls>
            <c:dLbl>
              <c:idx val="2"/>
              <c:layout>
                <c:manualLayout>
                  <c:x val="0"/>
                  <c:y val="-1.23762376237623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827-4ACA-9A37-CB2AA17DE690}"/>
                </c:ext>
              </c:extLst>
            </c:dLbl>
            <c:numFmt formatCode="#,##0.0" sourceLinked="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Hoja1!$B$1:$E$1</c:f>
              <c:strCache>
                <c:ptCount val="4"/>
                <c:pt idx="0">
                  <c:v>2019</c:v>
                </c:pt>
                <c:pt idx="1">
                  <c:v>2020</c:v>
                </c:pt>
                <c:pt idx="2">
                  <c:v>2021</c:v>
                </c:pt>
                <c:pt idx="3">
                  <c:v>2022</c:v>
                </c:pt>
              </c:strCache>
            </c:strRef>
          </c:cat>
          <c:val>
            <c:numRef>
              <c:f>Hoja1!$B$2:$E$2</c:f>
              <c:numCache>
                <c:formatCode>#,##0.0</c:formatCode>
                <c:ptCount val="4"/>
                <c:pt idx="0">
                  <c:v>1638.8516405700002</c:v>
                </c:pt>
                <c:pt idx="1">
                  <c:v>1401.8059883799999</c:v>
                </c:pt>
                <c:pt idx="2">
                  <c:v>1473.6583225900001</c:v>
                </c:pt>
                <c:pt idx="3">
                  <c:v>1588.4437810899999</c:v>
                </c:pt>
              </c:numCache>
            </c:numRef>
          </c:val>
          <c:extLst>
            <c:ext xmlns:c16="http://schemas.microsoft.com/office/drawing/2014/chart" uri="{C3380CC4-5D6E-409C-BE32-E72D297353CC}">
              <c16:uniqueId val="{00000001-5827-4ACA-9A37-CB2AA17DE690}"/>
            </c:ext>
          </c:extLst>
        </c:ser>
        <c:ser>
          <c:idx val="1"/>
          <c:order val="1"/>
          <c:tx>
            <c:strRef>
              <c:f>Hoja1!$A$3</c:f>
              <c:strCache>
                <c:ptCount val="1"/>
                <c:pt idx="0">
                  <c:v>Subgrupo 18 (sin incluir salud)</c:v>
                </c:pt>
              </c:strCache>
            </c:strRef>
          </c:tx>
          <c:spPr>
            <a:solidFill>
              <a:srgbClr val="70AD47">
                <a:lumMod val="50000"/>
              </a:srgb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Hoja1!$B$1:$E$1</c:f>
              <c:strCache>
                <c:ptCount val="4"/>
                <c:pt idx="0">
                  <c:v>2019</c:v>
                </c:pt>
                <c:pt idx="1">
                  <c:v>2020</c:v>
                </c:pt>
                <c:pt idx="2">
                  <c:v>2021</c:v>
                </c:pt>
                <c:pt idx="3">
                  <c:v>2022</c:v>
                </c:pt>
              </c:strCache>
            </c:strRef>
          </c:cat>
          <c:val>
            <c:numRef>
              <c:f>Hoja1!$B$3:$E$3</c:f>
              <c:numCache>
                <c:formatCode>#,##0.0</c:formatCode>
                <c:ptCount val="4"/>
                <c:pt idx="0">
                  <c:v>1048.0346643099999</c:v>
                </c:pt>
                <c:pt idx="1">
                  <c:v>798.23540684</c:v>
                </c:pt>
                <c:pt idx="2">
                  <c:v>1015.78207983</c:v>
                </c:pt>
                <c:pt idx="3">
                  <c:v>1240.9628748499997</c:v>
                </c:pt>
              </c:numCache>
            </c:numRef>
          </c:val>
          <c:extLst>
            <c:ext xmlns:c16="http://schemas.microsoft.com/office/drawing/2014/chart" uri="{C3380CC4-5D6E-409C-BE32-E72D297353CC}">
              <c16:uniqueId val="{00000002-5827-4ACA-9A37-CB2AA17DE690}"/>
            </c:ext>
          </c:extLst>
        </c:ser>
        <c:ser>
          <c:idx val="2"/>
          <c:order val="2"/>
          <c:tx>
            <c:strRef>
              <c:f>Hoja1!$A$4</c:f>
              <c:strCache>
                <c:ptCount val="1"/>
                <c:pt idx="0">
                  <c:v>Combustibles</c:v>
                </c:pt>
              </c:strCache>
            </c:strRef>
          </c:tx>
          <c:spPr>
            <a:solidFill>
              <a:srgbClr val="A5A5A5">
                <a:lumMod val="75000"/>
              </a:srgb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Hoja1!$B$1:$E$1</c:f>
              <c:strCache>
                <c:ptCount val="4"/>
                <c:pt idx="0">
                  <c:v>2019</c:v>
                </c:pt>
                <c:pt idx="1">
                  <c:v>2020</c:v>
                </c:pt>
                <c:pt idx="2">
                  <c:v>2021</c:v>
                </c:pt>
                <c:pt idx="3">
                  <c:v>2022</c:v>
                </c:pt>
              </c:strCache>
            </c:strRef>
          </c:cat>
          <c:val>
            <c:numRef>
              <c:f>Hoja1!$B$4:$E$4</c:f>
              <c:numCache>
                <c:formatCode>#,##0.0</c:formatCode>
                <c:ptCount val="4"/>
                <c:pt idx="0">
                  <c:v>279.09683971000004</c:v>
                </c:pt>
                <c:pt idx="1">
                  <c:v>281.11694873000005</c:v>
                </c:pt>
                <c:pt idx="2">
                  <c:v>229.89502425000003</c:v>
                </c:pt>
                <c:pt idx="3">
                  <c:v>508.09925757000002</c:v>
                </c:pt>
              </c:numCache>
            </c:numRef>
          </c:val>
          <c:extLst>
            <c:ext xmlns:c16="http://schemas.microsoft.com/office/drawing/2014/chart" uri="{C3380CC4-5D6E-409C-BE32-E72D297353CC}">
              <c16:uniqueId val="{00000003-5827-4ACA-9A37-CB2AA17DE690}"/>
            </c:ext>
          </c:extLst>
        </c:ser>
        <c:ser>
          <c:idx val="3"/>
          <c:order val="3"/>
          <c:tx>
            <c:strRef>
              <c:f>Hoja1!$A$5</c:f>
              <c:strCache>
                <c:ptCount val="1"/>
                <c:pt idx="0">
                  <c:v>Viaticos</c:v>
                </c:pt>
              </c:strCache>
            </c:strRef>
          </c:tx>
          <c:spPr>
            <a:solidFill>
              <a:srgbClr val="92D050"/>
            </a:solidFill>
            <a:ln>
              <a:solidFill>
                <a:schemeClr val="tx1"/>
              </a:solidFill>
            </a:ln>
            <a:effectLst>
              <a:outerShdw blurRad="50800" dist="38100" algn="l" rotWithShape="0">
                <a:prstClr val="black">
                  <a:alpha val="40000"/>
                </a:prstClr>
              </a:outerShdw>
            </a:effectLst>
          </c:spPr>
          <c:invertIfNegative val="0"/>
          <c:cat>
            <c:strRef>
              <c:f>Hoja1!$B$1:$E$1</c:f>
              <c:strCache>
                <c:ptCount val="4"/>
                <c:pt idx="0">
                  <c:v>2019</c:v>
                </c:pt>
                <c:pt idx="1">
                  <c:v>2020</c:v>
                </c:pt>
                <c:pt idx="2">
                  <c:v>2021</c:v>
                </c:pt>
                <c:pt idx="3">
                  <c:v>2022</c:v>
                </c:pt>
              </c:strCache>
            </c:strRef>
          </c:cat>
          <c:val>
            <c:numRef>
              <c:f>Hoja1!$B$5:$E$5</c:f>
              <c:numCache>
                <c:formatCode>#,##0.0</c:formatCode>
                <c:ptCount val="4"/>
                <c:pt idx="0">
                  <c:v>107.42455489</c:v>
                </c:pt>
                <c:pt idx="1">
                  <c:v>45.070503749999993</c:v>
                </c:pt>
                <c:pt idx="2">
                  <c:v>73.80425889</c:v>
                </c:pt>
                <c:pt idx="3">
                  <c:v>91.334930040000003</c:v>
                </c:pt>
              </c:numCache>
            </c:numRef>
          </c:val>
          <c:extLst>
            <c:ext xmlns:c16="http://schemas.microsoft.com/office/drawing/2014/chart" uri="{C3380CC4-5D6E-409C-BE32-E72D297353CC}">
              <c16:uniqueId val="{00000004-5827-4ACA-9A37-CB2AA17DE690}"/>
            </c:ext>
          </c:extLst>
        </c:ser>
        <c:ser>
          <c:idx val="4"/>
          <c:order val="4"/>
          <c:tx>
            <c:strRef>
              <c:f>Hoja1!$A$6</c:f>
              <c:strCache>
                <c:ptCount val="1"/>
                <c:pt idx="0">
                  <c:v>Divulgación e información</c:v>
                </c:pt>
              </c:strCache>
            </c:strRef>
          </c:tx>
          <c:spPr>
            <a:solidFill>
              <a:srgbClr val="FF0000"/>
            </a:solidFill>
            <a:ln>
              <a:solidFill>
                <a:schemeClr val="tx1"/>
              </a:solidFill>
            </a:ln>
            <a:effectLst/>
          </c:spPr>
          <c:invertIfNegative val="0"/>
          <c:dPt>
            <c:idx val="3"/>
            <c:invertIfNegative val="0"/>
            <c:bubble3D val="0"/>
            <c:spPr>
              <a:solidFill>
                <a:srgbClr val="7030A0"/>
              </a:solidFill>
              <a:ln>
                <a:solidFill>
                  <a:schemeClr val="tx1"/>
                </a:solidFill>
              </a:ln>
              <a:effectLst/>
            </c:spPr>
            <c:extLst>
              <c:ext xmlns:c16="http://schemas.microsoft.com/office/drawing/2014/chart" uri="{C3380CC4-5D6E-409C-BE32-E72D297353CC}">
                <c16:uniqueId val="{00000006-5827-4ACA-9A37-CB2AA17DE690}"/>
              </c:ext>
            </c:extLst>
          </c:dPt>
          <c:cat>
            <c:strRef>
              <c:f>Hoja1!$B$1:$E$1</c:f>
              <c:strCache>
                <c:ptCount val="4"/>
                <c:pt idx="0">
                  <c:v>2019</c:v>
                </c:pt>
                <c:pt idx="1">
                  <c:v>2020</c:v>
                </c:pt>
                <c:pt idx="2">
                  <c:v>2021</c:v>
                </c:pt>
                <c:pt idx="3">
                  <c:v>2022</c:v>
                </c:pt>
              </c:strCache>
            </c:strRef>
          </c:cat>
          <c:val>
            <c:numRef>
              <c:f>Hoja1!$B$6:$E$6</c:f>
              <c:numCache>
                <c:formatCode>#,##0.0</c:formatCode>
                <c:ptCount val="4"/>
                <c:pt idx="0">
                  <c:v>13.665250259999999</c:v>
                </c:pt>
                <c:pt idx="1">
                  <c:v>40.93260686</c:v>
                </c:pt>
                <c:pt idx="2">
                  <c:v>43.5090419</c:v>
                </c:pt>
                <c:pt idx="3">
                  <c:v>58.683243900000001</c:v>
                </c:pt>
              </c:numCache>
            </c:numRef>
          </c:val>
          <c:extLst>
            <c:ext xmlns:c16="http://schemas.microsoft.com/office/drawing/2014/chart" uri="{C3380CC4-5D6E-409C-BE32-E72D297353CC}">
              <c16:uniqueId val="{00000007-5827-4ACA-9A37-CB2AA17DE690}"/>
            </c:ext>
          </c:extLst>
        </c:ser>
        <c:dLbls>
          <c:showLegendKey val="0"/>
          <c:showVal val="0"/>
          <c:showCatName val="0"/>
          <c:showSerName val="0"/>
          <c:showPercent val="0"/>
          <c:showBubbleSize val="0"/>
        </c:dLbls>
        <c:gapWidth val="90"/>
        <c:overlap val="100"/>
        <c:axId val="168504704"/>
        <c:axId val="168522880"/>
      </c:barChart>
      <c:lineChart>
        <c:grouping val="standard"/>
        <c:varyColors val="0"/>
        <c:ser>
          <c:idx val="5"/>
          <c:order val="5"/>
          <c:tx>
            <c:strRef>
              <c:f>Hoja1!$A$7</c:f>
              <c:strCache>
                <c:ptCount val="1"/>
                <c:pt idx="0">
                  <c:v>Total</c:v>
                </c:pt>
              </c:strCache>
            </c:strRef>
          </c:tx>
          <c:spPr>
            <a:ln w="41275" cap="rnd" cmpd="sng">
              <a:noFill/>
              <a:prstDash val="sysDash"/>
              <a:round/>
            </a:ln>
            <a:effectLst/>
          </c:spPr>
          <c:marker>
            <c:symbol val="diamond"/>
            <c:size val="8"/>
            <c:spPr>
              <a:ln>
                <a:solidFill>
                  <a:srgbClr val="ED7D31">
                    <a:lumMod val="75000"/>
                  </a:srgbClr>
                </a:solidFill>
              </a:ln>
            </c:spPr>
          </c:marker>
          <c:dPt>
            <c:idx val="3"/>
            <c:bubble3D val="0"/>
            <c:extLst>
              <c:ext xmlns:c16="http://schemas.microsoft.com/office/drawing/2014/chart" uri="{C3380CC4-5D6E-409C-BE32-E72D297353CC}">
                <c16:uniqueId val="{00000008-5827-4ACA-9A37-CB2AA17DE690}"/>
              </c:ext>
            </c:extLst>
          </c:dPt>
          <c:dLbls>
            <c:dLbl>
              <c:idx val="3"/>
              <c:layout>
                <c:manualLayout>
                  <c:x val="-4.5259108395564608E-2"/>
                  <c:y val="-4.19658402848159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827-4ACA-9A37-CB2AA17DE690}"/>
                </c:ext>
              </c:extLst>
            </c:dLbl>
            <c:numFmt formatCode="#,##0.0" sourceLinked="0"/>
            <c:spPr>
              <a:noFill/>
              <a:ln>
                <a:noFill/>
              </a:ln>
              <a:effectLst/>
            </c:spPr>
            <c:txPr>
              <a:bodyPr rot="0" spcFirstLastPara="1" vertOverflow="ellipsis" vert="horz" wrap="square" anchor="ctr" anchorCtr="1"/>
              <a:lstStyle/>
              <a:p>
                <a:pPr>
                  <a:defRPr sz="900" b="1" i="0" u="none" strike="noStrike" kern="1200" baseline="0">
                    <a:solidFill>
                      <a:schemeClr val="accent2">
                        <a:lumMod val="75000"/>
                      </a:schemeClr>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Hoja1!$B$1:$E$1</c:f>
              <c:strCache>
                <c:ptCount val="4"/>
                <c:pt idx="0">
                  <c:v>2019</c:v>
                </c:pt>
                <c:pt idx="1">
                  <c:v>2020</c:v>
                </c:pt>
                <c:pt idx="2">
                  <c:v>2021</c:v>
                </c:pt>
                <c:pt idx="3">
                  <c:v>2022</c:v>
                </c:pt>
              </c:strCache>
            </c:strRef>
          </c:cat>
          <c:val>
            <c:numRef>
              <c:f>Hoja1!$B$7:$E$7</c:f>
              <c:numCache>
                <c:formatCode>#,##0.0</c:formatCode>
                <c:ptCount val="4"/>
                <c:pt idx="0">
                  <c:v>3087.0729497400002</c:v>
                </c:pt>
                <c:pt idx="1">
                  <c:v>2567.1614545599996</c:v>
                </c:pt>
                <c:pt idx="2">
                  <c:v>2836.6487274599999</c:v>
                </c:pt>
                <c:pt idx="3">
                  <c:v>3487.52408745</c:v>
                </c:pt>
              </c:numCache>
            </c:numRef>
          </c:val>
          <c:smooth val="1"/>
          <c:extLst>
            <c:ext xmlns:c16="http://schemas.microsoft.com/office/drawing/2014/chart" uri="{C3380CC4-5D6E-409C-BE32-E72D297353CC}">
              <c16:uniqueId val="{00000009-5827-4ACA-9A37-CB2AA17DE690}"/>
            </c:ext>
          </c:extLst>
        </c:ser>
        <c:dLbls>
          <c:showLegendKey val="0"/>
          <c:showVal val="0"/>
          <c:showCatName val="0"/>
          <c:showSerName val="0"/>
          <c:showPercent val="0"/>
          <c:showBubbleSize val="0"/>
        </c:dLbls>
        <c:marker val="1"/>
        <c:smooth val="0"/>
        <c:axId val="168504704"/>
        <c:axId val="168522880"/>
      </c:lineChart>
      <c:catAx>
        <c:axId val="168504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168522880"/>
        <c:crosses val="autoZero"/>
        <c:auto val="1"/>
        <c:lblAlgn val="ctr"/>
        <c:lblOffset val="100"/>
        <c:noMultiLvlLbl val="0"/>
      </c:catAx>
      <c:valAx>
        <c:axId val="168522880"/>
        <c:scaling>
          <c:orientation val="minMax"/>
          <c:max val="3500"/>
          <c:min val="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68504704"/>
        <c:crosses val="autoZero"/>
        <c:crossBetween val="between"/>
      </c:valAx>
      <c:spPr>
        <a:noFill/>
        <a:ln>
          <a:noFill/>
        </a:ln>
        <a:effectLst/>
      </c:spPr>
    </c:plotArea>
    <c:legend>
      <c:legendPos val="b"/>
      <c:layout>
        <c:manualLayout>
          <c:xMode val="edge"/>
          <c:yMode val="edge"/>
          <c:x val="5.5385210249940753E-2"/>
          <c:y val="0.84790340026062139"/>
          <c:w val="0.87565184698144916"/>
          <c:h val="0.1325010936132983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Hoja1!$B$1</c:f>
              <c:strCache>
                <c:ptCount val="1"/>
                <c:pt idx="0">
                  <c:v>Gasto Social</c:v>
                </c:pt>
              </c:strCache>
            </c:strRef>
          </c:tx>
          <c:spPr>
            <a:solidFill>
              <a:schemeClr val="accent5">
                <a:lumMod val="75000"/>
              </a:schemeClr>
            </a:solidFill>
            <a:ln>
              <a:solidFill>
                <a:schemeClr val="tx1"/>
              </a:solidFill>
            </a:ln>
            <a:effectLst/>
          </c:spPr>
          <c:invertIfNegative val="0"/>
          <c:dLbls>
            <c:spPr>
              <a:noFill/>
              <a:ln>
                <a:noFill/>
              </a:ln>
              <a:effectLst/>
            </c:spPr>
            <c:txPr>
              <a:bodyPr rot="-5400000" spcFirstLastPara="1" vertOverflow="ellipsis" wrap="square" anchor="ctr" anchorCtr="1"/>
              <a:lstStyle/>
              <a:p>
                <a:pPr>
                  <a:defRPr sz="800" b="1" i="0" u="none" strike="noStrike" kern="1200" baseline="0">
                    <a:solidFill>
                      <a:schemeClr val="bg1">
                        <a:lumMod val="9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Hoja1!$B$2:$B$11</c:f>
              <c:numCache>
                <c:formatCode>#,##0.0</c:formatCode>
                <c:ptCount val="10"/>
                <c:pt idx="0">
                  <c:v>21381.327867269996</c:v>
                </c:pt>
                <c:pt idx="1">
                  <c:v>23012.971069280004</c:v>
                </c:pt>
                <c:pt idx="2">
                  <c:v>23473.732879080002</c:v>
                </c:pt>
                <c:pt idx="3">
                  <c:v>24655.05408781</c:v>
                </c:pt>
                <c:pt idx="4">
                  <c:v>26066.126108109998</c:v>
                </c:pt>
                <c:pt idx="5">
                  <c:v>28740.266393819995</c:v>
                </c:pt>
                <c:pt idx="6">
                  <c:v>32435.728809789998</c:v>
                </c:pt>
                <c:pt idx="7">
                  <c:v>32367.644584979997</c:v>
                </c:pt>
                <c:pt idx="8">
                  <c:v>36502.61886866</c:v>
                </c:pt>
                <c:pt idx="9">
                  <c:v>41333.05592128</c:v>
                </c:pt>
              </c:numCache>
            </c:numRef>
          </c:val>
          <c:extLst>
            <c:ext xmlns:c16="http://schemas.microsoft.com/office/drawing/2014/chart" uri="{C3380CC4-5D6E-409C-BE32-E72D297353CC}">
              <c16:uniqueId val="{00000000-CE5A-4626-A80C-C6B14070848E}"/>
            </c:ext>
          </c:extLst>
        </c:ser>
        <c:ser>
          <c:idx val="1"/>
          <c:order val="1"/>
          <c:tx>
            <c:strRef>
              <c:f>Hoja1!$C$1</c:f>
              <c:strCache>
                <c:ptCount val="1"/>
                <c:pt idx="0">
                  <c:v>Clasificación Acuerdos de Paz</c:v>
                </c:pt>
              </c:strCache>
            </c:strRef>
          </c:tx>
          <c:spPr>
            <a:solidFill>
              <a:schemeClr val="bg1">
                <a:lumMod val="50000"/>
              </a:schemeClr>
            </a:solidFill>
            <a:ln>
              <a:solidFill>
                <a:schemeClr val="tx1">
                  <a:lumMod val="95000"/>
                  <a:lumOff val="5000"/>
                </a:schemeClr>
              </a:solidFill>
            </a:ln>
            <a:effectLst/>
          </c:spPr>
          <c:invertIfNegative val="0"/>
          <c:dLbls>
            <c:dLbl>
              <c:idx val="4"/>
              <c:layout>
                <c:manualLayout>
                  <c:x val="2.039983680130484E-3"/>
                  <c:y val="-3.37723741979061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E5A-4626-A80C-C6B14070848E}"/>
                </c:ext>
              </c:extLst>
            </c:dLbl>
            <c:spPr>
              <a:noFill/>
              <a:ln>
                <a:noFill/>
              </a:ln>
              <a:effectLst/>
            </c:spPr>
            <c:txPr>
              <a:bodyPr rot="0" spcFirstLastPara="1" vertOverflow="ellipsis" vert="horz" wrap="square" anchor="ctr" anchorCtr="1"/>
              <a:lstStyle/>
              <a:p>
                <a:pPr>
                  <a:defRPr sz="700" b="1" i="0" u="none" strike="noStrike" kern="1200" baseline="0">
                    <a:solidFill>
                      <a:schemeClr val="bg1">
                        <a:lumMod val="9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Hoja1!$C$2:$C$11</c:f>
              <c:numCache>
                <c:formatCode>#,##0.0</c:formatCode>
                <c:ptCount val="10"/>
                <c:pt idx="0">
                  <c:v>6054.5101064400005</c:v>
                </c:pt>
                <c:pt idx="1">
                  <c:v>6503.4294833499989</c:v>
                </c:pt>
                <c:pt idx="2">
                  <c:v>6751.1216318400002</c:v>
                </c:pt>
                <c:pt idx="3">
                  <c:v>7828.2132574999987</c:v>
                </c:pt>
                <c:pt idx="4">
                  <c:v>8571.1257745100011</c:v>
                </c:pt>
                <c:pt idx="5">
                  <c:v>9133.1189641699984</c:v>
                </c:pt>
                <c:pt idx="6">
                  <c:v>8806.107314689998</c:v>
                </c:pt>
                <c:pt idx="7">
                  <c:v>9661.6116256900004</c:v>
                </c:pt>
                <c:pt idx="8">
                  <c:v>10226.488182319999</c:v>
                </c:pt>
                <c:pt idx="9">
                  <c:v>11543.616736810001</c:v>
                </c:pt>
              </c:numCache>
            </c:numRef>
          </c:val>
          <c:extLst>
            <c:ext xmlns:c16="http://schemas.microsoft.com/office/drawing/2014/chart" uri="{C3380CC4-5D6E-409C-BE32-E72D297353CC}">
              <c16:uniqueId val="{00000002-CE5A-4626-A80C-C6B14070848E}"/>
            </c:ext>
          </c:extLst>
        </c:ser>
        <c:dLbls>
          <c:showLegendKey val="0"/>
          <c:showVal val="0"/>
          <c:showCatName val="0"/>
          <c:showSerName val="0"/>
          <c:showPercent val="0"/>
          <c:showBubbleSize val="0"/>
        </c:dLbls>
        <c:gapWidth val="54"/>
        <c:overlap val="100"/>
        <c:axId val="1464834608"/>
        <c:axId val="1464836688"/>
      </c:barChart>
      <c:lineChart>
        <c:grouping val="stacked"/>
        <c:varyColors val="0"/>
        <c:ser>
          <c:idx val="2"/>
          <c:order val="2"/>
          <c:tx>
            <c:strRef>
              <c:f>Hoja1!$D$1</c:f>
              <c:strCache>
                <c:ptCount val="1"/>
                <c:pt idx="0">
                  <c:v>% del PIB</c:v>
                </c:pt>
              </c:strCache>
            </c:strRef>
          </c:tx>
          <c:spPr>
            <a:ln w="28575" cap="rnd">
              <a:solidFill>
                <a:schemeClr val="accent5">
                  <a:lumMod val="75000"/>
                </a:schemeClr>
              </a:solidFill>
              <a:round/>
            </a:ln>
            <a:effectLst/>
          </c:spPr>
          <c:marker>
            <c:symbol val="circle"/>
            <c:size val="17"/>
            <c:spPr>
              <a:solidFill>
                <a:schemeClr val="accent5">
                  <a:lumMod val="50000"/>
                </a:schemeClr>
              </a:solidFill>
              <a:ln w="9525">
                <a:solidFill>
                  <a:schemeClr val="accent5">
                    <a:lumMod val="50000"/>
                  </a:schemeClr>
                </a:solidFill>
              </a:ln>
              <a:effectLst/>
            </c:spPr>
          </c:marker>
          <c:dLbls>
            <c:dLbl>
              <c:idx val="0"/>
              <c:layout>
                <c:manualLayout>
                  <c:x val="-4.4927774075029243E-2"/>
                  <c:y val="0"/>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E5A-4626-A80C-C6B14070848E}"/>
                </c:ext>
              </c:extLst>
            </c:dLbl>
            <c:dLbl>
              <c:idx val="1"/>
              <c:layout>
                <c:manualLayout>
                  <c:x val="-4.5501997809610291E-2"/>
                  <c:y val="-3.52112676056344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E5A-4626-A80C-C6B14070848E}"/>
                </c:ext>
              </c:extLst>
            </c:dLbl>
            <c:dLbl>
              <c:idx val="5"/>
              <c:layout>
                <c:manualLayout>
                  <c:x val="-4.3461988029888439E-2"/>
                  <c:y val="-3.37723189530886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E5A-4626-A80C-C6B14070848E}"/>
                </c:ext>
              </c:extLst>
            </c:dLbl>
            <c:dLbl>
              <c:idx val="6"/>
              <c:layout>
                <c:manualLayout>
                  <c:x val="-4.3461988029888515E-2"/>
                  <c:y val="1.4389486525451925E-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E5A-4626-A80C-C6B14070848E}"/>
                </c:ext>
              </c:extLst>
            </c:dLbl>
            <c:dLbl>
              <c:idx val="8"/>
              <c:layout>
                <c:manualLayout>
                  <c:x val="-4.3461988029888439E-2"/>
                  <c:y val="1.4389486525451925E-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E5A-4626-A80C-C6B14070848E}"/>
                </c:ext>
              </c:extLst>
            </c:dLbl>
            <c:dLbl>
              <c:idx val="9"/>
              <c:layout>
                <c:manualLayout>
                  <c:x val="-4.3461988029888439E-2"/>
                  <c:y val="1.4389486525453538E-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E5A-4626-A80C-C6B14070848E}"/>
                </c:ext>
              </c:extLst>
            </c:dLbl>
            <c:spPr>
              <a:noFill/>
              <a:ln>
                <a:noFill/>
              </a:ln>
              <a:effectLst/>
            </c:spPr>
            <c:txPr>
              <a:bodyPr rot="0" spcFirstLastPara="1" vertOverflow="ellipsis" vert="horz" wrap="square" anchor="ctr" anchorCtr="1"/>
              <a:lstStyle/>
              <a:p>
                <a:pPr>
                  <a:defRPr sz="900" b="1" i="0" u="none" strike="noStrike" kern="1200" baseline="0">
                    <a:solidFill>
                      <a:schemeClr val="bg1">
                        <a:lumMod val="95000"/>
                      </a:schemeClr>
                    </a:solidFill>
                    <a:latin typeface="Times New Roman" panose="02020603050405020304" pitchFamily="18" charset="0"/>
                    <a:ea typeface="+mn-ea"/>
                    <a:cs typeface="Times New Roman" panose="02020603050405020304" pitchFamily="18" charset="0"/>
                  </a:defRPr>
                </a:pPr>
                <a:endParaRPr lang="es-G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Hoja1!$D$2:$D$11</c:f>
              <c:numCache>
                <c:formatCode>0.0</c:formatCode>
                <c:ptCount val="10"/>
                <c:pt idx="0">
                  <c:v>6.589083477346831</c:v>
                </c:pt>
                <c:pt idx="1">
                  <c:v>6.5984045256795882</c:v>
                </c:pt>
                <c:pt idx="2">
                  <c:v>6.3494549336354993</c:v>
                </c:pt>
                <c:pt idx="3">
                  <c:v>6.470748419921839</c:v>
                </c:pt>
                <c:pt idx="4">
                  <c:v>6.5786826437333774</c:v>
                </c:pt>
                <c:pt idx="5">
                  <c:v>6.8689840029438134</c:v>
                </c:pt>
                <c:pt idx="6">
                  <c:v>6.9435659169935962</c:v>
                </c:pt>
                <c:pt idx="7">
                  <c:v>7.0118794679119274</c:v>
                </c:pt>
                <c:pt idx="8">
                  <c:v>7.0264240955953268</c:v>
                </c:pt>
                <c:pt idx="9">
                  <c:v>7.2054298083321422</c:v>
                </c:pt>
              </c:numCache>
            </c:numRef>
          </c:val>
          <c:smooth val="1"/>
          <c:extLst>
            <c:ext xmlns:c16="http://schemas.microsoft.com/office/drawing/2014/chart" uri="{C3380CC4-5D6E-409C-BE32-E72D297353CC}">
              <c16:uniqueId val="{00000009-CE5A-4626-A80C-C6B14070848E}"/>
            </c:ext>
          </c:extLst>
        </c:ser>
        <c:dLbls>
          <c:showLegendKey val="0"/>
          <c:showVal val="0"/>
          <c:showCatName val="0"/>
          <c:showSerName val="0"/>
          <c:showPercent val="0"/>
          <c:showBubbleSize val="0"/>
        </c:dLbls>
        <c:marker val="1"/>
        <c:smooth val="0"/>
        <c:axId val="1339466912"/>
        <c:axId val="1339464000"/>
      </c:lineChart>
      <c:catAx>
        <c:axId val="1464834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464836688"/>
        <c:crosses val="autoZero"/>
        <c:auto val="1"/>
        <c:lblAlgn val="ctr"/>
        <c:lblOffset val="100"/>
        <c:noMultiLvlLbl val="0"/>
      </c:catAx>
      <c:valAx>
        <c:axId val="1464836688"/>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464834608"/>
        <c:crosses val="autoZero"/>
        <c:crossBetween val="between"/>
      </c:valAx>
      <c:valAx>
        <c:axId val="1339464000"/>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339466912"/>
        <c:crosses val="max"/>
        <c:crossBetween val="between"/>
      </c:valAx>
      <c:catAx>
        <c:axId val="1339466912"/>
        <c:scaling>
          <c:orientation val="minMax"/>
        </c:scaling>
        <c:delete val="1"/>
        <c:axPos val="b"/>
        <c:numFmt formatCode="General" sourceLinked="1"/>
        <c:majorTickMark val="out"/>
        <c:minorTickMark val="none"/>
        <c:tickLblPos val="nextTo"/>
        <c:crossAx val="133946400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73700650699912"/>
          <c:y val="9.8643699285873007E-2"/>
          <c:w val="0.79080202865266847"/>
          <c:h val="0.6213087322894707"/>
        </c:manualLayout>
      </c:layout>
      <c:barChart>
        <c:barDir val="col"/>
        <c:grouping val="clustered"/>
        <c:varyColors val="0"/>
        <c:ser>
          <c:idx val="0"/>
          <c:order val="0"/>
          <c:tx>
            <c:strRef>
              <c:f>Sheet1!$B$1</c:f>
              <c:strCache>
                <c:ptCount val="1"/>
                <c:pt idx="0">
                  <c:v>Monto</c:v>
                </c:pt>
              </c:strCache>
            </c:strRef>
          </c:tx>
          <c:spPr>
            <a:solidFill>
              <a:srgbClr val="70AD47">
                <a:lumMod val="60000"/>
                <a:lumOff val="40000"/>
              </a:srgbClr>
            </a:solidFill>
            <a:ln>
              <a:solidFill>
                <a:sysClr val="window" lastClr="FFFFFF">
                  <a:lumMod val="50000"/>
                </a:sysClr>
              </a:solidFill>
            </a:ln>
            <a:effectLst/>
          </c:spPr>
          <c:invertIfNegative val="0"/>
          <c:dLbls>
            <c:dLbl>
              <c:idx val="5"/>
              <c:layout>
                <c:manualLayout>
                  <c:x val="0"/>
                  <c:y val="9.975821739245592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9F8-4CB0-85A7-39AFF13C946C}"/>
                </c:ext>
              </c:extLst>
            </c:dLbl>
            <c:dLbl>
              <c:idx val="6"/>
              <c:layout>
                <c:manualLayout>
                  <c:x val="0"/>
                  <c:y val="1.075497470552845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9F8-4CB0-85A7-39AFF13C946C}"/>
                </c:ext>
              </c:extLst>
            </c:dLbl>
            <c:dLbl>
              <c:idx val="7"/>
              <c:layout>
                <c:manualLayout>
                  <c:x val="-6.9800576994284375E-17"/>
                  <c:y val="8.866119029691206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9F8-4CB0-85A7-39AFF13C946C}"/>
                </c:ext>
              </c:extLst>
            </c:dLbl>
            <c:dLbl>
              <c:idx val="8"/>
              <c:layout>
                <c:manualLayout>
                  <c:x val="0"/>
                  <c:y val="1.199680650202242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9F8-4CB0-85A7-39AFF13C946C}"/>
                </c:ext>
              </c:extLst>
            </c:dLbl>
            <c:dLbl>
              <c:idx val="9"/>
              <c:layout>
                <c:manualLayout>
                  <c:x val="-6.8083266354280157E-17"/>
                  <c:y val="7.580395554832436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9F8-4CB0-85A7-39AFF13C946C}"/>
                </c:ext>
              </c:extLst>
            </c:dLbl>
            <c:spPr>
              <a:noFill/>
              <a:ln>
                <a:noFill/>
              </a:ln>
              <a:effectLst/>
            </c:spPr>
            <c:txPr>
              <a:bodyPr rot="-5400000" vert="horz" wrap="square" lIns="38100" tIns="19050" rIns="38100" bIns="19050" anchor="ctr">
                <a:spAutoFit/>
              </a:bodyPr>
              <a:lstStyle/>
              <a:p>
                <a:pPr>
                  <a:defRPr sz="800" b="1">
                    <a:latin typeface="Times New Roman" panose="02020603050405020304" pitchFamily="18" charset="0"/>
                    <a:cs typeface="Times New Roman" panose="02020603050405020304" pitchFamily="18" charset="0"/>
                  </a:defRPr>
                </a:pPr>
                <a:endParaRPr lang="es-GT"/>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Sheet1!$A$2:$A$20</c:f>
              <c:strCache>
                <c:ptCount val="19"/>
                <c:pt idx="0">
                  <c:v>Obligaciones </c:v>
                </c:pt>
                <c:pt idx="1">
                  <c:v>Educación </c:v>
                </c:pt>
                <c:pt idx="2">
                  <c:v>Deuda Pública</c:v>
                </c:pt>
                <c:pt idx="3">
                  <c:v>Salud Pública </c:v>
                </c:pt>
                <c:pt idx="4">
                  <c:v>Comunicaciones</c:v>
                </c:pt>
                <c:pt idx="5">
                  <c:v>Gobernación</c:v>
                </c:pt>
                <c:pt idx="6">
                  <c:v>Defensa </c:v>
                </c:pt>
                <c:pt idx="7">
                  <c:v>Energía</c:v>
                </c:pt>
                <c:pt idx="8">
                  <c:v>Agricultura</c:v>
                </c:pt>
                <c:pt idx="9">
                  <c:v>Desarrollo</c:v>
                </c:pt>
                <c:pt idx="10">
                  <c:v>Secretarías</c:v>
                </c:pt>
                <c:pt idx="11">
                  <c:v>Trabajo </c:v>
                </c:pt>
                <c:pt idx="12">
                  <c:v>Economía</c:v>
                </c:pt>
                <c:pt idx="13">
                  <c:v>MINREX</c:v>
                </c:pt>
                <c:pt idx="14">
                  <c:v>Cultura</c:v>
                </c:pt>
                <c:pt idx="15">
                  <c:v>Finanzas</c:v>
                </c:pt>
                <c:pt idx="16">
                  <c:v>Presidencia</c:v>
                </c:pt>
                <c:pt idx="17">
                  <c:v>Ambiente </c:v>
                </c:pt>
                <c:pt idx="18">
                  <c:v>PGN</c:v>
                </c:pt>
              </c:strCache>
            </c:strRef>
          </c:cat>
          <c:val>
            <c:numRef>
              <c:f>Sheet1!$B$2:$B$20</c:f>
              <c:numCache>
                <c:formatCode>#,##0.0</c:formatCode>
                <c:ptCount val="19"/>
                <c:pt idx="0">
                  <c:v>33421.118601819995</c:v>
                </c:pt>
                <c:pt idx="1">
                  <c:v>19845.709856860001</c:v>
                </c:pt>
                <c:pt idx="2">
                  <c:v>15139.450174879999</c:v>
                </c:pt>
                <c:pt idx="3">
                  <c:v>10858.14480713</c:v>
                </c:pt>
                <c:pt idx="4">
                  <c:v>8983.6602277399998</c:v>
                </c:pt>
                <c:pt idx="5">
                  <c:v>5894.8055049099994</c:v>
                </c:pt>
                <c:pt idx="6">
                  <c:v>3420.7833642599999</c:v>
                </c:pt>
                <c:pt idx="7">
                  <c:v>2864.7473853299998</c:v>
                </c:pt>
                <c:pt idx="8">
                  <c:v>1640.5732577900001</c:v>
                </c:pt>
                <c:pt idx="9">
                  <c:v>1428.1127860500001</c:v>
                </c:pt>
                <c:pt idx="10">
                  <c:v>1277.7965384899999</c:v>
                </c:pt>
                <c:pt idx="11">
                  <c:v>959.94548164000003</c:v>
                </c:pt>
                <c:pt idx="12">
                  <c:v>771.05212883000002</c:v>
                </c:pt>
                <c:pt idx="13">
                  <c:v>653.72786997000003</c:v>
                </c:pt>
                <c:pt idx="14">
                  <c:v>555.39766305000001</c:v>
                </c:pt>
                <c:pt idx="15">
                  <c:v>340.55441300000001</c:v>
                </c:pt>
                <c:pt idx="16">
                  <c:v>203.36404106999998</c:v>
                </c:pt>
                <c:pt idx="17">
                  <c:v>177.26750064000001</c:v>
                </c:pt>
                <c:pt idx="18">
                  <c:v>156.88753893000001</c:v>
                </c:pt>
              </c:numCache>
            </c:numRef>
          </c:val>
          <c:extLst>
            <c:ext xmlns:c16="http://schemas.microsoft.com/office/drawing/2014/chart" uri="{C3380CC4-5D6E-409C-BE32-E72D297353CC}">
              <c16:uniqueId val="{00000005-29F8-4CB0-85A7-39AFF13C946C}"/>
            </c:ext>
          </c:extLst>
        </c:ser>
        <c:dLbls>
          <c:showLegendKey val="0"/>
          <c:showVal val="0"/>
          <c:showCatName val="0"/>
          <c:showSerName val="0"/>
          <c:showPercent val="0"/>
          <c:showBubbleSize val="0"/>
        </c:dLbls>
        <c:gapWidth val="42"/>
        <c:overlap val="-27"/>
        <c:axId val="175989504"/>
        <c:axId val="175991040"/>
      </c:barChart>
      <c:lineChart>
        <c:grouping val="standard"/>
        <c:varyColors val="0"/>
        <c:ser>
          <c:idx val="1"/>
          <c:order val="1"/>
          <c:tx>
            <c:strRef>
              <c:f>Sheet1!$C$1</c:f>
              <c:strCache>
                <c:ptCount val="1"/>
                <c:pt idx="0">
                  <c:v>% de ejecución</c:v>
                </c:pt>
              </c:strCache>
            </c:strRef>
          </c:tx>
          <c:spPr>
            <a:ln w="25400" cap="rnd">
              <a:noFill/>
              <a:round/>
            </a:ln>
            <a:effectLst/>
          </c:spPr>
          <c:marker>
            <c:symbol val="circle"/>
            <c:size val="6"/>
            <c:spPr>
              <a:solidFill>
                <a:srgbClr val="92D050"/>
              </a:solidFill>
              <a:ln w="28575">
                <a:solidFill>
                  <a:schemeClr val="tx2">
                    <a:lumMod val="50000"/>
                  </a:schemeClr>
                </a:solidFill>
                <a:round/>
              </a:ln>
              <a:effectLst/>
            </c:spPr>
          </c:marker>
          <c:dLbls>
            <c:dLbl>
              <c:idx val="0"/>
              <c:layout>
                <c:manualLayout>
                  <c:x val="-3.2552083333333336E-2"/>
                  <c:y val="-5.26662277814351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9F8-4CB0-85A7-39AFF13C946C}"/>
                </c:ext>
              </c:extLst>
            </c:dLbl>
            <c:dLbl>
              <c:idx val="1"/>
              <c:layout>
                <c:manualLayout>
                  <c:x val="-3.4722222222222245E-2"/>
                  <c:y val="5.70550800965547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9F8-4CB0-85A7-39AFF13C946C}"/>
                </c:ext>
              </c:extLst>
            </c:dLbl>
            <c:dLbl>
              <c:idx val="2"/>
              <c:layout>
                <c:manualLayout>
                  <c:x val="-2.9151768711113319E-2"/>
                  <c:y val="-3.86665506311951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9F8-4CB0-85A7-39AFF13C946C}"/>
                </c:ext>
              </c:extLst>
            </c:dLbl>
            <c:dLbl>
              <c:idx val="3"/>
              <c:layout>
                <c:manualLayout>
                  <c:x val="-3.2552083333333336E-2"/>
                  <c:y val="4.82773754663155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9F8-4CB0-85A7-39AFF13C946C}"/>
                </c:ext>
              </c:extLst>
            </c:dLbl>
            <c:dLbl>
              <c:idx val="4"/>
              <c:layout>
                <c:manualLayout>
                  <c:x val="-2.9544144370741307E-2"/>
                  <c:y val="-3.67952547045677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9F8-4CB0-85A7-39AFF13C946C}"/>
                </c:ext>
              </c:extLst>
            </c:dLbl>
            <c:dLbl>
              <c:idx val="5"/>
              <c:layout>
                <c:manualLayout>
                  <c:x val="-3.6892361111111154E-2"/>
                  <c:y val="4.8277375466315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9F8-4CB0-85A7-39AFF13C946C}"/>
                </c:ext>
              </c:extLst>
            </c:dLbl>
            <c:dLbl>
              <c:idx val="6"/>
              <c:layout>
                <c:manualLayout>
                  <c:x val="-5.5210443971376581E-2"/>
                  <c:y val="-3.41827886603074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9F8-4CB0-85A7-39AFF13C946C}"/>
                </c:ext>
              </c:extLst>
            </c:dLbl>
            <c:dLbl>
              <c:idx val="7"/>
              <c:layout>
                <c:manualLayout>
                  <c:x val="-3.3178621217515455E-2"/>
                  <c:y val="3.18123857775827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9F8-4CB0-85A7-39AFF13C946C}"/>
                </c:ext>
              </c:extLst>
            </c:dLbl>
            <c:dLbl>
              <c:idx val="8"/>
              <c:layout>
                <c:manualLayout>
                  <c:x val="-3.2552083333333336E-2"/>
                  <c:y val="4.8277375466315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9F8-4CB0-85A7-39AFF13C946C}"/>
                </c:ext>
              </c:extLst>
            </c:dLbl>
            <c:dLbl>
              <c:idx val="9"/>
              <c:layout>
                <c:manualLayout>
                  <c:x val="-3.47222222222223E-2"/>
                  <c:y val="4.38885231511959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9F8-4CB0-85A7-39AFF13C946C}"/>
                </c:ext>
              </c:extLst>
            </c:dLbl>
            <c:dLbl>
              <c:idx val="10"/>
              <c:layout>
                <c:manualLayout>
                  <c:x val="-3.2552083333333412E-2"/>
                  <c:y val="4.388852315119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9F8-4CB0-85A7-39AFF13C946C}"/>
                </c:ext>
              </c:extLst>
            </c:dLbl>
            <c:dLbl>
              <c:idx val="11"/>
              <c:layout>
                <c:manualLayout>
                  <c:x val="-3.47222222222223E-2"/>
                  <c:y val="4.38885231511959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29F8-4CB0-85A7-39AFF13C946C}"/>
                </c:ext>
              </c:extLst>
            </c:dLbl>
            <c:dLbl>
              <c:idx val="12"/>
              <c:layout>
                <c:manualLayout>
                  <c:x val="-3.2552083333333412E-2"/>
                  <c:y val="4.38885231511959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29F8-4CB0-85A7-39AFF13C946C}"/>
                </c:ext>
              </c:extLst>
            </c:dLbl>
            <c:dLbl>
              <c:idx val="13"/>
              <c:layout>
                <c:manualLayout>
                  <c:x val="-3.47222222222223E-2"/>
                  <c:y val="4.38885231511959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29F8-4CB0-85A7-39AFF13C946C}"/>
                </c:ext>
              </c:extLst>
            </c:dLbl>
            <c:dLbl>
              <c:idx val="14"/>
              <c:layout>
                <c:manualLayout>
                  <c:x val="-3.2552083333333336E-2"/>
                  <c:y val="4.82773754663155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29F8-4CB0-85A7-39AFF13C946C}"/>
                </c:ext>
              </c:extLst>
            </c:dLbl>
            <c:dLbl>
              <c:idx val="15"/>
              <c:layout>
                <c:manualLayout>
                  <c:x val="-3.4722222222222224E-2"/>
                  <c:y val="-5.26662277814351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29F8-4CB0-85A7-39AFF13C946C}"/>
                </c:ext>
              </c:extLst>
            </c:dLbl>
            <c:dLbl>
              <c:idx val="16"/>
              <c:layout>
                <c:manualLayout>
                  <c:x val="-3.2552083333333336E-2"/>
                  <c:y val="-4.38885231511959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29F8-4CB0-85A7-39AFF13C946C}"/>
                </c:ext>
              </c:extLst>
            </c:dLbl>
            <c:dLbl>
              <c:idx val="17"/>
              <c:layout>
                <c:manualLayout>
                  <c:x val="-3.6892361111111112E-2"/>
                  <c:y val="4.8277375466315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29F8-4CB0-85A7-39AFF13C946C}"/>
                </c:ext>
              </c:extLst>
            </c:dLbl>
            <c:dLbl>
              <c:idx val="18"/>
              <c:layout>
                <c:manualLayout>
                  <c:x val="-3.4722222222222224E-2"/>
                  <c:y val="4.388852315119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29F8-4CB0-85A7-39AFF13C946C}"/>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3">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Sheet1!$A$2:$A$20</c:f>
              <c:strCache>
                <c:ptCount val="19"/>
                <c:pt idx="0">
                  <c:v>Obligaciones </c:v>
                </c:pt>
                <c:pt idx="1">
                  <c:v>Educación </c:v>
                </c:pt>
                <c:pt idx="2">
                  <c:v>Deuda Pública</c:v>
                </c:pt>
                <c:pt idx="3">
                  <c:v>Salud Pública </c:v>
                </c:pt>
                <c:pt idx="4">
                  <c:v>Comunicaciones</c:v>
                </c:pt>
                <c:pt idx="5">
                  <c:v>Gobernación</c:v>
                </c:pt>
                <c:pt idx="6">
                  <c:v>Defensa </c:v>
                </c:pt>
                <c:pt idx="7">
                  <c:v>Energía</c:v>
                </c:pt>
                <c:pt idx="8">
                  <c:v>Agricultura</c:v>
                </c:pt>
                <c:pt idx="9">
                  <c:v>Desarrollo</c:v>
                </c:pt>
                <c:pt idx="10">
                  <c:v>Secretarías</c:v>
                </c:pt>
                <c:pt idx="11">
                  <c:v>Trabajo </c:v>
                </c:pt>
                <c:pt idx="12">
                  <c:v>Economía</c:v>
                </c:pt>
                <c:pt idx="13">
                  <c:v>MINREX</c:v>
                </c:pt>
                <c:pt idx="14">
                  <c:v>Cultura</c:v>
                </c:pt>
                <c:pt idx="15">
                  <c:v>Finanzas</c:v>
                </c:pt>
                <c:pt idx="16">
                  <c:v>Presidencia</c:v>
                </c:pt>
                <c:pt idx="17">
                  <c:v>Ambiente </c:v>
                </c:pt>
                <c:pt idx="18">
                  <c:v>PGN</c:v>
                </c:pt>
              </c:strCache>
            </c:strRef>
          </c:cat>
          <c:val>
            <c:numRef>
              <c:f>Sheet1!$C$2:$C$20</c:f>
              <c:numCache>
                <c:formatCode>0.0</c:formatCode>
                <c:ptCount val="19"/>
                <c:pt idx="0">
                  <c:v>95.875810380952615</c:v>
                </c:pt>
                <c:pt idx="1">
                  <c:v>98.329588689533026</c:v>
                </c:pt>
                <c:pt idx="2">
                  <c:v>98.87310720271681</c:v>
                </c:pt>
                <c:pt idx="3">
                  <c:v>93.220377181163329</c:v>
                </c:pt>
                <c:pt idx="4">
                  <c:v>89.528860005152225</c:v>
                </c:pt>
                <c:pt idx="5">
                  <c:v>97.148141158024359</c:v>
                </c:pt>
                <c:pt idx="6">
                  <c:v>99.901943238513269</c:v>
                </c:pt>
                <c:pt idx="7">
                  <c:v>99.283627583195383</c:v>
                </c:pt>
                <c:pt idx="8">
                  <c:v>95.27586520598274</c:v>
                </c:pt>
                <c:pt idx="9">
                  <c:v>98.724463768835733</c:v>
                </c:pt>
                <c:pt idx="10">
                  <c:v>93.381802763182336</c:v>
                </c:pt>
                <c:pt idx="11">
                  <c:v>96.443992309870794</c:v>
                </c:pt>
                <c:pt idx="12">
                  <c:v>96.280471554112808</c:v>
                </c:pt>
                <c:pt idx="13">
                  <c:v>99.339719145140435</c:v>
                </c:pt>
                <c:pt idx="14">
                  <c:v>88.174685107132859</c:v>
                </c:pt>
                <c:pt idx="15">
                  <c:v>98.596895047835858</c:v>
                </c:pt>
                <c:pt idx="16">
                  <c:v>97.717764256023003</c:v>
                </c:pt>
                <c:pt idx="17">
                  <c:v>93.083426184839368</c:v>
                </c:pt>
                <c:pt idx="18">
                  <c:v>97.028727639472038</c:v>
                </c:pt>
              </c:numCache>
            </c:numRef>
          </c:val>
          <c:smooth val="0"/>
          <c:extLst>
            <c:ext xmlns:c16="http://schemas.microsoft.com/office/drawing/2014/chart" uri="{C3380CC4-5D6E-409C-BE32-E72D297353CC}">
              <c16:uniqueId val="{00000019-29F8-4CB0-85A7-39AFF13C946C}"/>
            </c:ext>
          </c:extLst>
        </c:ser>
        <c:dLbls>
          <c:showLegendKey val="0"/>
          <c:showVal val="0"/>
          <c:showCatName val="0"/>
          <c:showSerName val="0"/>
          <c:showPercent val="0"/>
          <c:showBubbleSize val="0"/>
        </c:dLbls>
        <c:marker val="1"/>
        <c:smooth val="0"/>
        <c:axId val="176007424"/>
        <c:axId val="176005504"/>
      </c:lineChart>
      <c:catAx>
        <c:axId val="17598950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5400000" spcFirstLastPara="1" vertOverflow="ellipsis" wrap="square" anchor="ctr" anchorCtr="1"/>
          <a:lstStyle/>
          <a:p>
            <a:pPr>
              <a:defRPr sz="9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75991040"/>
        <c:crosses val="autoZero"/>
        <c:auto val="1"/>
        <c:lblAlgn val="ctr"/>
        <c:lblOffset val="100"/>
        <c:noMultiLvlLbl val="0"/>
      </c:catAx>
      <c:valAx>
        <c:axId val="175991040"/>
        <c:scaling>
          <c:orientation val="minMax"/>
          <c:max val="35000"/>
          <c:min val="0"/>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accent3">
                        <a:lumMod val="50000"/>
                      </a:schemeClr>
                    </a:solidFill>
                    <a:latin typeface="Times New Roman" panose="02020603050405020304" pitchFamily="18" charset="0"/>
                    <a:ea typeface="+mn-ea"/>
                    <a:cs typeface="Times New Roman" panose="02020603050405020304" pitchFamily="18" charset="0"/>
                  </a:defRPr>
                </a:pPr>
                <a:r>
                  <a:rPr lang="es-GT">
                    <a:solidFill>
                      <a:schemeClr val="accent3">
                        <a:lumMod val="50000"/>
                      </a:schemeClr>
                    </a:solidFill>
                    <a:latin typeface="Times New Roman" panose="02020603050405020304" pitchFamily="18" charset="0"/>
                    <a:cs typeface="Times New Roman" panose="02020603050405020304" pitchFamily="18" charset="0"/>
                  </a:rPr>
                  <a:t>Millones de quetzales</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s-GT"/>
          </a:p>
        </c:txPr>
        <c:crossAx val="175989504"/>
        <c:crosses val="autoZero"/>
        <c:crossBetween val="between"/>
        <c:majorUnit val="4000"/>
      </c:valAx>
      <c:valAx>
        <c:axId val="176005504"/>
        <c:scaling>
          <c:orientation val="minMax"/>
          <c:max val="100"/>
          <c:min val="0"/>
        </c:scaling>
        <c:delete val="0"/>
        <c:axPos val="r"/>
        <c:title>
          <c:tx>
            <c:rich>
              <a:bodyPr rot="5400000" spcFirstLastPara="1" vertOverflow="ellipsis" wrap="square" anchor="ctr" anchorCtr="1"/>
              <a:lstStyle/>
              <a:p>
                <a:pPr>
                  <a:defRPr sz="900" b="1" i="0" u="none" strike="noStrike" kern="1200" baseline="0">
                    <a:solidFill>
                      <a:schemeClr val="accent3">
                        <a:lumMod val="50000"/>
                      </a:schemeClr>
                    </a:solidFill>
                    <a:latin typeface="Times New Roman" panose="02020603050405020304" pitchFamily="18" charset="0"/>
                    <a:ea typeface="+mn-ea"/>
                    <a:cs typeface="Times New Roman" panose="02020603050405020304" pitchFamily="18" charset="0"/>
                  </a:defRPr>
                </a:pPr>
                <a:r>
                  <a:rPr lang="es-GT">
                    <a:solidFill>
                      <a:schemeClr val="accent3">
                        <a:lumMod val="50000"/>
                      </a:schemeClr>
                    </a:solidFill>
                    <a:latin typeface="Times New Roman" panose="02020603050405020304" pitchFamily="18" charset="0"/>
                    <a:cs typeface="Times New Roman" panose="02020603050405020304" pitchFamily="18" charset="0"/>
                  </a:rPr>
                  <a:t>Porcentajes de ejecución</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s-GT"/>
          </a:p>
        </c:txPr>
        <c:crossAx val="176007424"/>
        <c:crosses val="max"/>
        <c:crossBetween val="between"/>
      </c:valAx>
      <c:catAx>
        <c:axId val="176007424"/>
        <c:scaling>
          <c:orientation val="minMax"/>
        </c:scaling>
        <c:delete val="1"/>
        <c:axPos val="b"/>
        <c:numFmt formatCode="General" sourceLinked="1"/>
        <c:majorTickMark val="out"/>
        <c:minorTickMark val="none"/>
        <c:tickLblPos val="nextTo"/>
        <c:crossAx val="176005504"/>
        <c:crosses val="autoZero"/>
        <c:auto val="1"/>
        <c:lblAlgn val="ctr"/>
        <c:lblOffset val="100"/>
        <c:noMultiLvlLbl val="0"/>
      </c:catAx>
      <c:spPr>
        <a:pattFill prst="ltDnDiag">
          <a:fgClr>
            <a:schemeClr val="dk1">
              <a:lumMod val="15000"/>
              <a:lumOff val="85000"/>
            </a:schemeClr>
          </a:fgClr>
          <a:bgClr>
            <a:schemeClr val="lt1"/>
          </a:bgClr>
        </a:pattFill>
        <a:ln>
          <a:noFill/>
        </a:ln>
        <a:effectLst/>
      </c:spPr>
    </c:plotArea>
    <c:legend>
      <c:legendPos val="b"/>
      <c:layout>
        <c:manualLayout>
          <c:xMode val="edge"/>
          <c:yMode val="edge"/>
          <c:x val="9.4017067112755953E-2"/>
          <c:y val="0.92716579577000258"/>
          <c:w val="0.9"/>
          <c:h val="6.0436823100139876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lt1"/>
    </a:solidFill>
    <a:ln w="9525" cap="flat" cmpd="sng" algn="ctr">
      <a:noFill/>
      <a:round/>
    </a:ln>
    <a:effectLst/>
  </c:spPr>
  <c:txPr>
    <a:bodyPr/>
    <a:lstStyle/>
    <a:p>
      <a:pPr>
        <a:defRPr/>
      </a:pPr>
      <a:endParaRPr lang="es-GT"/>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Hoja1!$B$1</c:f>
              <c:strCache>
                <c:ptCount val="1"/>
                <c:pt idx="0">
                  <c:v>Asignado</c:v>
                </c:pt>
              </c:strCache>
            </c:strRef>
          </c:tx>
          <c:spPr>
            <a:solidFill>
              <a:schemeClr val="accent5">
                <a:lumMod val="40000"/>
                <a:lumOff val="60000"/>
              </a:schemeClr>
            </a:solidFill>
            <a:ln>
              <a:solidFill>
                <a:schemeClr val="tx1"/>
              </a:solidFill>
            </a:ln>
            <a:effectLst>
              <a:outerShdw blurRad="50800" dist="38100" algn="l" rotWithShape="0">
                <a:prstClr val="black">
                  <a:alpha val="40000"/>
                </a:prstClr>
              </a:outerShdw>
            </a:effectLst>
          </c:spPr>
          <c:invertIfNegative val="0"/>
          <c:dLbls>
            <c:dLbl>
              <c:idx val="1"/>
              <c:layout>
                <c:manualLayout>
                  <c:x val="0"/>
                  <c:y val="1.58730158730158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F8D-42BE-AC90-6DADC71714E6}"/>
                </c:ext>
              </c:extLst>
            </c:dLbl>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Hoja1!$A$2:$A$4</c:f>
              <c:strCache>
                <c:ptCount val="3"/>
                <c:pt idx="0">
                  <c:v>Vacuna COVID-19</c:v>
                </c:pt>
                <c:pt idx="1">
                  <c:v>Servicios de prevención y tratamiento de COVID-19</c:v>
                </c:pt>
                <c:pt idx="2">
                  <c:v>Intervenciones realizadas para la atención de la emergencia</c:v>
                </c:pt>
              </c:strCache>
            </c:strRef>
          </c:cat>
          <c:val>
            <c:numRef>
              <c:f>Hoja1!$B$2:$B$4</c:f>
              <c:numCache>
                <c:formatCode>#,##0.0</c:formatCode>
                <c:ptCount val="3"/>
                <c:pt idx="0">
                  <c:v>1037</c:v>
                </c:pt>
                <c:pt idx="1">
                  <c:v>1691.13</c:v>
                </c:pt>
                <c:pt idx="2">
                  <c:v>0</c:v>
                </c:pt>
              </c:numCache>
            </c:numRef>
          </c:val>
          <c:extLst>
            <c:ext xmlns:c16="http://schemas.microsoft.com/office/drawing/2014/chart" uri="{C3380CC4-5D6E-409C-BE32-E72D297353CC}">
              <c16:uniqueId val="{00000001-1F8D-42BE-AC90-6DADC71714E6}"/>
            </c:ext>
          </c:extLst>
        </c:ser>
        <c:ser>
          <c:idx val="1"/>
          <c:order val="1"/>
          <c:tx>
            <c:strRef>
              <c:f>Hoja1!$C$1</c:f>
              <c:strCache>
                <c:ptCount val="1"/>
                <c:pt idx="0">
                  <c:v>Vigente</c:v>
                </c:pt>
              </c:strCache>
            </c:strRef>
          </c:tx>
          <c:spPr>
            <a:solidFill>
              <a:schemeClr val="accent2">
                <a:lumMod val="60000"/>
                <a:lumOff val="40000"/>
              </a:schemeClr>
            </a:solidFill>
            <a:ln>
              <a:solidFill>
                <a:schemeClr val="tx1"/>
              </a:solidFill>
            </a:ln>
            <a:effectLst>
              <a:outerShdw blurRad="50800" dist="38100" dir="2700000" algn="tl" rotWithShape="0">
                <a:prstClr val="black">
                  <a:alpha val="40000"/>
                </a:prstClr>
              </a:outerShdw>
            </a:effectLst>
          </c:spPr>
          <c:invertIfNegative val="0"/>
          <c:dLbls>
            <c:dLbl>
              <c:idx val="1"/>
              <c:layout>
                <c:manualLayout>
                  <c:x val="-8.4875562720133283E-17"/>
                  <c:y val="3.9682539682539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F8D-42BE-AC90-6DADC71714E6}"/>
                </c:ext>
              </c:extLst>
            </c:dLbl>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Hoja1!$A$2:$A$4</c:f>
              <c:strCache>
                <c:ptCount val="3"/>
                <c:pt idx="0">
                  <c:v>Vacuna COVID-19</c:v>
                </c:pt>
                <c:pt idx="1">
                  <c:v>Servicios de prevención y tratamiento de COVID-19</c:v>
                </c:pt>
                <c:pt idx="2">
                  <c:v>Intervenciones realizadas para la atención de la emergencia</c:v>
                </c:pt>
              </c:strCache>
            </c:strRef>
          </c:cat>
          <c:val>
            <c:numRef>
              <c:f>Hoja1!$C$2:$C$4</c:f>
              <c:numCache>
                <c:formatCode>#,##0.0</c:formatCode>
                <c:ptCount val="3"/>
                <c:pt idx="0">
                  <c:v>435.8</c:v>
                </c:pt>
                <c:pt idx="1">
                  <c:v>1317.35</c:v>
                </c:pt>
                <c:pt idx="2">
                  <c:v>3.86</c:v>
                </c:pt>
              </c:numCache>
            </c:numRef>
          </c:val>
          <c:extLst>
            <c:ext xmlns:c16="http://schemas.microsoft.com/office/drawing/2014/chart" uri="{C3380CC4-5D6E-409C-BE32-E72D297353CC}">
              <c16:uniqueId val="{00000003-1F8D-42BE-AC90-6DADC71714E6}"/>
            </c:ext>
          </c:extLst>
        </c:ser>
        <c:ser>
          <c:idx val="2"/>
          <c:order val="2"/>
          <c:tx>
            <c:strRef>
              <c:f>Hoja1!$D$1</c:f>
              <c:strCache>
                <c:ptCount val="1"/>
                <c:pt idx="0">
                  <c:v>Ejecutado</c:v>
                </c:pt>
              </c:strCache>
            </c:strRef>
          </c:tx>
          <c:spPr>
            <a:solidFill>
              <a:schemeClr val="accent3"/>
            </a:solidFill>
            <a:ln>
              <a:solidFill>
                <a:schemeClr val="tx1"/>
              </a:solidFill>
            </a:ln>
            <a:effectLst>
              <a:outerShdw blurRad="50800" dist="38100" dir="2700000" algn="tl" rotWithShape="0">
                <a:prstClr val="black">
                  <a:alpha val="40000"/>
                </a:prstClr>
              </a:outerShdw>
            </a:effectLst>
          </c:spPr>
          <c:invertIfNegative val="0"/>
          <c:dLbls>
            <c:dLbl>
              <c:idx val="1"/>
              <c:layout>
                <c:manualLayout>
                  <c:x val="0"/>
                  <c:y val="3.968253968253931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F8D-42BE-AC90-6DADC71714E6}"/>
                </c:ext>
              </c:extLst>
            </c:dLbl>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Hoja1!$A$2:$A$4</c:f>
              <c:strCache>
                <c:ptCount val="3"/>
                <c:pt idx="0">
                  <c:v>Vacuna COVID-19</c:v>
                </c:pt>
                <c:pt idx="1">
                  <c:v>Servicios de prevención y tratamiento de COVID-19</c:v>
                </c:pt>
                <c:pt idx="2">
                  <c:v>Intervenciones realizadas para la atención de la emergencia</c:v>
                </c:pt>
              </c:strCache>
            </c:strRef>
          </c:cat>
          <c:val>
            <c:numRef>
              <c:f>Hoja1!$D$2:$D$4</c:f>
              <c:numCache>
                <c:formatCode>#,##0.0</c:formatCode>
                <c:ptCount val="3"/>
                <c:pt idx="0">
                  <c:v>182.75</c:v>
                </c:pt>
                <c:pt idx="1">
                  <c:v>1218.75</c:v>
                </c:pt>
                <c:pt idx="2">
                  <c:v>3.37</c:v>
                </c:pt>
              </c:numCache>
            </c:numRef>
          </c:val>
          <c:extLst>
            <c:ext xmlns:c16="http://schemas.microsoft.com/office/drawing/2014/chart" uri="{C3380CC4-5D6E-409C-BE32-E72D297353CC}">
              <c16:uniqueId val="{00000005-1F8D-42BE-AC90-6DADC71714E6}"/>
            </c:ext>
          </c:extLst>
        </c:ser>
        <c:dLbls>
          <c:showLegendKey val="0"/>
          <c:showVal val="0"/>
          <c:showCatName val="0"/>
          <c:showSerName val="0"/>
          <c:showPercent val="0"/>
          <c:showBubbleSize val="0"/>
        </c:dLbls>
        <c:gapWidth val="53"/>
        <c:overlap val="-5"/>
        <c:axId val="1184646656"/>
        <c:axId val="1184647072"/>
      </c:barChart>
      <c:catAx>
        <c:axId val="118464665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184647072"/>
        <c:crosses val="autoZero"/>
        <c:auto val="1"/>
        <c:lblAlgn val="ctr"/>
        <c:lblOffset val="100"/>
        <c:noMultiLvlLbl val="0"/>
      </c:catAx>
      <c:valAx>
        <c:axId val="1184647072"/>
        <c:scaling>
          <c:orientation val="minMax"/>
        </c:scaling>
        <c:delete val="0"/>
        <c:axPos val="l"/>
        <c:majorGridlines>
          <c:spPr>
            <a:ln w="9525" cap="flat" cmpd="sng" algn="ctr">
              <a:solidFill>
                <a:schemeClr val="dk1">
                  <a:lumMod val="15000"/>
                  <a:lumOff val="85000"/>
                </a:schemeClr>
              </a:solidFill>
              <a:round/>
            </a:ln>
            <a:effectLst/>
          </c:spPr>
        </c:majorGridlines>
        <c:minorGridlines>
          <c:spPr>
            <a:ln w="9525" cap="flat" cmpd="sng" algn="ctr">
              <a:solidFill>
                <a:schemeClr val="dk1">
                  <a:lumMod val="5000"/>
                  <a:lumOff val="95000"/>
                </a:schemeClr>
              </a:solidFill>
              <a:round/>
            </a:ln>
            <a:effectLst/>
          </c:spPr>
        </c:min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184646656"/>
        <c:crosses val="autoZero"/>
        <c:crossBetween val="between"/>
      </c:valAx>
      <c:spPr>
        <a:pattFill prst="ltDnDiag">
          <a:fgClr>
            <a:schemeClr val="dk1">
              <a:lumMod val="15000"/>
              <a:lumOff val="85000"/>
            </a:schemeClr>
          </a:fgClr>
          <a:bgClr>
            <a:schemeClr val="lt1"/>
          </a:bgClr>
        </a:patt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2306229196386118E-2"/>
          <c:y val="5.7049714751426242E-2"/>
          <c:w val="0.9308482680978839"/>
          <c:h val="0.82390804716164423"/>
        </c:manualLayout>
      </c:layout>
      <c:ofPieChart>
        <c:ofPieType val="pie"/>
        <c:varyColors val="1"/>
        <c:ser>
          <c:idx val="0"/>
          <c:order val="0"/>
          <c:tx>
            <c:strRef>
              <c:f>Sheet1!$B$1</c:f>
              <c:strCache>
                <c:ptCount val="1"/>
                <c:pt idx="0">
                  <c:v>Column1</c:v>
                </c:pt>
              </c:strCache>
            </c:strRef>
          </c:tx>
          <c:spPr>
            <a:ln w="9525">
              <a:solidFill>
                <a:schemeClr val="tx1"/>
              </a:solidFill>
            </a:ln>
            <a:effectLst>
              <a:softEdge rad="0"/>
            </a:effectLst>
          </c:spPr>
          <c:dPt>
            <c:idx val="0"/>
            <c:bubble3D val="0"/>
            <c:spPr>
              <a:solidFill>
                <a:srgbClr val="C00000"/>
              </a:solidFill>
              <a:ln w="9525">
                <a:solidFill>
                  <a:schemeClr val="tx1"/>
                </a:solidFill>
              </a:ln>
              <a:effectLst>
                <a:softEdge rad="0"/>
              </a:effectLst>
            </c:spPr>
            <c:extLst>
              <c:ext xmlns:c16="http://schemas.microsoft.com/office/drawing/2014/chart" uri="{C3380CC4-5D6E-409C-BE32-E72D297353CC}">
                <c16:uniqueId val="{00000001-FFC0-48E9-9C37-543123EA3151}"/>
              </c:ext>
            </c:extLst>
          </c:dPt>
          <c:dPt>
            <c:idx val="1"/>
            <c:bubble3D val="0"/>
            <c:spPr>
              <a:solidFill>
                <a:schemeClr val="accent1">
                  <a:shade val="86000"/>
                </a:schemeClr>
              </a:solidFill>
              <a:ln w="9525">
                <a:solidFill>
                  <a:schemeClr val="tx1"/>
                </a:solidFill>
              </a:ln>
              <a:effectLst>
                <a:softEdge rad="0"/>
              </a:effectLst>
            </c:spPr>
            <c:extLst>
              <c:ext xmlns:c16="http://schemas.microsoft.com/office/drawing/2014/chart" uri="{C3380CC4-5D6E-409C-BE32-E72D297353CC}">
                <c16:uniqueId val="{00000003-FFC0-48E9-9C37-543123EA3151}"/>
              </c:ext>
            </c:extLst>
          </c:dPt>
          <c:dPt>
            <c:idx val="2"/>
            <c:bubble3D val="0"/>
            <c:spPr>
              <a:solidFill>
                <a:schemeClr val="accent1">
                  <a:tint val="86000"/>
                </a:schemeClr>
              </a:solidFill>
              <a:ln w="9525">
                <a:solidFill>
                  <a:schemeClr val="tx1"/>
                </a:solidFill>
              </a:ln>
              <a:effectLst>
                <a:softEdge rad="0"/>
              </a:effectLst>
            </c:spPr>
            <c:extLst>
              <c:ext xmlns:c16="http://schemas.microsoft.com/office/drawing/2014/chart" uri="{C3380CC4-5D6E-409C-BE32-E72D297353CC}">
                <c16:uniqueId val="{00000005-FFC0-48E9-9C37-543123EA3151}"/>
              </c:ext>
            </c:extLst>
          </c:dPt>
          <c:dPt>
            <c:idx val="3"/>
            <c:bubble3D val="0"/>
            <c:spPr>
              <a:solidFill>
                <a:schemeClr val="accent1">
                  <a:tint val="58000"/>
                </a:schemeClr>
              </a:solidFill>
              <a:ln w="9525">
                <a:solidFill>
                  <a:schemeClr val="tx1"/>
                </a:solidFill>
              </a:ln>
              <a:effectLst>
                <a:softEdge rad="0"/>
              </a:effectLst>
            </c:spPr>
            <c:extLst>
              <c:ext xmlns:c16="http://schemas.microsoft.com/office/drawing/2014/chart" uri="{C3380CC4-5D6E-409C-BE32-E72D297353CC}">
                <c16:uniqueId val="{00000007-FFC0-48E9-9C37-543123EA3151}"/>
              </c:ext>
            </c:extLst>
          </c:dPt>
          <c:dPt>
            <c:idx val="4"/>
            <c:bubble3D val="0"/>
            <c:spPr>
              <a:solidFill>
                <a:schemeClr val="accent1">
                  <a:lumMod val="50000"/>
                </a:schemeClr>
              </a:solidFill>
              <a:ln w="9525">
                <a:solidFill>
                  <a:schemeClr val="tx1"/>
                </a:solidFill>
              </a:ln>
              <a:effectLst>
                <a:softEdge rad="0"/>
              </a:effectLst>
            </c:spPr>
            <c:extLst>
              <c:ext xmlns:c16="http://schemas.microsoft.com/office/drawing/2014/chart" uri="{C3380CC4-5D6E-409C-BE32-E72D297353CC}">
                <c16:uniqueId val="{00000009-FFC0-48E9-9C37-543123EA3151}"/>
              </c:ext>
            </c:extLst>
          </c:dPt>
          <c:dLbls>
            <c:dLbl>
              <c:idx val="0"/>
              <c:layout>
                <c:manualLayout>
                  <c:x val="0.13195876288659794"/>
                  <c:y val="-6.8325536493551329E-3"/>
                </c:manualLayout>
              </c:layout>
              <c:spPr>
                <a:noFill/>
                <a:ln w="6350">
                  <a:noFill/>
                </a:ln>
                <a:effectLst/>
              </c:spPr>
              <c:txPr>
                <a:bodyPr rot="0" spcFirstLastPara="1" vertOverflow="ellipsis" vert="horz" wrap="square" lIns="38100" tIns="19050" rIns="38100" bIns="19050" anchor="ctr" anchorCtr="0">
                  <a:spAutoFit/>
                </a:bodyPr>
                <a:lstStyle/>
                <a:p>
                  <a:pPr algn="ct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FC0-48E9-9C37-543123EA3151}"/>
                </c:ext>
              </c:extLst>
            </c:dLbl>
            <c:dLbl>
              <c:idx val="2"/>
              <c:layout>
                <c:manualLayout>
                  <c:x val="-9.8969072164948449E-2"/>
                  <c:y val="0.18902619779511021"/>
                </c:manualLayout>
              </c:layout>
              <c:spPr>
                <a:noFill/>
                <a:ln w="6350">
                  <a:noFill/>
                </a:ln>
                <a:effectLst/>
              </c:spPr>
              <c:txPr>
                <a:bodyPr rot="0" spcFirstLastPara="1" vertOverflow="ellipsis" vert="horz" wrap="square" lIns="38100" tIns="19050" rIns="38100" bIns="19050" anchor="ctr" anchorCtr="0">
                  <a:spAutoFit/>
                </a:bodyPr>
                <a:lstStyle/>
                <a:p>
                  <a:pPr algn="ct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1"/>
              <c:showBubbleSize val="0"/>
              <c:extLst>
                <c:ext xmlns:c15="http://schemas.microsoft.com/office/drawing/2012/chart" uri="{CE6537A1-D6FC-4f65-9D91-7224C49458BB}">
                  <c15:layout>
                    <c:manualLayout>
                      <c:w val="0.25877474690663665"/>
                      <c:h val="0.33451340236013805"/>
                    </c:manualLayout>
                  </c15:layout>
                </c:ext>
                <c:ext xmlns:c16="http://schemas.microsoft.com/office/drawing/2014/chart" uri="{C3380CC4-5D6E-409C-BE32-E72D297353CC}">
                  <c16:uniqueId val="{00000005-FFC0-48E9-9C37-543123EA3151}"/>
                </c:ext>
              </c:extLst>
            </c:dLbl>
            <c:dLbl>
              <c:idx val="3"/>
              <c:layout>
                <c:manualLayout>
                  <c:x val="0.15395167356657738"/>
                  <c:y val="-7.4750435665228558E-4"/>
                </c:manualLayout>
              </c:layout>
              <c:spPr>
                <a:noFill/>
                <a:ln w="6350">
                  <a:noFill/>
                </a:ln>
                <a:effectLst/>
              </c:spPr>
              <c:txPr>
                <a:bodyPr rot="0" spcFirstLastPara="1" vertOverflow="ellipsis" vert="horz" wrap="square" lIns="38100" tIns="19050" rIns="38100" bIns="19050" anchor="ctr" anchorCtr="0">
                  <a:noAutofit/>
                </a:bodyPr>
                <a:lstStyle/>
                <a:p>
                  <a:pPr algn="ct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1"/>
              <c:showBubbleSize val="0"/>
              <c:extLst>
                <c:ext xmlns:c15="http://schemas.microsoft.com/office/drawing/2012/chart" uri="{CE6537A1-D6FC-4f65-9D91-7224C49458BB}">
                  <c15:layout>
                    <c:manualLayout>
                      <c:w val="0.23387136401764214"/>
                      <c:h val="0.26419152318483163"/>
                    </c:manualLayout>
                  </c15:layout>
                </c:ext>
                <c:ext xmlns:c16="http://schemas.microsoft.com/office/drawing/2014/chart" uri="{C3380CC4-5D6E-409C-BE32-E72D297353CC}">
                  <c16:uniqueId val="{00000007-FFC0-48E9-9C37-543123EA3151}"/>
                </c:ext>
              </c:extLst>
            </c:dLbl>
            <c:dLbl>
              <c:idx val="4"/>
              <c:layout>
                <c:manualLayout>
                  <c:x val="-0.25497047920556321"/>
                  <c:y val="2.6725968127704173E-2"/>
                </c:manualLayout>
              </c:layout>
              <c:tx>
                <c:rich>
                  <a:bodyPr rot="0" spcFirstLastPara="1" vertOverflow="ellipsis" vert="horz" wrap="square" lIns="38100" tIns="19050" rIns="38100" bIns="19050" anchor="ctr" anchorCtr="0">
                    <a:noAutofit/>
                  </a:bodyPr>
                  <a:lstStyle/>
                  <a:p>
                    <a:pPr algn="ctr">
                      <a:defRPr sz="1050" b="1" i="0" u="none" strike="noStrike" kern="1200" baseline="0">
                        <a:solidFill>
                          <a:schemeClr val="bg1"/>
                        </a:solidFill>
                        <a:latin typeface="Times New Roman" panose="02020603050405020304" pitchFamily="18" charset="0"/>
                        <a:ea typeface="+mn-ea"/>
                        <a:cs typeface="Times New Roman" panose="02020603050405020304" pitchFamily="18" charset="0"/>
                      </a:defRPr>
                    </a:pPr>
                    <a:r>
                      <a:rPr lang="en-US" sz="1050" baseline="0">
                        <a:solidFill>
                          <a:schemeClr val="bg1"/>
                        </a:solidFill>
                        <a:latin typeface="Times New Roman" panose="02020603050405020304" pitchFamily="18" charset="0"/>
                        <a:cs typeface="Times New Roman" panose="02020603050405020304" pitchFamily="18" charset="0"/>
                      </a:rPr>
                      <a:t>Colocado; </a:t>
                    </a:r>
                    <a:fld id="{36066939-FD9D-4D7E-89B2-F23616AF3D74}" type="VALUE">
                      <a:rPr lang="en-US" sz="1050" baseline="0">
                        <a:solidFill>
                          <a:schemeClr val="bg1"/>
                        </a:solidFill>
                        <a:latin typeface="Times New Roman" panose="02020603050405020304" pitchFamily="18" charset="0"/>
                        <a:cs typeface="Times New Roman" panose="02020603050405020304" pitchFamily="18" charset="0"/>
                      </a:rPr>
                      <a:pPr algn="ctr">
                        <a:defRPr sz="1050" b="1">
                          <a:solidFill>
                            <a:schemeClr val="bg1"/>
                          </a:solidFill>
                          <a:latin typeface="Times New Roman" panose="02020603050405020304" pitchFamily="18" charset="0"/>
                          <a:cs typeface="Times New Roman" panose="02020603050405020304" pitchFamily="18" charset="0"/>
                        </a:defRPr>
                      </a:pPr>
                      <a:t>[VALOR]</a:t>
                    </a:fld>
                    <a:endParaRPr lang="en-US" sz="1050" baseline="0">
                      <a:solidFill>
                        <a:schemeClr val="bg1"/>
                      </a:solidFill>
                      <a:latin typeface="Times New Roman" panose="02020603050405020304" pitchFamily="18" charset="0"/>
                      <a:cs typeface="Times New Roman" panose="02020603050405020304" pitchFamily="18" charset="0"/>
                    </a:endParaRPr>
                  </a:p>
                </c:rich>
              </c:tx>
              <c:numFmt formatCode="#,##0.0" sourceLinked="0"/>
              <c:spPr>
                <a:noFill/>
                <a:ln w="6350">
                  <a:noFill/>
                </a:ln>
                <a:effectLst/>
              </c:spPr>
              <c:txPr>
                <a:bodyPr rot="0" spcFirstLastPara="1" vertOverflow="ellipsis" vert="horz" wrap="square" lIns="38100" tIns="19050" rIns="38100" bIns="19050" anchor="ctr" anchorCtr="0">
                  <a:noAutofit/>
                </a:bodyPr>
                <a:lstStyle/>
                <a:p>
                  <a:pPr algn="ctr">
                    <a:defRPr sz="105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1"/>
              <c:showBubbleSize val="0"/>
              <c:extLst>
                <c:ext xmlns:c15="http://schemas.microsoft.com/office/drawing/2012/chart" uri="{CE6537A1-D6FC-4f65-9D91-7224C49458BB}">
                  <c15:layout>
                    <c:manualLayout>
                      <c:w val="0.23581790115780696"/>
                      <c:h val="0.30127643566805451"/>
                    </c:manualLayout>
                  </c15:layout>
                  <c15:dlblFieldTable/>
                  <c15:showDataLabelsRange val="0"/>
                </c:ext>
                <c:ext xmlns:c16="http://schemas.microsoft.com/office/drawing/2014/chart" uri="{C3380CC4-5D6E-409C-BE32-E72D297353CC}">
                  <c16:uniqueId val="{00000009-FFC0-48E9-9C37-543123EA3151}"/>
                </c:ext>
              </c:extLst>
            </c:dLbl>
            <c:spPr>
              <a:noFill/>
              <a:ln w="6350">
                <a:noFill/>
              </a:ln>
              <a:effectLst/>
            </c:spPr>
            <c:txPr>
              <a:bodyPr rot="0" spcFirstLastPara="1" vertOverflow="ellipsis" vert="horz" wrap="square" lIns="38100" tIns="19050" rIns="38100" bIns="19050" anchor="ctr" anchorCtr="0">
                <a:spAutoFit/>
              </a:bodyPr>
              <a:lstStyle/>
              <a:p>
                <a:pPr algn="ct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1"/>
            <c:showBubbleSize val="0"/>
            <c:showLeaderLines val="0"/>
            <c:extLst>
              <c:ext xmlns:c15="http://schemas.microsoft.com/office/drawing/2012/chart" uri="{CE6537A1-D6FC-4f65-9D91-7224C49458BB}"/>
            </c:extLst>
          </c:dLbls>
          <c:cat>
            <c:strRef>
              <c:f>Sheet1!$A$2:$A$5</c:f>
              <c:strCache>
                <c:ptCount val="4"/>
                <c:pt idx="0">
                  <c:v>NO Colocado</c:v>
                </c:pt>
                <c:pt idx="1">
                  <c:v>Colocado</c:v>
                </c:pt>
                <c:pt idx="2">
                  <c:v>Nuevo Endeudamiento</c:v>
                </c:pt>
                <c:pt idx="3">
                  <c:v>Roll Over</c:v>
                </c:pt>
              </c:strCache>
            </c:strRef>
          </c:cat>
          <c:val>
            <c:numRef>
              <c:f>Sheet1!$B$2:$B$5</c:f>
              <c:numCache>
                <c:formatCode>General</c:formatCode>
                <c:ptCount val="4"/>
                <c:pt idx="0" formatCode="#,##0.0">
                  <c:v>5149.3670187999996</c:v>
                </c:pt>
                <c:pt idx="2" formatCode="#,##0.0">
                  <c:v>11755.038981199999</c:v>
                </c:pt>
                <c:pt idx="3" formatCode="#,##0.0">
                  <c:v>1085.3989999999999</c:v>
                </c:pt>
              </c:numCache>
            </c:numRef>
          </c:val>
          <c:extLst>
            <c:ext xmlns:c16="http://schemas.microsoft.com/office/drawing/2014/chart" uri="{C3380CC4-5D6E-409C-BE32-E72D297353CC}">
              <c16:uniqueId val="{0000000A-FFC0-48E9-9C37-543123EA3151}"/>
            </c:ext>
          </c:extLst>
        </c:ser>
        <c:dLbls>
          <c:showLegendKey val="0"/>
          <c:showVal val="0"/>
          <c:showCatName val="0"/>
          <c:showSerName val="0"/>
          <c:showPercent val="0"/>
          <c:showBubbleSize val="0"/>
          <c:showLeaderLines val="0"/>
        </c:dLbls>
        <c:gapWidth val="29"/>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63385826771654"/>
          <c:y val="2.8942896805340519E-2"/>
          <c:w val="0.79788969087197437"/>
          <c:h val="0.77259257056997999"/>
        </c:manualLayout>
      </c:layout>
      <c:barChart>
        <c:barDir val="col"/>
        <c:grouping val="stacked"/>
        <c:varyColors val="0"/>
        <c:ser>
          <c:idx val="1"/>
          <c:order val="1"/>
          <c:tx>
            <c:strRef>
              <c:f>Hoja1!$A$3</c:f>
              <c:strCache>
                <c:ptCount val="1"/>
                <c:pt idx="0">
                  <c:v>Deuda Interna</c:v>
                </c:pt>
              </c:strCache>
            </c:strRef>
          </c:tx>
          <c:spPr>
            <a:solidFill>
              <a:srgbClr val="4BACC6">
                <a:lumMod val="50000"/>
              </a:srgbClr>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Hoja1!$B$1:$I$1</c:f>
              <c:strCache>
                <c:ptCount val="8"/>
                <c:pt idx="0">
                  <c:v>2015</c:v>
                </c:pt>
                <c:pt idx="1">
                  <c:v>2016</c:v>
                </c:pt>
                <c:pt idx="2">
                  <c:v>2017</c:v>
                </c:pt>
                <c:pt idx="3">
                  <c:v>2018</c:v>
                </c:pt>
                <c:pt idx="4">
                  <c:v>2019</c:v>
                </c:pt>
                <c:pt idx="5">
                  <c:v>2020</c:v>
                </c:pt>
                <c:pt idx="6">
                  <c:v>2021</c:v>
                </c:pt>
                <c:pt idx="7">
                  <c:v>2022</c:v>
                </c:pt>
              </c:strCache>
            </c:strRef>
          </c:cat>
          <c:val>
            <c:numRef>
              <c:f>Hoja1!$B$3:$I$3</c:f>
              <c:numCache>
                <c:formatCode>#,##0.0</c:formatCode>
                <c:ptCount val="8"/>
                <c:pt idx="0">
                  <c:v>51.8</c:v>
                </c:pt>
                <c:pt idx="1">
                  <c:v>52</c:v>
                </c:pt>
                <c:pt idx="2">
                  <c:v>54.6</c:v>
                </c:pt>
                <c:pt idx="3">
                  <c:v>56.4</c:v>
                </c:pt>
                <c:pt idx="4">
                  <c:v>55.4</c:v>
                </c:pt>
                <c:pt idx="5">
                  <c:v>57</c:v>
                </c:pt>
                <c:pt idx="6">
                  <c:v>58.1</c:v>
                </c:pt>
                <c:pt idx="7">
                  <c:v>59.4</c:v>
                </c:pt>
              </c:numCache>
            </c:numRef>
          </c:val>
          <c:extLst>
            <c:ext xmlns:c16="http://schemas.microsoft.com/office/drawing/2014/chart" uri="{C3380CC4-5D6E-409C-BE32-E72D297353CC}">
              <c16:uniqueId val="{00000000-4BDD-4262-9357-9FD69CD883BC}"/>
            </c:ext>
          </c:extLst>
        </c:ser>
        <c:ser>
          <c:idx val="2"/>
          <c:order val="2"/>
          <c:tx>
            <c:strRef>
              <c:f>Hoja1!$A$4</c:f>
              <c:strCache>
                <c:ptCount val="1"/>
                <c:pt idx="0">
                  <c:v>Deuda Externa</c:v>
                </c:pt>
              </c:strCache>
            </c:strRef>
          </c:tx>
          <c:spPr>
            <a:solidFill>
              <a:srgbClr val="FFC000"/>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accent6">
                        <a:lumMod val="50000"/>
                      </a:schemeClr>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Hoja1!$B$1:$I$1</c:f>
              <c:strCache>
                <c:ptCount val="8"/>
                <c:pt idx="0">
                  <c:v>2015</c:v>
                </c:pt>
                <c:pt idx="1">
                  <c:v>2016</c:v>
                </c:pt>
                <c:pt idx="2">
                  <c:v>2017</c:v>
                </c:pt>
                <c:pt idx="3">
                  <c:v>2018</c:v>
                </c:pt>
                <c:pt idx="4">
                  <c:v>2019</c:v>
                </c:pt>
                <c:pt idx="5">
                  <c:v>2020</c:v>
                </c:pt>
                <c:pt idx="6">
                  <c:v>2021</c:v>
                </c:pt>
                <c:pt idx="7">
                  <c:v>2022</c:v>
                </c:pt>
              </c:strCache>
            </c:strRef>
          </c:cat>
          <c:val>
            <c:numRef>
              <c:f>Hoja1!$B$4:$I$4</c:f>
              <c:numCache>
                <c:formatCode>#,##0.0</c:formatCode>
                <c:ptCount val="8"/>
                <c:pt idx="0">
                  <c:v>48.2</c:v>
                </c:pt>
                <c:pt idx="1">
                  <c:v>48</c:v>
                </c:pt>
                <c:pt idx="2">
                  <c:v>45.4</c:v>
                </c:pt>
                <c:pt idx="3">
                  <c:v>43.6</c:v>
                </c:pt>
                <c:pt idx="4">
                  <c:v>44.6</c:v>
                </c:pt>
                <c:pt idx="5">
                  <c:v>43</c:v>
                </c:pt>
                <c:pt idx="6">
                  <c:v>41.9</c:v>
                </c:pt>
                <c:pt idx="7">
                  <c:v>40.6</c:v>
                </c:pt>
              </c:numCache>
            </c:numRef>
          </c:val>
          <c:extLst>
            <c:ext xmlns:c16="http://schemas.microsoft.com/office/drawing/2014/chart" uri="{C3380CC4-5D6E-409C-BE32-E72D297353CC}">
              <c16:uniqueId val="{00000001-4BDD-4262-9357-9FD69CD883BC}"/>
            </c:ext>
          </c:extLst>
        </c:ser>
        <c:dLbls>
          <c:showLegendKey val="0"/>
          <c:showVal val="0"/>
          <c:showCatName val="0"/>
          <c:showSerName val="0"/>
          <c:showPercent val="0"/>
          <c:showBubbleSize val="0"/>
        </c:dLbls>
        <c:gapWidth val="89"/>
        <c:overlap val="100"/>
        <c:axId val="201814016"/>
        <c:axId val="201815552"/>
      </c:barChart>
      <c:lineChart>
        <c:grouping val="standard"/>
        <c:varyColors val="0"/>
        <c:ser>
          <c:idx val="0"/>
          <c:order val="0"/>
          <c:tx>
            <c:strRef>
              <c:f>Hoja1!$A$2</c:f>
              <c:strCache>
                <c:ptCount val="1"/>
                <c:pt idx="0">
                  <c:v>Deuda % del PIB</c:v>
                </c:pt>
              </c:strCache>
            </c:strRef>
          </c:tx>
          <c:spPr>
            <a:ln w="38100" cap="rnd" cmpd="thickThin">
              <a:solidFill>
                <a:schemeClr val="accent1"/>
              </a:solidFill>
              <a:round/>
            </a:ln>
            <a:effectLst/>
          </c:spPr>
          <c:marker>
            <c:symbol val="circle"/>
            <c:size val="6"/>
          </c:marker>
          <c:dPt>
            <c:idx val="5"/>
            <c:marker>
              <c:spPr>
                <a:solidFill>
                  <a:srgbClr val="FF0000"/>
                </a:solidFill>
                <a:ln>
                  <a:solidFill>
                    <a:srgbClr val="FF0000"/>
                  </a:solidFill>
                </a:ln>
              </c:spPr>
            </c:marker>
            <c:bubble3D val="0"/>
            <c:spPr>
              <a:ln w="38100" cap="rnd" cmpd="thickThin">
                <a:solidFill>
                  <a:srgbClr val="FF0000"/>
                </a:solidFill>
                <a:prstDash val="sysDash"/>
                <a:round/>
              </a:ln>
              <a:effectLst/>
            </c:spPr>
            <c:extLst>
              <c:ext xmlns:c16="http://schemas.microsoft.com/office/drawing/2014/chart" uri="{C3380CC4-5D6E-409C-BE32-E72D297353CC}">
                <c16:uniqueId val="{00000003-4BDD-4262-9357-9FD69CD883BC}"/>
              </c:ext>
            </c:extLst>
          </c:dPt>
          <c:dPt>
            <c:idx val="6"/>
            <c:marker>
              <c:symbol val="circle"/>
              <c:size val="7"/>
              <c:spPr>
                <a:solidFill>
                  <a:srgbClr val="92D050"/>
                </a:solidFill>
                <a:ln>
                  <a:solidFill>
                    <a:srgbClr val="9BBB59">
                      <a:lumMod val="50000"/>
                    </a:srgbClr>
                  </a:solidFill>
                  <a:prstDash val="sysDot"/>
                </a:ln>
              </c:spPr>
            </c:marker>
            <c:bubble3D val="0"/>
            <c:spPr>
              <a:ln w="38100" cap="rnd" cmpd="sng">
                <a:solidFill>
                  <a:srgbClr val="92D050"/>
                </a:solidFill>
                <a:prstDash val="sysDash"/>
                <a:round/>
              </a:ln>
              <a:effectLst/>
            </c:spPr>
            <c:extLst>
              <c:ext xmlns:c16="http://schemas.microsoft.com/office/drawing/2014/chart" uri="{C3380CC4-5D6E-409C-BE32-E72D297353CC}">
                <c16:uniqueId val="{00000005-4BDD-4262-9357-9FD69CD883BC}"/>
              </c:ext>
            </c:extLst>
          </c:dPt>
          <c:dLbls>
            <c:dLbl>
              <c:idx val="0"/>
              <c:layout>
                <c:manualLayout>
                  <c:x val="-4.3137254901960784E-2"/>
                  <c:y val="-5.67739401892945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BDD-4262-9357-9FD69CD883BC}"/>
                </c:ext>
              </c:extLst>
            </c:dLbl>
            <c:dLbl>
              <c:idx val="1"/>
              <c:layout>
                <c:manualLayout>
                  <c:x val="-4.0522875816993514E-2"/>
                  <c:y val="-4.41475457449898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BDD-4262-9357-9FD69CD883BC}"/>
                </c:ext>
              </c:extLst>
            </c:dLbl>
            <c:dLbl>
              <c:idx val="2"/>
              <c:layout>
                <c:manualLayout>
                  <c:x val="-4.0522875816993466E-2"/>
                  <c:y val="-4.41475457449898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BDD-4262-9357-9FD69CD883BC}"/>
                </c:ext>
              </c:extLst>
            </c:dLbl>
            <c:dLbl>
              <c:idx val="3"/>
              <c:layout>
                <c:manualLayout>
                  <c:x val="-4.3137254901960784E-2"/>
                  <c:y val="-4.99564333430148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BDD-4262-9357-9FD69CD883BC}"/>
                </c:ext>
              </c:extLst>
            </c:dLbl>
            <c:dLbl>
              <c:idx val="4"/>
              <c:layout>
                <c:manualLayout>
                  <c:x val="-4.5751633986928199E-2"/>
                  <c:y val="-5.57653209410397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BDD-4262-9357-9FD69CD883BC}"/>
                </c:ext>
              </c:extLst>
            </c:dLbl>
            <c:dLbl>
              <c:idx val="5"/>
              <c:layout>
                <c:manualLayout>
                  <c:x val="-4.0522875816993466E-2"/>
                  <c:y val="-4.6668953312654117E-2"/>
                </c:manualLayout>
              </c:layout>
              <c:spPr>
                <a:noFill/>
                <a:ln>
                  <a:noFill/>
                </a:ln>
                <a:effectLst/>
              </c:spPr>
              <c:txPr>
                <a:bodyPr rot="0" spcFirstLastPara="1" vertOverflow="ellipsis" vert="horz" wrap="square" anchor="ctr" anchorCtr="1"/>
                <a:lstStyle/>
                <a:p>
                  <a:pPr>
                    <a:defRPr sz="8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BDD-4262-9357-9FD69CD883BC}"/>
                </c:ext>
              </c:extLst>
            </c:dLbl>
            <c:dLbl>
              <c:idx val="6"/>
              <c:layout>
                <c:manualLayout>
                  <c:x val="-4.1830065359477121E-2"/>
                  <c:y val="6.8813131313131312E-2"/>
                </c:manualLayout>
              </c:layout>
              <c:spPr>
                <a:solidFill>
                  <a:srgbClr val="9BBB59">
                    <a:lumMod val="40000"/>
                    <a:lumOff val="60000"/>
                  </a:srgbClr>
                </a:solidFill>
                <a:ln>
                  <a:solidFill>
                    <a:srgbClr val="9BBB59">
                      <a:lumMod val="50000"/>
                    </a:srgbClr>
                  </a:solidFill>
                </a:ln>
                <a:effectLst/>
              </c:spPr>
              <c:txPr>
                <a:bodyPr rot="0" spcFirstLastPara="1" vertOverflow="ellipsis" vert="horz" wrap="square" anchor="ctr" anchorCtr="1"/>
                <a:lstStyle/>
                <a:p>
                  <a:pPr>
                    <a:defRPr sz="800" b="1" i="0" u="none" strike="noStrike" kern="1200" baseline="0">
                      <a:solidFill>
                        <a:schemeClr val="accent3">
                          <a:lumMod val="50000"/>
                        </a:schemeClr>
                      </a:solidFill>
                      <a:latin typeface="Times New Roman" panose="02020603050405020304" pitchFamily="18" charset="0"/>
                      <a:ea typeface="+mn-ea"/>
                      <a:cs typeface="Times New Roman" panose="02020603050405020304" pitchFamily="18" charset="0"/>
                    </a:defRPr>
                  </a:pPr>
                  <a:endParaRPr lang="es-G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BDD-4262-9357-9FD69CD883BC}"/>
                </c:ext>
              </c:extLst>
            </c:dLbl>
            <c:spPr>
              <a:noFill/>
              <a:ln>
                <a:noFill/>
              </a:ln>
              <a:effectLst/>
            </c:spPr>
            <c:txPr>
              <a:bodyPr rot="0" spcFirstLastPara="1" vertOverflow="ellipsis" vert="horz" wrap="square" anchor="ctr" anchorCtr="1"/>
              <a:lstStyle/>
              <a:p>
                <a:pPr>
                  <a:defRPr sz="800" b="1" i="0" u="none" strike="noStrike" kern="1200" baseline="0">
                    <a:solidFill>
                      <a:schemeClr val="tx2">
                        <a:lumMod val="50000"/>
                      </a:schemeClr>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Hoja1!$B$1:$I$1</c:f>
              <c:strCache>
                <c:ptCount val="8"/>
                <c:pt idx="0">
                  <c:v>2015</c:v>
                </c:pt>
                <c:pt idx="1">
                  <c:v>2016</c:v>
                </c:pt>
                <c:pt idx="2">
                  <c:v>2017</c:v>
                </c:pt>
                <c:pt idx="3">
                  <c:v>2018</c:v>
                </c:pt>
                <c:pt idx="4">
                  <c:v>2019</c:v>
                </c:pt>
                <c:pt idx="5">
                  <c:v>2020</c:v>
                </c:pt>
                <c:pt idx="6">
                  <c:v>2021</c:v>
                </c:pt>
                <c:pt idx="7">
                  <c:v>2022</c:v>
                </c:pt>
              </c:strCache>
            </c:strRef>
          </c:cat>
          <c:val>
            <c:numRef>
              <c:f>Hoja1!$B$2:$I$2</c:f>
              <c:numCache>
                <c:formatCode>#,##0.0</c:formatCode>
                <c:ptCount val="8"/>
                <c:pt idx="0">
                  <c:v>24.9</c:v>
                </c:pt>
                <c:pt idx="1">
                  <c:v>25</c:v>
                </c:pt>
                <c:pt idx="2">
                  <c:v>25.2</c:v>
                </c:pt>
                <c:pt idx="3">
                  <c:v>26.5</c:v>
                </c:pt>
                <c:pt idx="4">
                  <c:v>26.5</c:v>
                </c:pt>
                <c:pt idx="5">
                  <c:v>31.6</c:v>
                </c:pt>
                <c:pt idx="6">
                  <c:v>30.8</c:v>
                </c:pt>
                <c:pt idx="7">
                  <c:v>29.3</c:v>
                </c:pt>
              </c:numCache>
            </c:numRef>
          </c:val>
          <c:smooth val="0"/>
          <c:extLst>
            <c:ext xmlns:c16="http://schemas.microsoft.com/office/drawing/2014/chart" uri="{C3380CC4-5D6E-409C-BE32-E72D297353CC}">
              <c16:uniqueId val="{0000000B-4BDD-4262-9357-9FD69CD883BC}"/>
            </c:ext>
          </c:extLst>
        </c:ser>
        <c:dLbls>
          <c:showLegendKey val="0"/>
          <c:showVal val="0"/>
          <c:showCatName val="0"/>
          <c:showSerName val="0"/>
          <c:showPercent val="0"/>
          <c:showBubbleSize val="0"/>
        </c:dLbls>
        <c:marker val="1"/>
        <c:smooth val="0"/>
        <c:axId val="201831936"/>
        <c:axId val="201817472"/>
      </c:lineChart>
      <c:catAx>
        <c:axId val="201814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01815552"/>
        <c:crosses val="autoZero"/>
        <c:auto val="1"/>
        <c:lblAlgn val="ctr"/>
        <c:lblOffset val="100"/>
        <c:noMultiLvlLbl val="0"/>
      </c:catAx>
      <c:valAx>
        <c:axId val="201815552"/>
        <c:scaling>
          <c:orientation val="minMax"/>
          <c:max val="1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a:t>Estructura %</a:t>
                </a:r>
              </a:p>
            </c:rich>
          </c:tx>
          <c:layout>
            <c:manualLayout>
              <c:xMode val="edge"/>
              <c:yMode val="edge"/>
              <c:x val="4.6296296296296294E-3"/>
              <c:y val="0.30195189535734263"/>
            </c:manualLayout>
          </c:layout>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01814016"/>
        <c:crosses val="autoZero"/>
        <c:crossBetween val="between"/>
      </c:valAx>
      <c:valAx>
        <c:axId val="201817472"/>
        <c:scaling>
          <c:orientation val="minMax"/>
          <c:max val="40"/>
          <c:min val="0"/>
        </c:scaling>
        <c:delete val="0"/>
        <c:axPos val="r"/>
        <c:title>
          <c:tx>
            <c:rich>
              <a:bodyPr rot="5400000" spcFirstLastPara="1" vertOverflow="ellipsis"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a:t>Porcentaje del PIB</a:t>
                </a:r>
              </a:p>
            </c:rich>
          </c:tx>
          <c:layout>
            <c:manualLayout>
              <c:xMode val="edge"/>
              <c:yMode val="edge"/>
              <c:x val="0.96412037037037035"/>
              <c:y val="0.24280435437373607"/>
            </c:manualLayout>
          </c:layout>
          <c:overlay val="0"/>
          <c:spPr>
            <a:noFill/>
            <a:ln>
              <a:noFill/>
            </a:ln>
            <a:effectLst/>
          </c:sp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01831936"/>
        <c:crosses val="max"/>
        <c:crossBetween val="between"/>
      </c:valAx>
      <c:catAx>
        <c:axId val="201831936"/>
        <c:scaling>
          <c:orientation val="minMax"/>
        </c:scaling>
        <c:delete val="1"/>
        <c:axPos val="b"/>
        <c:numFmt formatCode="General" sourceLinked="1"/>
        <c:majorTickMark val="out"/>
        <c:minorTickMark val="none"/>
        <c:tickLblPos val="nextTo"/>
        <c:crossAx val="201817472"/>
        <c:crosses val="autoZero"/>
        <c:auto val="1"/>
        <c:lblAlgn val="ctr"/>
        <c:lblOffset val="100"/>
        <c:noMultiLvlLbl val="0"/>
      </c:catAx>
      <c:spPr>
        <a:pattFill prst="pct20">
          <a:fgClr>
            <a:sysClr val="window" lastClr="FFFFFF">
              <a:lumMod val="50000"/>
            </a:sysClr>
          </a:fgClr>
          <a:bgClr>
            <a:sysClr val="window" lastClr="FFFFFF"/>
          </a:bgClr>
        </a:pattFill>
        <a:ln>
          <a:noFill/>
        </a:ln>
        <a:effectLst/>
      </c:spPr>
    </c:plotArea>
    <c:legend>
      <c:legendPos val="b"/>
      <c:layout>
        <c:manualLayout>
          <c:xMode val="edge"/>
          <c:yMode val="edge"/>
          <c:x val="0.12403026092326694"/>
          <c:y val="0.90783993999007462"/>
          <c:w val="0.75193947815346607"/>
          <c:h val="9.216006000992542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5443548387096774E-2"/>
          <c:y val="7.7628793225123505E-2"/>
          <c:w val="0.88911290322580649"/>
          <c:h val="0.68896693135658682"/>
        </c:manualLayout>
      </c:layout>
      <c:barChart>
        <c:barDir val="col"/>
        <c:grouping val="clustered"/>
        <c:varyColors val="0"/>
        <c:ser>
          <c:idx val="0"/>
          <c:order val="0"/>
          <c:tx>
            <c:strRef>
              <c:f>Hoja1!$B$1</c:f>
              <c:strCache>
                <c:ptCount val="1"/>
                <c:pt idx="0">
                  <c:v>FMI</c:v>
                </c:pt>
              </c:strCache>
            </c:strRef>
          </c:tx>
          <c:spPr>
            <a:solidFill>
              <a:schemeClr val="tx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Hoja1!$A$2:$A$4</c:f>
              <c:numCache>
                <c:formatCode>General</c:formatCode>
                <c:ptCount val="3"/>
                <c:pt idx="0">
                  <c:v>2021</c:v>
                </c:pt>
                <c:pt idx="1">
                  <c:v>2022</c:v>
                </c:pt>
                <c:pt idx="2">
                  <c:v>2023</c:v>
                </c:pt>
              </c:numCache>
            </c:numRef>
          </c:cat>
          <c:val>
            <c:numRef>
              <c:f>Hoja1!$B$2:$B$4</c:f>
              <c:numCache>
                <c:formatCode>_-* #,##0.0_-;\-* #,##0.0_-;_-* "-"??_-;_-@_-</c:formatCode>
                <c:ptCount val="3"/>
                <c:pt idx="0">
                  <c:v>6</c:v>
                </c:pt>
                <c:pt idx="1">
                  <c:v>3.1920000000000002</c:v>
                </c:pt>
                <c:pt idx="2">
                  <c:v>2.6549999999999998</c:v>
                </c:pt>
              </c:numCache>
            </c:numRef>
          </c:val>
          <c:extLst>
            <c:ext xmlns:c16="http://schemas.microsoft.com/office/drawing/2014/chart" uri="{C3380CC4-5D6E-409C-BE32-E72D297353CC}">
              <c16:uniqueId val="{00000000-0FFA-40EC-A834-7910C3AF5AB7}"/>
            </c:ext>
          </c:extLst>
        </c:ser>
        <c:ser>
          <c:idx val="1"/>
          <c:order val="1"/>
          <c:tx>
            <c:strRef>
              <c:f>Hoja1!$C$1</c:f>
              <c:strCache>
                <c:ptCount val="1"/>
                <c:pt idx="0">
                  <c:v>OCDE</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lumMod val="60000"/>
                        <a:lumOff val="4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Hoja1!$A$2:$A$4</c:f>
              <c:numCache>
                <c:formatCode>General</c:formatCode>
                <c:ptCount val="3"/>
                <c:pt idx="0">
                  <c:v>2021</c:v>
                </c:pt>
                <c:pt idx="1">
                  <c:v>2022</c:v>
                </c:pt>
                <c:pt idx="2">
                  <c:v>2023</c:v>
                </c:pt>
              </c:numCache>
            </c:numRef>
          </c:cat>
          <c:val>
            <c:numRef>
              <c:f>Hoja1!$C$2:$C$4</c:f>
              <c:numCache>
                <c:formatCode>_-* #,##0.0_-;\-* #,##0.0_-;_-* "-"??_-;_-@_-</c:formatCode>
                <c:ptCount val="3"/>
                <c:pt idx="0">
                  <c:v>5.9</c:v>
                </c:pt>
                <c:pt idx="1">
                  <c:v>3.1</c:v>
                </c:pt>
                <c:pt idx="2">
                  <c:v>2.2000000000000002</c:v>
                </c:pt>
              </c:numCache>
            </c:numRef>
          </c:val>
          <c:extLst>
            <c:ext xmlns:c16="http://schemas.microsoft.com/office/drawing/2014/chart" uri="{C3380CC4-5D6E-409C-BE32-E72D297353CC}">
              <c16:uniqueId val="{00000001-0FFA-40EC-A834-7910C3AF5AB7}"/>
            </c:ext>
          </c:extLst>
        </c:ser>
        <c:ser>
          <c:idx val="2"/>
          <c:order val="2"/>
          <c:tx>
            <c:strRef>
              <c:f>Hoja1!$D$1</c:f>
              <c:strCache>
                <c:ptCount val="1"/>
                <c:pt idx="0">
                  <c:v>BM</c:v>
                </c:pt>
              </c:strCache>
            </c:strRef>
          </c:tx>
          <c:spPr>
            <a:solidFill>
              <a:schemeClr val="tx2">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lumMod val="40000"/>
                        <a:lumOff val="6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Hoja1!$A$2:$A$4</c:f>
              <c:numCache>
                <c:formatCode>General</c:formatCode>
                <c:ptCount val="3"/>
                <c:pt idx="0">
                  <c:v>2021</c:v>
                </c:pt>
                <c:pt idx="1">
                  <c:v>2022</c:v>
                </c:pt>
                <c:pt idx="2">
                  <c:v>2023</c:v>
                </c:pt>
              </c:numCache>
            </c:numRef>
          </c:cat>
          <c:val>
            <c:numRef>
              <c:f>Hoja1!$D$2:$D$4</c:f>
              <c:numCache>
                <c:formatCode>_-* #,##0.0_-;\-* #,##0.0_-;_-* "-"??_-;_-@_-</c:formatCode>
                <c:ptCount val="3"/>
                <c:pt idx="0">
                  <c:v>5.9</c:v>
                </c:pt>
                <c:pt idx="1">
                  <c:v>2.9</c:v>
                </c:pt>
                <c:pt idx="2">
                  <c:v>1.7</c:v>
                </c:pt>
              </c:numCache>
            </c:numRef>
          </c:val>
          <c:extLst>
            <c:ext xmlns:c16="http://schemas.microsoft.com/office/drawing/2014/chart" uri="{C3380CC4-5D6E-409C-BE32-E72D297353CC}">
              <c16:uniqueId val="{00000002-0FFA-40EC-A834-7910C3AF5AB7}"/>
            </c:ext>
          </c:extLst>
        </c:ser>
        <c:dLbls>
          <c:showLegendKey val="0"/>
          <c:showVal val="0"/>
          <c:showCatName val="0"/>
          <c:showSerName val="0"/>
          <c:showPercent val="0"/>
          <c:showBubbleSize val="0"/>
        </c:dLbls>
        <c:gapWidth val="100"/>
        <c:axId val="994675280"/>
        <c:axId val="994657808"/>
      </c:barChart>
      <c:catAx>
        <c:axId val="994675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994657808"/>
        <c:crosses val="autoZero"/>
        <c:auto val="1"/>
        <c:lblAlgn val="ctr"/>
        <c:lblOffset val="100"/>
        <c:noMultiLvlLbl val="0"/>
      </c:catAx>
      <c:valAx>
        <c:axId val="994657808"/>
        <c:scaling>
          <c:orientation val="minMax"/>
        </c:scaling>
        <c:delete val="1"/>
        <c:axPos val="l"/>
        <c:numFmt formatCode="_-* #,##0.0_-;\-* #,##0.0_-;_-* &quot;-&quot;??_-;_-@_-" sourceLinked="1"/>
        <c:majorTickMark val="none"/>
        <c:minorTickMark val="none"/>
        <c:tickLblPos val="nextTo"/>
        <c:crossAx val="994675280"/>
        <c:crosses val="autoZero"/>
        <c:crossBetween val="between"/>
      </c:valAx>
      <c:spPr>
        <a:noFill/>
        <a:ln>
          <a:noFill/>
        </a:ln>
        <a:effectLst/>
      </c:spPr>
    </c:plotArea>
    <c:legend>
      <c:legendPos val="b"/>
      <c:layout>
        <c:manualLayout>
          <c:xMode val="edge"/>
          <c:yMode val="edge"/>
          <c:x val="0.26701644653289308"/>
          <c:y val="0.87385237748598288"/>
          <c:w val="0.46596671005842011"/>
          <c:h val="0.1049761334526197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GT"/>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502579014806894"/>
          <c:y val="3.6022059742532177E-2"/>
          <c:w val="0.81288627289924786"/>
          <c:h val="0.87264085739282582"/>
        </c:manualLayout>
      </c:layout>
      <c:lineChart>
        <c:grouping val="standard"/>
        <c:varyColors val="0"/>
        <c:ser>
          <c:idx val="0"/>
          <c:order val="0"/>
          <c:tx>
            <c:strRef>
              <c:f>Hoja1!$B$1</c:f>
              <c:strCache>
                <c:ptCount val="1"/>
                <c:pt idx="0">
                  <c:v>Var</c:v>
                </c:pt>
              </c:strCache>
            </c:strRef>
          </c:tx>
          <c:marker>
            <c:symbol val="circle"/>
            <c:size val="6"/>
          </c:marker>
          <c:dLbls>
            <c:dLbl>
              <c:idx val="0"/>
              <c:layout>
                <c:manualLayout>
                  <c:x val="-6.462035541195478E-2"/>
                  <c:y val="-7.13233127026230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049-4920-891C-1985AC3485CE}"/>
                </c:ext>
              </c:extLst>
            </c:dLbl>
            <c:dLbl>
              <c:idx val="1"/>
              <c:layout>
                <c:manualLayout>
                  <c:x val="-4.6157396722824873E-2"/>
                  <c:y val="-9.4496260020557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049-4920-891C-1985AC3485CE}"/>
                </c:ext>
              </c:extLst>
            </c:dLbl>
            <c:dLbl>
              <c:idx val="2"/>
              <c:layout>
                <c:manualLayout>
                  <c:x val="-0.16308571283193804"/>
                  <c:y val="4.12121758822956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049-4920-891C-1985AC3485CE}"/>
                </c:ext>
              </c:extLst>
            </c:dLbl>
            <c:dLbl>
              <c:idx val="3"/>
              <c:layout>
                <c:manualLayout>
                  <c:x val="-9.6930533117932149E-2"/>
                  <c:y val="-7.13233127026230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049-4920-891C-1985AC3485CE}"/>
                </c:ext>
              </c:extLst>
            </c:dLbl>
            <c:dLbl>
              <c:idx val="4"/>
              <c:layout>
                <c:manualLayout>
                  <c:x val="-0.12000923147934456"/>
                  <c:y val="5.52970975100828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049-4920-891C-1985AC3485CE}"/>
                </c:ext>
              </c:extLst>
            </c:dLbl>
            <c:dLbl>
              <c:idx val="5"/>
              <c:layout>
                <c:manualLayout>
                  <c:x val="-9.8465357419983246E-2"/>
                  <c:y val="5.96924932167620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049-4920-891C-1985AC3485CE}"/>
                </c:ext>
              </c:extLst>
            </c:dLbl>
            <c:dLbl>
              <c:idx val="7"/>
              <c:layout>
                <c:manualLayout>
                  <c:x val="-6.1505639743335795E-3"/>
                  <c:y val="1.11995284409077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049-4920-891C-1985AC3485CE}"/>
                </c:ext>
              </c:extLst>
            </c:dLbl>
            <c:dLbl>
              <c:idx val="9"/>
              <c:layout>
                <c:manualLayout>
                  <c:x val="-3.4963319407368102E-3"/>
                  <c:y val="7.17515827555019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049-4920-891C-1985AC3485CE}"/>
                </c:ext>
              </c:extLst>
            </c:dLbl>
            <c:spPr>
              <a:noFill/>
              <a:ln>
                <a:noFill/>
              </a:ln>
              <a:effectLst/>
            </c:spPr>
            <c:txPr>
              <a:bodyPr/>
              <a:lstStyle/>
              <a:p>
                <a:pPr>
                  <a:defRPr sz="800" b="1">
                    <a:solidFill>
                      <a:srgbClr val="0070C0"/>
                    </a:solidFill>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Hoja1!$A$2:$A$11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Hoja1!$B$2:$B$11</c:f>
              <c:numCache>
                <c:formatCode>0.0%</c:formatCode>
                <c:ptCount val="10"/>
                <c:pt idx="0">
                  <c:v>0.19733054809635653</c:v>
                </c:pt>
                <c:pt idx="1">
                  <c:v>3.4649666695335757E-2</c:v>
                </c:pt>
                <c:pt idx="2">
                  <c:v>-5.3376047881755206E-2</c:v>
                </c:pt>
                <c:pt idx="3">
                  <c:v>6.5964565568410016E-2</c:v>
                </c:pt>
                <c:pt idx="4">
                  <c:v>5.9696766718702943E-2</c:v>
                </c:pt>
                <c:pt idx="5">
                  <c:v>-1.8856287759967727E-2</c:v>
                </c:pt>
                <c:pt idx="6">
                  <c:v>4.8923530806319837E-2</c:v>
                </c:pt>
                <c:pt idx="7">
                  <c:v>-5.058164865580661E-2</c:v>
                </c:pt>
                <c:pt idx="8">
                  <c:v>0.35196034992891057</c:v>
                </c:pt>
                <c:pt idx="9">
                  <c:v>0.18021416674856416</c:v>
                </c:pt>
              </c:numCache>
            </c:numRef>
          </c:val>
          <c:smooth val="1"/>
          <c:extLst>
            <c:ext xmlns:c16="http://schemas.microsoft.com/office/drawing/2014/chart" uri="{C3380CC4-5D6E-409C-BE32-E72D297353CC}">
              <c16:uniqueId val="{00000008-7049-4920-891C-1985AC3485CE}"/>
            </c:ext>
          </c:extLst>
        </c:ser>
        <c:dLbls>
          <c:showLegendKey val="0"/>
          <c:showVal val="0"/>
          <c:showCatName val="0"/>
          <c:showSerName val="0"/>
          <c:showPercent val="0"/>
          <c:showBubbleSize val="0"/>
        </c:dLbls>
        <c:marker val="1"/>
        <c:smooth val="0"/>
        <c:axId val="186148736"/>
        <c:axId val="186150272"/>
      </c:lineChart>
      <c:catAx>
        <c:axId val="186148736"/>
        <c:scaling>
          <c:orientation val="minMax"/>
        </c:scaling>
        <c:delete val="0"/>
        <c:axPos val="b"/>
        <c:numFmt formatCode="General" sourceLinked="1"/>
        <c:majorTickMark val="out"/>
        <c:minorTickMark val="none"/>
        <c:tickLblPos val="low"/>
        <c:txPr>
          <a:bodyPr/>
          <a:lstStyle/>
          <a:p>
            <a:pPr>
              <a:defRPr sz="800" b="0"/>
            </a:pPr>
            <a:endParaRPr lang="es-GT"/>
          </a:p>
        </c:txPr>
        <c:crossAx val="186150272"/>
        <c:crosses val="autoZero"/>
        <c:auto val="1"/>
        <c:lblAlgn val="ctr"/>
        <c:lblOffset val="100"/>
        <c:noMultiLvlLbl val="0"/>
      </c:catAx>
      <c:valAx>
        <c:axId val="186150272"/>
        <c:scaling>
          <c:orientation val="minMax"/>
        </c:scaling>
        <c:delete val="0"/>
        <c:axPos val="l"/>
        <c:numFmt formatCode="0%" sourceLinked="0"/>
        <c:majorTickMark val="out"/>
        <c:minorTickMark val="none"/>
        <c:tickLblPos val="nextTo"/>
        <c:txPr>
          <a:bodyPr/>
          <a:lstStyle/>
          <a:p>
            <a:pPr>
              <a:defRPr sz="800" b="0"/>
            </a:pPr>
            <a:endParaRPr lang="es-GT"/>
          </a:p>
        </c:txPr>
        <c:crossAx val="186148736"/>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s-GT"/>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5443548387096774E-2"/>
          <c:y val="0.22582921665490474"/>
          <c:w val="0.88911290322580649"/>
          <c:h val="0.54076650792680558"/>
        </c:manualLayout>
      </c:layout>
      <c:barChart>
        <c:barDir val="col"/>
        <c:grouping val="clustered"/>
        <c:varyColors val="0"/>
        <c:ser>
          <c:idx val="0"/>
          <c:order val="0"/>
          <c:tx>
            <c:strRef>
              <c:f>Hoja1!$B$1</c:f>
              <c:strCache>
                <c:ptCount val="1"/>
                <c:pt idx="0">
                  <c:v>2022</c:v>
                </c:pt>
              </c:strCache>
            </c:strRef>
          </c:tx>
          <c:spPr>
            <a:solidFill>
              <a:schemeClr val="tx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Economías avanzadas</c:v>
                </c:pt>
                <c:pt idx="1">
                  <c:v>Economias emergentes y en desarrollo</c:v>
                </c:pt>
                <c:pt idx="2">
                  <c:v>América Latina y el Caribe</c:v>
                </c:pt>
              </c:strCache>
            </c:strRef>
          </c:cat>
          <c:val>
            <c:numRef>
              <c:f>Hoja1!$B$2:$B$4</c:f>
              <c:numCache>
                <c:formatCode>General</c:formatCode>
                <c:ptCount val="3"/>
                <c:pt idx="0">
                  <c:v>2.4</c:v>
                </c:pt>
                <c:pt idx="1">
                  <c:v>3.7</c:v>
                </c:pt>
                <c:pt idx="2">
                  <c:v>3.5</c:v>
                </c:pt>
              </c:numCache>
            </c:numRef>
          </c:val>
          <c:extLst>
            <c:ext xmlns:c16="http://schemas.microsoft.com/office/drawing/2014/chart" uri="{C3380CC4-5D6E-409C-BE32-E72D297353CC}">
              <c16:uniqueId val="{00000000-6AA0-4BF6-8E11-4386FBC27B2E}"/>
            </c:ext>
          </c:extLst>
        </c:ser>
        <c:ser>
          <c:idx val="1"/>
          <c:order val="1"/>
          <c:tx>
            <c:strRef>
              <c:f>Hoja1!$C$1</c:f>
              <c:strCache>
                <c:ptCount val="1"/>
                <c:pt idx="0">
                  <c:v>2023</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lumMod val="60000"/>
                        <a:lumOff val="4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Economías avanzadas</c:v>
                </c:pt>
                <c:pt idx="1">
                  <c:v>Economias emergentes y en desarrollo</c:v>
                </c:pt>
                <c:pt idx="2">
                  <c:v>América Latina y el Caribe</c:v>
                </c:pt>
              </c:strCache>
            </c:strRef>
          </c:cat>
          <c:val>
            <c:numRef>
              <c:f>Hoja1!$C$2:$C$4</c:f>
              <c:numCache>
                <c:formatCode>General</c:formatCode>
                <c:ptCount val="3"/>
                <c:pt idx="0">
                  <c:v>1.1000000000000001</c:v>
                </c:pt>
                <c:pt idx="1">
                  <c:v>3.7</c:v>
                </c:pt>
                <c:pt idx="2">
                  <c:v>1.7</c:v>
                </c:pt>
              </c:numCache>
            </c:numRef>
          </c:val>
          <c:extLst>
            <c:ext xmlns:c16="http://schemas.microsoft.com/office/drawing/2014/chart" uri="{C3380CC4-5D6E-409C-BE32-E72D297353CC}">
              <c16:uniqueId val="{00000001-6AA0-4BF6-8E11-4386FBC27B2E}"/>
            </c:ext>
          </c:extLst>
        </c:ser>
        <c:dLbls>
          <c:showLegendKey val="0"/>
          <c:showVal val="0"/>
          <c:showCatName val="0"/>
          <c:showSerName val="0"/>
          <c:showPercent val="0"/>
          <c:showBubbleSize val="0"/>
        </c:dLbls>
        <c:gapWidth val="80"/>
        <c:axId val="994675280"/>
        <c:axId val="994657808"/>
      </c:barChart>
      <c:catAx>
        <c:axId val="994675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994657808"/>
        <c:crosses val="autoZero"/>
        <c:auto val="1"/>
        <c:lblAlgn val="ctr"/>
        <c:lblOffset val="100"/>
        <c:noMultiLvlLbl val="0"/>
      </c:catAx>
      <c:valAx>
        <c:axId val="994657808"/>
        <c:scaling>
          <c:orientation val="minMax"/>
        </c:scaling>
        <c:delete val="1"/>
        <c:axPos val="l"/>
        <c:numFmt formatCode="General" sourceLinked="1"/>
        <c:majorTickMark val="none"/>
        <c:minorTickMark val="none"/>
        <c:tickLblPos val="nextTo"/>
        <c:crossAx val="994675280"/>
        <c:crosses val="autoZero"/>
        <c:crossBetween val="between"/>
      </c:valAx>
      <c:spPr>
        <a:noFill/>
        <a:ln>
          <a:noFill/>
        </a:ln>
        <a:effectLst/>
      </c:spPr>
    </c:plotArea>
    <c:legend>
      <c:legendPos val="b"/>
      <c:layout>
        <c:manualLayout>
          <c:xMode val="edge"/>
          <c:yMode val="edge"/>
          <c:x val="0.25189547879095758"/>
          <c:y val="4.110714107102173E-2"/>
          <c:w val="0.46596671005842011"/>
          <c:h val="9.7918970432153973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GT"/>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Hoja1!$B$1</c:f>
              <c:strCache>
                <c:ptCount val="1"/>
                <c:pt idx="0">
                  <c:v>Volumen del comercio mundial de mercancías</c:v>
                </c:pt>
              </c:strCache>
            </c:strRef>
          </c:tx>
          <c:spPr>
            <a:solidFill>
              <a:srgbClr val="002060"/>
            </a:solidFill>
            <a:ln>
              <a:noFill/>
            </a:ln>
            <a:effectLst/>
          </c:spPr>
          <c:invertIfNegative val="0"/>
          <c:dPt>
            <c:idx val="5"/>
            <c:invertIfNegative val="0"/>
            <c:bubble3D val="0"/>
            <c:spPr>
              <a:solidFill>
                <a:schemeClr val="tx2">
                  <a:lumMod val="60000"/>
                  <a:lumOff val="40000"/>
                </a:schemeClr>
              </a:solidFill>
              <a:ln>
                <a:noFill/>
              </a:ln>
              <a:effectLst/>
            </c:spPr>
            <c:extLst>
              <c:ext xmlns:c16="http://schemas.microsoft.com/office/drawing/2014/chart" uri="{C3380CC4-5D6E-409C-BE32-E72D297353CC}">
                <c16:uniqueId val="{00000001-8491-4903-A9B3-A59715A418E4}"/>
              </c:ext>
            </c:extLst>
          </c:dPt>
          <c:dLbls>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lumMod val="60000"/>
                          <a:lumOff val="4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6="http://schemas.microsoft.com/office/drawing/2014/chart" uri="{C3380CC4-5D6E-409C-BE32-E72D297353CC}">
                  <c16:uniqueId val="{00000001-8491-4903-A9B3-A59715A418E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Hoja1!$A$2:$A$7</c:f>
              <c:strCache>
                <c:ptCount val="6"/>
                <c:pt idx="0">
                  <c:v>2018</c:v>
                </c:pt>
                <c:pt idx="1">
                  <c:v>2019</c:v>
                </c:pt>
                <c:pt idx="2">
                  <c:v>2020</c:v>
                </c:pt>
                <c:pt idx="3">
                  <c:v>2021</c:v>
                </c:pt>
                <c:pt idx="4">
                  <c:v>2022  e/</c:v>
                </c:pt>
                <c:pt idx="5">
                  <c:v>2023 py/</c:v>
                </c:pt>
              </c:strCache>
            </c:strRef>
          </c:cat>
          <c:val>
            <c:numRef>
              <c:f>Hoja1!$B$2:$B$7</c:f>
              <c:numCache>
                <c:formatCode>_-* #,##0.0_-;\-* #,##0.0_-;_-* "-"??_-;_-@_-</c:formatCode>
                <c:ptCount val="6"/>
                <c:pt idx="0">
                  <c:v>3.2</c:v>
                </c:pt>
                <c:pt idx="1">
                  <c:v>0.5</c:v>
                </c:pt>
                <c:pt idx="2">
                  <c:v>-5.2</c:v>
                </c:pt>
                <c:pt idx="3">
                  <c:v>9.6999999999999993</c:v>
                </c:pt>
                <c:pt idx="4">
                  <c:v>3.5</c:v>
                </c:pt>
                <c:pt idx="5">
                  <c:v>1</c:v>
                </c:pt>
              </c:numCache>
            </c:numRef>
          </c:val>
          <c:extLst>
            <c:ext xmlns:c16="http://schemas.microsoft.com/office/drawing/2014/chart" uri="{C3380CC4-5D6E-409C-BE32-E72D297353CC}">
              <c16:uniqueId val="{00000002-8491-4903-A9B3-A59715A418E4}"/>
            </c:ext>
          </c:extLst>
        </c:ser>
        <c:dLbls>
          <c:showLegendKey val="0"/>
          <c:showVal val="0"/>
          <c:showCatName val="0"/>
          <c:showSerName val="0"/>
          <c:showPercent val="0"/>
          <c:showBubbleSize val="0"/>
        </c:dLbls>
        <c:gapWidth val="80"/>
        <c:overlap val="-27"/>
        <c:axId val="1088847808"/>
        <c:axId val="1088848640"/>
      </c:barChart>
      <c:catAx>
        <c:axId val="108884780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088848640"/>
        <c:crosses val="autoZero"/>
        <c:auto val="1"/>
        <c:lblAlgn val="ctr"/>
        <c:lblOffset val="100"/>
        <c:noMultiLvlLbl val="0"/>
      </c:catAx>
      <c:valAx>
        <c:axId val="1088848640"/>
        <c:scaling>
          <c:orientation val="minMax"/>
        </c:scaling>
        <c:delete val="1"/>
        <c:axPos val="l"/>
        <c:numFmt formatCode="_-* #,##0.0_-;\-* #,##0.0_-;_-* &quot;-&quot;??_-;_-@_-" sourceLinked="1"/>
        <c:majorTickMark val="none"/>
        <c:minorTickMark val="none"/>
        <c:tickLblPos val="nextTo"/>
        <c:crossAx val="10888478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GT"/>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Hoja1!$B$1</c:f>
              <c:strCache>
                <c:ptCount val="1"/>
                <c:pt idx="0">
                  <c:v>Volumen del comercio mundial de mercancías</c:v>
                </c:pt>
              </c:strCache>
            </c:strRef>
          </c:tx>
          <c:spPr>
            <a:ln w="28575" cap="rnd">
              <a:solidFill>
                <a:schemeClr val="tx2">
                  <a:lumMod val="50000"/>
                </a:schemeClr>
              </a:solidFill>
              <a:round/>
            </a:ln>
            <a:effectLst/>
          </c:spPr>
          <c:marker>
            <c:symbol val="none"/>
          </c:marker>
          <c:dPt>
            <c:idx val="5"/>
            <c:marker>
              <c:symbol val="none"/>
            </c:marker>
            <c:bubble3D val="0"/>
            <c:spPr>
              <a:ln w="28575" cap="rnd">
                <a:solidFill>
                  <a:schemeClr val="tx2">
                    <a:lumMod val="50000"/>
                  </a:schemeClr>
                </a:solidFill>
                <a:round/>
              </a:ln>
              <a:effectLst/>
            </c:spPr>
            <c:extLst>
              <c:ext xmlns:c16="http://schemas.microsoft.com/office/drawing/2014/chart" uri="{C3380CC4-5D6E-409C-BE32-E72D297353CC}">
                <c16:uniqueId val="{00000001-390B-481C-956E-EB8D66A03E3A}"/>
              </c:ext>
            </c:extLst>
          </c:dPt>
          <c:dPt>
            <c:idx val="13"/>
            <c:marker>
              <c:symbol val="none"/>
            </c:marker>
            <c:bubble3D val="0"/>
            <c:spPr>
              <a:ln w="28575" cap="rnd">
                <a:solidFill>
                  <a:schemeClr val="tx2">
                    <a:lumMod val="60000"/>
                    <a:lumOff val="40000"/>
                  </a:schemeClr>
                </a:solidFill>
                <a:prstDash val="sysDash"/>
                <a:round/>
              </a:ln>
              <a:effectLst/>
            </c:spPr>
            <c:extLst>
              <c:ext xmlns:c16="http://schemas.microsoft.com/office/drawing/2014/chart" uri="{C3380CC4-5D6E-409C-BE32-E72D297353CC}">
                <c16:uniqueId val="{00000003-390B-481C-956E-EB8D66A03E3A}"/>
              </c:ext>
            </c:extLst>
          </c:dPt>
          <c:dLbls>
            <c:dLbl>
              <c:idx val="0"/>
              <c:layout>
                <c:manualLayout>
                  <c:x val="-8.3165322580645157E-2"/>
                  <c:y val="7.23359209597741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90B-481C-956E-EB8D66A03E3A}"/>
                </c:ext>
              </c:extLst>
            </c:dLbl>
            <c:dLbl>
              <c:idx val="1"/>
              <c:delete val="1"/>
              <c:extLst>
                <c:ext xmlns:c15="http://schemas.microsoft.com/office/drawing/2012/chart" uri="{CE6537A1-D6FC-4f65-9D91-7224C49458BB}"/>
                <c:ext xmlns:c16="http://schemas.microsoft.com/office/drawing/2014/chart" uri="{C3380CC4-5D6E-409C-BE32-E72D297353CC}">
                  <c16:uniqueId val="{00000005-390B-481C-956E-EB8D66A03E3A}"/>
                </c:ext>
              </c:extLst>
            </c:dLbl>
            <c:dLbl>
              <c:idx val="2"/>
              <c:delete val="1"/>
              <c:extLst>
                <c:ext xmlns:c15="http://schemas.microsoft.com/office/drawing/2012/chart" uri="{CE6537A1-D6FC-4f65-9D91-7224C49458BB}"/>
                <c:ext xmlns:c16="http://schemas.microsoft.com/office/drawing/2014/chart" uri="{C3380CC4-5D6E-409C-BE32-E72D297353CC}">
                  <c16:uniqueId val="{00000006-390B-481C-956E-EB8D66A03E3A}"/>
                </c:ext>
              </c:extLst>
            </c:dLbl>
            <c:dLbl>
              <c:idx val="3"/>
              <c:layout>
                <c:manualLayout>
                  <c:x val="-0.14616935483870969"/>
                  <c:y val="-8.29216654904728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90B-481C-956E-EB8D66A03E3A}"/>
                </c:ext>
              </c:extLst>
            </c:dLbl>
            <c:dLbl>
              <c:idx val="4"/>
              <c:delete val="1"/>
              <c:extLst>
                <c:ext xmlns:c15="http://schemas.microsoft.com/office/drawing/2012/chart" uri="{CE6537A1-D6FC-4f65-9D91-7224C49458BB}"/>
                <c:ext xmlns:c16="http://schemas.microsoft.com/office/drawing/2014/chart" uri="{C3380CC4-5D6E-409C-BE32-E72D297353CC}">
                  <c16:uniqueId val="{00000008-390B-481C-956E-EB8D66A03E3A}"/>
                </c:ext>
              </c:extLst>
            </c:dLbl>
            <c:dLbl>
              <c:idx val="5"/>
              <c:delete val="1"/>
              <c:extLst>
                <c:ext xmlns:c15="http://schemas.microsoft.com/office/drawing/2012/chart" uri="{CE6537A1-D6FC-4f65-9D91-7224C49458BB}"/>
                <c:ext xmlns:c16="http://schemas.microsoft.com/office/drawing/2014/chart" uri="{C3380CC4-5D6E-409C-BE32-E72D297353CC}">
                  <c16:uniqueId val="{00000001-390B-481C-956E-EB8D66A03E3A}"/>
                </c:ext>
              </c:extLst>
            </c:dLbl>
            <c:dLbl>
              <c:idx val="7"/>
              <c:delete val="1"/>
              <c:extLst>
                <c:ext xmlns:c15="http://schemas.microsoft.com/office/drawing/2012/chart" uri="{CE6537A1-D6FC-4f65-9D91-7224C49458BB}"/>
                <c:ext xmlns:c16="http://schemas.microsoft.com/office/drawing/2014/chart" uri="{C3380CC4-5D6E-409C-BE32-E72D297353CC}">
                  <c16:uniqueId val="{00000009-390B-481C-956E-EB8D66A03E3A}"/>
                </c:ext>
              </c:extLst>
            </c:dLbl>
            <c:dLbl>
              <c:idx val="9"/>
              <c:delete val="1"/>
              <c:extLst>
                <c:ext xmlns:c15="http://schemas.microsoft.com/office/drawing/2012/chart" uri="{CE6537A1-D6FC-4f65-9D91-7224C49458BB}"/>
                <c:ext xmlns:c16="http://schemas.microsoft.com/office/drawing/2014/chart" uri="{C3380CC4-5D6E-409C-BE32-E72D297353CC}">
                  <c16:uniqueId val="{0000000A-390B-481C-956E-EB8D66A03E3A}"/>
                </c:ext>
              </c:extLst>
            </c:dLbl>
            <c:dLbl>
              <c:idx val="10"/>
              <c:layout>
                <c:manualLayout>
                  <c:x val="-5.7963709677419401E-2"/>
                  <c:y val="-7.58645024700070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90B-481C-956E-EB8D66A03E3A}"/>
                </c:ext>
              </c:extLst>
            </c:dLbl>
            <c:dLbl>
              <c:idx val="11"/>
              <c:delete val="1"/>
              <c:extLst>
                <c:ext xmlns:c15="http://schemas.microsoft.com/office/drawing/2012/chart" uri="{CE6537A1-D6FC-4f65-9D91-7224C49458BB}"/>
                <c:ext xmlns:c16="http://schemas.microsoft.com/office/drawing/2014/chart" uri="{C3380CC4-5D6E-409C-BE32-E72D297353CC}">
                  <c16:uniqueId val="{0000000C-390B-481C-956E-EB8D66A03E3A}"/>
                </c:ext>
              </c:extLst>
            </c:dLbl>
            <c:dLbl>
              <c:idx val="12"/>
              <c:layout>
                <c:manualLayout>
                  <c:x val="-0.12492260922021849"/>
                  <c:y val="9.35074100211714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90B-481C-956E-EB8D66A03E3A}"/>
                </c:ext>
              </c:extLst>
            </c:dLbl>
            <c:dLbl>
              <c:idx val="13"/>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lumMod val="60000"/>
                          <a:lumOff val="40000"/>
                        </a:schemeClr>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extLst>
                <c:ext xmlns:c16="http://schemas.microsoft.com/office/drawing/2014/chart" uri="{C3380CC4-5D6E-409C-BE32-E72D297353CC}">
                  <c16:uniqueId val="{00000003-390B-481C-956E-EB8D66A03E3A}"/>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lumMod val="50000"/>
                      </a:schemeClr>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Hoja1!$A$2:$A$15</c:f>
              <c:numCache>
                <c:formatCode>mmm\-yy</c:formatCode>
                <c:ptCount val="14"/>
                <c:pt idx="0">
                  <c:v>44531</c:v>
                </c:pt>
                <c:pt idx="1">
                  <c:v>44562</c:v>
                </c:pt>
                <c:pt idx="2">
                  <c:v>44593</c:v>
                </c:pt>
                <c:pt idx="3">
                  <c:v>44621</c:v>
                </c:pt>
                <c:pt idx="4">
                  <c:v>44652</c:v>
                </c:pt>
                <c:pt idx="5">
                  <c:v>44682</c:v>
                </c:pt>
                <c:pt idx="6">
                  <c:v>44713</c:v>
                </c:pt>
                <c:pt idx="7">
                  <c:v>44743</c:v>
                </c:pt>
                <c:pt idx="8">
                  <c:v>44774</c:v>
                </c:pt>
                <c:pt idx="9">
                  <c:v>44805</c:v>
                </c:pt>
                <c:pt idx="10">
                  <c:v>44835</c:v>
                </c:pt>
                <c:pt idx="11">
                  <c:v>44866</c:v>
                </c:pt>
                <c:pt idx="12">
                  <c:v>44896</c:v>
                </c:pt>
                <c:pt idx="13">
                  <c:v>45261</c:v>
                </c:pt>
              </c:numCache>
            </c:numRef>
          </c:cat>
          <c:val>
            <c:numRef>
              <c:f>Hoja1!$B$2:$B$15</c:f>
              <c:numCache>
                <c:formatCode>_-* #,##0.0_-;\-* #,##0.0_-;_-* "-"??_-;_-@_-</c:formatCode>
                <c:ptCount val="14"/>
                <c:pt idx="0">
                  <c:v>71.5</c:v>
                </c:pt>
                <c:pt idx="1">
                  <c:v>83.1</c:v>
                </c:pt>
                <c:pt idx="2">
                  <c:v>91.7</c:v>
                </c:pt>
                <c:pt idx="3">
                  <c:v>108.5</c:v>
                </c:pt>
                <c:pt idx="4">
                  <c:v>101.8</c:v>
                </c:pt>
                <c:pt idx="5">
                  <c:v>109.6</c:v>
                </c:pt>
                <c:pt idx="6">
                  <c:v>114.6</c:v>
                </c:pt>
                <c:pt idx="7">
                  <c:v>99.9</c:v>
                </c:pt>
                <c:pt idx="8">
                  <c:v>91.6</c:v>
                </c:pt>
                <c:pt idx="9">
                  <c:v>83.9</c:v>
                </c:pt>
                <c:pt idx="10">
                  <c:v>87.3</c:v>
                </c:pt>
                <c:pt idx="11">
                  <c:v>84.8</c:v>
                </c:pt>
                <c:pt idx="12">
                  <c:v>76.5</c:v>
                </c:pt>
                <c:pt idx="13">
                  <c:v>80</c:v>
                </c:pt>
              </c:numCache>
            </c:numRef>
          </c:val>
          <c:smooth val="1"/>
          <c:extLst>
            <c:ext xmlns:c16="http://schemas.microsoft.com/office/drawing/2014/chart" uri="{C3380CC4-5D6E-409C-BE32-E72D297353CC}">
              <c16:uniqueId val="{0000000E-390B-481C-956E-EB8D66A03E3A}"/>
            </c:ext>
          </c:extLst>
        </c:ser>
        <c:dLbls>
          <c:showLegendKey val="0"/>
          <c:showVal val="0"/>
          <c:showCatName val="0"/>
          <c:showSerName val="0"/>
          <c:showPercent val="0"/>
          <c:showBubbleSize val="0"/>
        </c:dLbls>
        <c:smooth val="0"/>
        <c:axId val="1088847808"/>
        <c:axId val="1088848640"/>
      </c:lineChart>
      <c:dateAx>
        <c:axId val="1088847808"/>
        <c:scaling>
          <c:orientation val="minMax"/>
        </c:scaling>
        <c:delete val="0"/>
        <c:axPos val="b"/>
        <c:numFmt formatCode="mmm\-yy"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088848640"/>
        <c:crosses val="autoZero"/>
        <c:auto val="1"/>
        <c:lblOffset val="100"/>
        <c:baseTimeUnit val="months"/>
      </c:dateAx>
      <c:valAx>
        <c:axId val="1088848640"/>
        <c:scaling>
          <c:orientation val="minMax"/>
        </c:scaling>
        <c:delete val="1"/>
        <c:axPos val="l"/>
        <c:numFmt formatCode="_-* #,##0.0_-;\-* #,##0.0_-;_-* &quot;-&quot;??_-;_-@_-" sourceLinked="1"/>
        <c:majorTickMark val="none"/>
        <c:minorTickMark val="none"/>
        <c:tickLblPos val="nextTo"/>
        <c:crossAx val="10888478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GT"/>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5443548387096774E-2"/>
          <c:y val="0.22582921665490474"/>
          <c:w val="0.88911290322580649"/>
          <c:h val="0.54076650792680558"/>
        </c:manualLayout>
      </c:layout>
      <c:barChart>
        <c:barDir val="col"/>
        <c:grouping val="clustered"/>
        <c:varyColors val="0"/>
        <c:ser>
          <c:idx val="0"/>
          <c:order val="0"/>
          <c:tx>
            <c:strRef>
              <c:f>Hoja1!$B$1</c:f>
              <c:strCache>
                <c:ptCount val="1"/>
                <c:pt idx="0">
                  <c:v>2022</c:v>
                </c:pt>
              </c:strCache>
            </c:strRef>
          </c:tx>
          <c:spPr>
            <a:solidFill>
              <a:schemeClr val="tx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Energía</c:v>
                </c:pt>
                <c:pt idx="1">
                  <c:v>Agricultura</c:v>
                </c:pt>
                <c:pt idx="2">
                  <c:v>Metales y minerales</c:v>
                </c:pt>
                <c:pt idx="3">
                  <c:v>Metales preciosos</c:v>
                </c:pt>
              </c:strCache>
            </c:strRef>
          </c:cat>
          <c:val>
            <c:numRef>
              <c:f>Hoja1!$B$2:$B$5</c:f>
              <c:numCache>
                <c:formatCode>_-* #,##0.0_-;\-* #,##0.0_-;_-* "-"??_-;_-@_-</c:formatCode>
                <c:ptCount val="4"/>
                <c:pt idx="0">
                  <c:v>60</c:v>
                </c:pt>
                <c:pt idx="1">
                  <c:v>13.3</c:v>
                </c:pt>
                <c:pt idx="2">
                  <c:v>-1.2</c:v>
                </c:pt>
                <c:pt idx="3">
                  <c:v>-2.4</c:v>
                </c:pt>
              </c:numCache>
            </c:numRef>
          </c:val>
          <c:extLst>
            <c:ext xmlns:c16="http://schemas.microsoft.com/office/drawing/2014/chart" uri="{C3380CC4-5D6E-409C-BE32-E72D297353CC}">
              <c16:uniqueId val="{00000000-3BD3-491D-A6F5-AF6F63B706F9}"/>
            </c:ext>
          </c:extLst>
        </c:ser>
        <c:ser>
          <c:idx val="1"/>
          <c:order val="1"/>
          <c:tx>
            <c:strRef>
              <c:f>Hoja1!$C$1</c:f>
              <c:strCache>
                <c:ptCount val="1"/>
                <c:pt idx="0">
                  <c:v>2023</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lumMod val="60000"/>
                        <a:lumOff val="4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Energía</c:v>
                </c:pt>
                <c:pt idx="1">
                  <c:v>Agricultura</c:v>
                </c:pt>
                <c:pt idx="2">
                  <c:v>Metales y minerales</c:v>
                </c:pt>
                <c:pt idx="3">
                  <c:v>Metales preciosos</c:v>
                </c:pt>
              </c:strCache>
            </c:strRef>
          </c:cat>
          <c:val>
            <c:numRef>
              <c:f>Hoja1!$C$2:$C$5</c:f>
              <c:numCache>
                <c:formatCode>_-* #,##0.0_-;\-* #,##0.0_-;_-* "-"??_-;_-@_-</c:formatCode>
                <c:ptCount val="4"/>
                <c:pt idx="0">
                  <c:v>-11.2</c:v>
                </c:pt>
                <c:pt idx="1">
                  <c:v>-4.5</c:v>
                </c:pt>
                <c:pt idx="2">
                  <c:v>-15.2</c:v>
                </c:pt>
                <c:pt idx="3">
                  <c:v>-3.6</c:v>
                </c:pt>
              </c:numCache>
            </c:numRef>
          </c:val>
          <c:extLst>
            <c:ext xmlns:c16="http://schemas.microsoft.com/office/drawing/2014/chart" uri="{C3380CC4-5D6E-409C-BE32-E72D297353CC}">
              <c16:uniqueId val="{00000001-3BD3-491D-A6F5-AF6F63B706F9}"/>
            </c:ext>
          </c:extLst>
        </c:ser>
        <c:dLbls>
          <c:showLegendKey val="0"/>
          <c:showVal val="0"/>
          <c:showCatName val="0"/>
          <c:showSerName val="0"/>
          <c:showPercent val="0"/>
          <c:showBubbleSize val="0"/>
        </c:dLbls>
        <c:gapWidth val="60"/>
        <c:axId val="994675280"/>
        <c:axId val="994657808"/>
      </c:barChart>
      <c:catAx>
        <c:axId val="99467528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994657808"/>
        <c:crosses val="autoZero"/>
        <c:auto val="1"/>
        <c:lblAlgn val="ctr"/>
        <c:lblOffset val="100"/>
        <c:noMultiLvlLbl val="0"/>
      </c:catAx>
      <c:valAx>
        <c:axId val="994657808"/>
        <c:scaling>
          <c:orientation val="minMax"/>
          <c:min val="-40"/>
        </c:scaling>
        <c:delete val="1"/>
        <c:axPos val="l"/>
        <c:numFmt formatCode="_-* #,##0.0_-;\-* #,##0.0_-;_-* &quot;-&quot;??_-;_-@_-" sourceLinked="1"/>
        <c:majorTickMark val="out"/>
        <c:minorTickMark val="none"/>
        <c:tickLblPos val="nextTo"/>
        <c:crossAx val="994675280"/>
        <c:crosses val="autoZero"/>
        <c:crossBetween val="between"/>
      </c:valAx>
      <c:spPr>
        <a:noFill/>
        <a:ln>
          <a:noFill/>
        </a:ln>
        <a:effectLst/>
      </c:spPr>
    </c:plotArea>
    <c:legend>
      <c:legendPos val="b"/>
      <c:layout>
        <c:manualLayout>
          <c:xMode val="edge"/>
          <c:yMode val="edge"/>
          <c:x val="0.25189547879095758"/>
          <c:y val="4.110714107102173E-2"/>
          <c:w val="0.46596671005842011"/>
          <c:h val="9.791897043215397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GT"/>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Hoja1!$B$1</c:f>
              <c:strCache>
                <c:ptCount val="1"/>
                <c:pt idx="0">
                  <c:v>Volumen del comercio mundial de mercancías</c:v>
                </c:pt>
              </c:strCache>
            </c:strRef>
          </c:tx>
          <c:spPr>
            <a:solidFill>
              <a:srgbClr val="002060"/>
            </a:solidFill>
            <a:ln>
              <a:noFill/>
            </a:ln>
            <a:effectLst/>
          </c:spPr>
          <c:invertIfNegative val="0"/>
          <c:dPt>
            <c:idx val="5"/>
            <c:invertIfNegative val="0"/>
            <c:bubble3D val="0"/>
            <c:spPr>
              <a:solidFill>
                <a:schemeClr val="tx2">
                  <a:lumMod val="20000"/>
                  <a:lumOff val="80000"/>
                </a:schemeClr>
              </a:solidFill>
              <a:ln>
                <a:noFill/>
              </a:ln>
              <a:effectLst/>
            </c:spPr>
            <c:extLst>
              <c:ext xmlns:c16="http://schemas.microsoft.com/office/drawing/2014/chart" uri="{C3380CC4-5D6E-409C-BE32-E72D297353CC}">
                <c16:uniqueId val="{00000001-2E82-45D2-A934-4A701E42D1CD}"/>
              </c:ext>
            </c:extLst>
          </c:dPt>
          <c:dLbls>
            <c:dLbl>
              <c:idx val="5"/>
              <c:layout>
                <c:manualLayout>
                  <c:x val="0"/>
                  <c:y val="2.117148906139731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lumMod val="40000"/>
                          <a:lumOff val="6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E82-45D2-A934-4A701E42D1C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Hoja1!$A$2:$A$7</c:f>
              <c:strCache>
                <c:ptCount val="6"/>
                <c:pt idx="0">
                  <c:v>2018</c:v>
                </c:pt>
                <c:pt idx="1">
                  <c:v>2019</c:v>
                </c:pt>
                <c:pt idx="2">
                  <c:v>2020</c:v>
                </c:pt>
                <c:pt idx="3">
                  <c:v>2021</c:v>
                </c:pt>
                <c:pt idx="4">
                  <c:v>2022  e/</c:v>
                </c:pt>
                <c:pt idx="5">
                  <c:v>2023 py/</c:v>
                </c:pt>
              </c:strCache>
            </c:strRef>
          </c:cat>
          <c:val>
            <c:numRef>
              <c:f>Hoja1!$B$2:$B$7</c:f>
              <c:numCache>
                <c:formatCode>_-* #,##0.0_-;\-* #,##0.0_-;_-* "-"??_-;_-@_-</c:formatCode>
                <c:ptCount val="6"/>
                <c:pt idx="0">
                  <c:v>3.4</c:v>
                </c:pt>
                <c:pt idx="1">
                  <c:v>4</c:v>
                </c:pt>
                <c:pt idx="2">
                  <c:v>-1.8</c:v>
                </c:pt>
                <c:pt idx="3">
                  <c:v>8</c:v>
                </c:pt>
                <c:pt idx="4">
                  <c:v>4</c:v>
                </c:pt>
                <c:pt idx="5">
                  <c:v>4.5</c:v>
                </c:pt>
              </c:numCache>
            </c:numRef>
          </c:val>
          <c:extLst>
            <c:ext xmlns:c16="http://schemas.microsoft.com/office/drawing/2014/chart" uri="{C3380CC4-5D6E-409C-BE32-E72D297353CC}">
              <c16:uniqueId val="{00000002-2E82-45D2-A934-4A701E42D1CD}"/>
            </c:ext>
          </c:extLst>
        </c:ser>
        <c:ser>
          <c:idx val="1"/>
          <c:order val="1"/>
          <c:tx>
            <c:strRef>
              <c:f>Hoja1!$C$1</c:f>
              <c:strCache>
                <c:ptCount val="1"/>
                <c:pt idx="0">
                  <c:v>Columna2</c:v>
                </c:pt>
              </c:strCache>
            </c:strRef>
          </c:tx>
          <c:spPr>
            <a:solidFill>
              <a:schemeClr val="tx2">
                <a:lumMod val="60000"/>
                <a:lumOff val="40000"/>
              </a:schemeClr>
            </a:solidFill>
            <a:ln>
              <a:noFill/>
            </a:ln>
            <a:effectLst/>
          </c:spPr>
          <c:invertIfNegative val="0"/>
          <c:dLbls>
            <c:dLbl>
              <c:idx val="5"/>
              <c:layout>
                <c:manualLayout>
                  <c:x val="-1.8480969301964506E-16"/>
                  <c:y val="8.4685956245589208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E82-45D2-A934-4A701E42D1C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Hoja1!$A$2:$A$7</c:f>
              <c:strCache>
                <c:ptCount val="6"/>
                <c:pt idx="0">
                  <c:v>2018</c:v>
                </c:pt>
                <c:pt idx="1">
                  <c:v>2019</c:v>
                </c:pt>
                <c:pt idx="2">
                  <c:v>2020</c:v>
                </c:pt>
                <c:pt idx="3">
                  <c:v>2021</c:v>
                </c:pt>
                <c:pt idx="4">
                  <c:v>2022  e/</c:v>
                </c:pt>
                <c:pt idx="5">
                  <c:v>2023 py/</c:v>
                </c:pt>
              </c:strCache>
            </c:strRef>
          </c:cat>
          <c:val>
            <c:numRef>
              <c:f>Hoja1!$C$2:$C$7</c:f>
              <c:numCache>
                <c:formatCode>General</c:formatCode>
                <c:ptCount val="6"/>
                <c:pt idx="5">
                  <c:v>3.5</c:v>
                </c:pt>
              </c:numCache>
            </c:numRef>
          </c:val>
          <c:extLst>
            <c:ext xmlns:c16="http://schemas.microsoft.com/office/drawing/2014/chart" uri="{C3380CC4-5D6E-409C-BE32-E72D297353CC}">
              <c16:uniqueId val="{00000004-2E82-45D2-A934-4A701E42D1CD}"/>
            </c:ext>
          </c:extLst>
        </c:ser>
        <c:ser>
          <c:idx val="2"/>
          <c:order val="2"/>
          <c:tx>
            <c:strRef>
              <c:f>Hoja1!$D$1</c:f>
              <c:strCache>
                <c:ptCount val="1"/>
                <c:pt idx="0">
                  <c:v>Columna3</c:v>
                </c:pt>
              </c:strCache>
            </c:strRef>
          </c:tx>
          <c:spPr>
            <a:solidFill>
              <a:srgbClr val="002060"/>
            </a:solidFill>
            <a:ln>
              <a:solidFill>
                <a:srgbClr val="002060"/>
              </a:solidFill>
            </a:ln>
            <a:effectLst/>
          </c:spPr>
          <c:invertIfNegative val="0"/>
          <c:dLbls>
            <c:dLbl>
              <c:idx val="5"/>
              <c:layout>
                <c:manualLayout>
                  <c:x val="-1.8480969301964506E-16"/>
                  <c:y val="0.12702893436838397"/>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E82-45D2-A934-4A701E42D1C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Hoja1!$A$2:$A$7</c:f>
              <c:strCache>
                <c:ptCount val="6"/>
                <c:pt idx="0">
                  <c:v>2018</c:v>
                </c:pt>
                <c:pt idx="1">
                  <c:v>2019</c:v>
                </c:pt>
                <c:pt idx="2">
                  <c:v>2020</c:v>
                </c:pt>
                <c:pt idx="3">
                  <c:v>2021</c:v>
                </c:pt>
                <c:pt idx="4">
                  <c:v>2022  e/</c:v>
                </c:pt>
                <c:pt idx="5">
                  <c:v>2023 py/</c:v>
                </c:pt>
              </c:strCache>
            </c:strRef>
          </c:cat>
          <c:val>
            <c:numRef>
              <c:f>Hoja1!$D$2:$D$7</c:f>
              <c:numCache>
                <c:formatCode>General</c:formatCode>
                <c:ptCount val="6"/>
                <c:pt idx="5">
                  <c:v>2.5</c:v>
                </c:pt>
              </c:numCache>
            </c:numRef>
          </c:val>
          <c:extLst>
            <c:ext xmlns:c16="http://schemas.microsoft.com/office/drawing/2014/chart" uri="{C3380CC4-5D6E-409C-BE32-E72D297353CC}">
              <c16:uniqueId val="{00000006-2E82-45D2-A934-4A701E42D1CD}"/>
            </c:ext>
          </c:extLst>
        </c:ser>
        <c:dLbls>
          <c:showLegendKey val="0"/>
          <c:showVal val="0"/>
          <c:showCatName val="0"/>
          <c:showSerName val="0"/>
          <c:showPercent val="0"/>
          <c:showBubbleSize val="0"/>
        </c:dLbls>
        <c:gapWidth val="80"/>
        <c:overlap val="100"/>
        <c:axId val="1088847808"/>
        <c:axId val="1088848640"/>
      </c:barChart>
      <c:catAx>
        <c:axId val="108884780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088848640"/>
        <c:crosses val="autoZero"/>
        <c:auto val="1"/>
        <c:lblAlgn val="ctr"/>
        <c:lblOffset val="100"/>
        <c:noMultiLvlLbl val="0"/>
      </c:catAx>
      <c:valAx>
        <c:axId val="1088848640"/>
        <c:scaling>
          <c:orientation val="minMax"/>
        </c:scaling>
        <c:delete val="1"/>
        <c:axPos val="l"/>
        <c:numFmt formatCode="_-* #,##0.0_-;\-* #,##0.0_-;_-* &quot;-&quot;??_-;_-@_-" sourceLinked="1"/>
        <c:majorTickMark val="none"/>
        <c:minorTickMark val="none"/>
        <c:tickLblPos val="nextTo"/>
        <c:crossAx val="10888478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GT"/>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8641616625183896E-2"/>
          <c:y val="0.12702893436838392"/>
          <c:w val="0.91524339128584253"/>
          <c:h val="0.68896693135658682"/>
        </c:manualLayout>
      </c:layout>
      <c:barChart>
        <c:barDir val="col"/>
        <c:grouping val="clustered"/>
        <c:varyColors val="0"/>
        <c:ser>
          <c:idx val="0"/>
          <c:order val="0"/>
          <c:tx>
            <c:strRef>
              <c:f>Hoja1!$B$1</c:f>
              <c:strCache>
                <c:ptCount val="1"/>
                <c:pt idx="0">
                  <c:v>2022 e/</c:v>
                </c:pt>
              </c:strCache>
            </c:strRef>
          </c:tx>
          <c:spPr>
            <a:solidFill>
              <a:schemeClr val="tx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2">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Hoja1!$A$2:$A$7</c:f>
              <c:strCache>
                <c:ptCount val="6"/>
                <c:pt idx="0">
                  <c:v> D. interna </c:v>
                </c:pt>
                <c:pt idx="1">
                  <c:v> C. privado </c:v>
                </c:pt>
                <c:pt idx="2">
                  <c:v> C.público </c:v>
                </c:pt>
                <c:pt idx="3">
                  <c:v> FBCF </c:v>
                </c:pt>
                <c:pt idx="4">
                  <c:v> Exp.</c:v>
                </c:pt>
                <c:pt idx="5">
                  <c:v> Imp.</c:v>
                </c:pt>
              </c:strCache>
            </c:strRef>
          </c:cat>
          <c:val>
            <c:numRef>
              <c:f>Hoja1!$B$2:$B$7</c:f>
              <c:numCache>
                <c:formatCode>_-* #,##0.0_-;\-* #,##0.0_-;_-* "-"??_-;_-@_-</c:formatCode>
                <c:ptCount val="6"/>
                <c:pt idx="0">
                  <c:v>2.9</c:v>
                </c:pt>
                <c:pt idx="1">
                  <c:v>4.3</c:v>
                </c:pt>
                <c:pt idx="2">
                  <c:v>5.0999999999999996</c:v>
                </c:pt>
                <c:pt idx="3">
                  <c:v>1.6</c:v>
                </c:pt>
                <c:pt idx="4">
                  <c:v>5.5</c:v>
                </c:pt>
                <c:pt idx="5">
                  <c:v>0.7</c:v>
                </c:pt>
              </c:numCache>
            </c:numRef>
          </c:val>
          <c:extLst>
            <c:ext xmlns:c16="http://schemas.microsoft.com/office/drawing/2014/chart" uri="{C3380CC4-5D6E-409C-BE32-E72D297353CC}">
              <c16:uniqueId val="{00000000-EAD5-4B56-BB7F-09DA32D65487}"/>
            </c:ext>
          </c:extLst>
        </c:ser>
        <c:ser>
          <c:idx val="1"/>
          <c:order val="1"/>
          <c:tx>
            <c:strRef>
              <c:f>Hoja1!$C$1</c:f>
              <c:strCache>
                <c:ptCount val="1"/>
                <c:pt idx="0">
                  <c:v>2023  py/</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2">
                        <a:lumMod val="60000"/>
                        <a:lumOff val="4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Hoja1!$A$2:$A$7</c:f>
              <c:strCache>
                <c:ptCount val="6"/>
                <c:pt idx="0">
                  <c:v> D. interna </c:v>
                </c:pt>
                <c:pt idx="1">
                  <c:v> C. privado </c:v>
                </c:pt>
                <c:pt idx="2">
                  <c:v> C.público </c:v>
                </c:pt>
                <c:pt idx="3">
                  <c:v> FBCF </c:v>
                </c:pt>
                <c:pt idx="4">
                  <c:v> Exp.</c:v>
                </c:pt>
                <c:pt idx="5">
                  <c:v> Imp.</c:v>
                </c:pt>
              </c:strCache>
            </c:strRef>
          </c:cat>
          <c:val>
            <c:numRef>
              <c:f>Hoja1!$C$2:$C$7</c:f>
              <c:numCache>
                <c:formatCode>_-* #,##0.0_-;\-* #,##0.0_-;_-* "-"??_-;_-@_-</c:formatCode>
                <c:ptCount val="6"/>
                <c:pt idx="0">
                  <c:v>3.4</c:v>
                </c:pt>
                <c:pt idx="1">
                  <c:v>3.6</c:v>
                </c:pt>
                <c:pt idx="2">
                  <c:v>2.8</c:v>
                </c:pt>
                <c:pt idx="3">
                  <c:v>4.5</c:v>
                </c:pt>
                <c:pt idx="4">
                  <c:v>3.4</c:v>
                </c:pt>
                <c:pt idx="5">
                  <c:v>3.3</c:v>
                </c:pt>
              </c:numCache>
            </c:numRef>
          </c:val>
          <c:extLst>
            <c:ext xmlns:c16="http://schemas.microsoft.com/office/drawing/2014/chart" uri="{C3380CC4-5D6E-409C-BE32-E72D297353CC}">
              <c16:uniqueId val="{00000001-EAD5-4B56-BB7F-09DA32D65487}"/>
            </c:ext>
          </c:extLst>
        </c:ser>
        <c:dLbls>
          <c:showLegendKey val="0"/>
          <c:showVal val="0"/>
          <c:showCatName val="0"/>
          <c:showSerName val="0"/>
          <c:showPercent val="0"/>
          <c:showBubbleSize val="0"/>
        </c:dLbls>
        <c:gapWidth val="60"/>
        <c:axId val="994675280"/>
        <c:axId val="994657808"/>
      </c:barChart>
      <c:catAx>
        <c:axId val="99467528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994657808"/>
        <c:crosses val="autoZero"/>
        <c:auto val="1"/>
        <c:lblAlgn val="ctr"/>
        <c:lblOffset val="100"/>
        <c:noMultiLvlLbl val="0"/>
      </c:catAx>
      <c:valAx>
        <c:axId val="994657808"/>
        <c:scaling>
          <c:orientation val="minMax"/>
          <c:min val="0"/>
        </c:scaling>
        <c:delete val="1"/>
        <c:axPos val="l"/>
        <c:numFmt formatCode="_-* #,##0.0_-;\-* #,##0.0_-;_-* &quot;-&quot;??_-;_-@_-" sourceLinked="1"/>
        <c:majorTickMark val="out"/>
        <c:minorTickMark val="none"/>
        <c:tickLblPos val="nextTo"/>
        <c:crossAx val="994675280"/>
        <c:crosses val="autoZero"/>
        <c:crossBetween val="between"/>
      </c:valAx>
      <c:spPr>
        <a:noFill/>
        <a:ln>
          <a:noFill/>
        </a:ln>
        <a:effectLst/>
      </c:spPr>
    </c:plotArea>
    <c:legend>
      <c:legendPos val="b"/>
      <c:layout>
        <c:manualLayout>
          <c:xMode val="edge"/>
          <c:yMode val="edge"/>
          <c:x val="0.25189547879095758"/>
          <c:y val="4.110714107102173E-2"/>
          <c:w val="0.46596671005842011"/>
          <c:h val="9.791897043215397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GT"/>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940534608263239"/>
          <c:y val="4.3650793650793648E-2"/>
          <c:w val="0.73059465391736755"/>
          <c:h val="0.83304211973503317"/>
        </c:manualLayout>
      </c:layout>
      <c:barChart>
        <c:barDir val="bar"/>
        <c:grouping val="clustered"/>
        <c:varyColors val="0"/>
        <c:ser>
          <c:idx val="0"/>
          <c:order val="0"/>
          <c:tx>
            <c:strRef>
              <c:f>Hoja1!$B$1</c:f>
              <c:strCache>
                <c:ptCount val="1"/>
                <c:pt idx="0">
                  <c:v>2022 e/</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2">
                        <a:lumMod val="60000"/>
                        <a:lumOff val="4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Hoja1!$A$2:$A$18</c:f>
              <c:strCache>
                <c:ptCount val="17"/>
                <c:pt idx="0">
                  <c:v>Comercio  (21.0%)</c:v>
                </c:pt>
                <c:pt idx="1">
                  <c:v>Industrias manufactureras (13.8%)</c:v>
                </c:pt>
                <c:pt idx="2">
                  <c:v>Agricultura (9.2%)</c:v>
                </c:pt>
                <c:pt idx="3">
                  <c:v>Actividades inmobiliarias (7.9%)</c:v>
                </c:pt>
                <c:pt idx="4">
                  <c:v>Construcción (5.6%)</c:v>
                </c:pt>
                <c:pt idx="5">
                  <c:v>Enseñanza (4.4%)</c:v>
                </c:pt>
                <c:pt idx="6">
                  <c:v>Administración pública  (4%)</c:v>
                </c:pt>
                <c:pt idx="7">
                  <c:v>Actividades financieras  (3.8%)</c:v>
                </c:pt>
                <c:pt idx="8">
                  <c:v>Otros servicios (3.7%)</c:v>
                </c:pt>
                <c:pt idx="9">
                  <c:v>Información y comunicaciones (3.5%)</c:v>
                </c:pt>
                <c:pt idx="10">
                  <c:v>Transporte  (3.2%)</c:v>
                </c:pt>
                <c:pt idx="11">
                  <c:v>Servicios administrativos (3.2%)</c:v>
                </c:pt>
                <c:pt idx="12">
                  <c:v>Salud (2.8%)</c:v>
                </c:pt>
                <c:pt idx="13">
                  <c:v>Alojamiento  (2.7%)</c:v>
                </c:pt>
                <c:pt idx="14">
                  <c:v>Actividades profesionales (2.3%)</c:v>
                </c:pt>
                <c:pt idx="15">
                  <c:v>Suministro de electricidad (2.2%)</c:v>
                </c:pt>
                <c:pt idx="16">
                  <c:v>Explotación de minas (0.6%)</c:v>
                </c:pt>
              </c:strCache>
            </c:strRef>
          </c:cat>
          <c:val>
            <c:numRef>
              <c:f>Hoja1!$B$2:$B$18</c:f>
              <c:numCache>
                <c:formatCode>_-* #,##0.0_-;\-* #,##0.0_-;_-* "-"??_-;_-@_-</c:formatCode>
                <c:ptCount val="17"/>
                <c:pt idx="0">
                  <c:v>3.7</c:v>
                </c:pt>
                <c:pt idx="1">
                  <c:v>3.6</c:v>
                </c:pt>
                <c:pt idx="2">
                  <c:v>2.7</c:v>
                </c:pt>
                <c:pt idx="3">
                  <c:v>4.9000000000000004</c:v>
                </c:pt>
                <c:pt idx="4">
                  <c:v>6.8</c:v>
                </c:pt>
                <c:pt idx="5">
                  <c:v>2.7</c:v>
                </c:pt>
                <c:pt idx="6">
                  <c:v>2.8</c:v>
                </c:pt>
                <c:pt idx="7">
                  <c:v>8.6</c:v>
                </c:pt>
                <c:pt idx="8">
                  <c:v>4.5</c:v>
                </c:pt>
                <c:pt idx="9">
                  <c:v>1</c:v>
                </c:pt>
                <c:pt idx="10">
                  <c:v>7.9</c:v>
                </c:pt>
                <c:pt idx="11">
                  <c:v>6.7</c:v>
                </c:pt>
                <c:pt idx="12">
                  <c:v>0.6</c:v>
                </c:pt>
                <c:pt idx="13">
                  <c:v>15.2</c:v>
                </c:pt>
                <c:pt idx="14">
                  <c:v>4.3</c:v>
                </c:pt>
                <c:pt idx="15">
                  <c:v>4.5999999999999996</c:v>
                </c:pt>
                <c:pt idx="16">
                  <c:v>-4.5999999999999996</c:v>
                </c:pt>
              </c:numCache>
            </c:numRef>
          </c:val>
          <c:extLst>
            <c:ext xmlns:c16="http://schemas.microsoft.com/office/drawing/2014/chart" uri="{C3380CC4-5D6E-409C-BE32-E72D297353CC}">
              <c16:uniqueId val="{00000000-6ED7-4AEA-B5F4-F8D21EEDE084}"/>
            </c:ext>
          </c:extLst>
        </c:ser>
        <c:ser>
          <c:idx val="1"/>
          <c:order val="1"/>
          <c:tx>
            <c:strRef>
              <c:f>Hoja1!$C$1</c:f>
              <c:strCache>
                <c:ptCount val="1"/>
                <c:pt idx="0">
                  <c:v>2023 py/</c:v>
                </c:pt>
              </c:strCache>
            </c:strRef>
          </c:tx>
          <c:spPr>
            <a:solidFill>
              <a:schemeClr val="tx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2">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Hoja1!$A$2:$A$18</c:f>
              <c:strCache>
                <c:ptCount val="17"/>
                <c:pt idx="0">
                  <c:v>Comercio  (21.0%)</c:v>
                </c:pt>
                <c:pt idx="1">
                  <c:v>Industrias manufactureras (13.8%)</c:v>
                </c:pt>
                <c:pt idx="2">
                  <c:v>Agricultura (9.2%)</c:v>
                </c:pt>
                <c:pt idx="3">
                  <c:v>Actividades inmobiliarias (7.9%)</c:v>
                </c:pt>
                <c:pt idx="4">
                  <c:v>Construcción (5.6%)</c:v>
                </c:pt>
                <c:pt idx="5">
                  <c:v>Enseñanza (4.4%)</c:v>
                </c:pt>
                <c:pt idx="6">
                  <c:v>Administración pública  (4%)</c:v>
                </c:pt>
                <c:pt idx="7">
                  <c:v>Actividades financieras  (3.8%)</c:v>
                </c:pt>
                <c:pt idx="8">
                  <c:v>Otros servicios (3.7%)</c:v>
                </c:pt>
                <c:pt idx="9">
                  <c:v>Información y comunicaciones (3.5%)</c:v>
                </c:pt>
                <c:pt idx="10">
                  <c:v>Transporte  (3.2%)</c:v>
                </c:pt>
                <c:pt idx="11">
                  <c:v>Servicios administrativos (3.2%)</c:v>
                </c:pt>
                <c:pt idx="12">
                  <c:v>Salud (2.8%)</c:v>
                </c:pt>
                <c:pt idx="13">
                  <c:v>Alojamiento  (2.7%)</c:v>
                </c:pt>
                <c:pt idx="14">
                  <c:v>Actividades profesionales (2.3%)</c:v>
                </c:pt>
                <c:pt idx="15">
                  <c:v>Suministro de electricidad (2.2%)</c:v>
                </c:pt>
                <c:pt idx="16">
                  <c:v>Explotación de minas (0.6%)</c:v>
                </c:pt>
              </c:strCache>
            </c:strRef>
          </c:cat>
          <c:val>
            <c:numRef>
              <c:f>Hoja1!$C$2:$C$18</c:f>
              <c:numCache>
                <c:formatCode>_-* #,##0.0_-;\-* #,##0.0_-;_-* "-"??_-;_-@_-</c:formatCode>
                <c:ptCount val="17"/>
                <c:pt idx="0">
                  <c:v>3.2</c:v>
                </c:pt>
                <c:pt idx="1">
                  <c:v>2.9</c:v>
                </c:pt>
                <c:pt idx="2">
                  <c:v>2.2000000000000002</c:v>
                </c:pt>
                <c:pt idx="3">
                  <c:v>3.9</c:v>
                </c:pt>
                <c:pt idx="4">
                  <c:v>1.9</c:v>
                </c:pt>
                <c:pt idx="5">
                  <c:v>2.6</c:v>
                </c:pt>
                <c:pt idx="6">
                  <c:v>3.4</c:v>
                </c:pt>
                <c:pt idx="7">
                  <c:v>6.5</c:v>
                </c:pt>
                <c:pt idx="8">
                  <c:v>3.1</c:v>
                </c:pt>
                <c:pt idx="9">
                  <c:v>3.6</c:v>
                </c:pt>
                <c:pt idx="10">
                  <c:v>2.8</c:v>
                </c:pt>
                <c:pt idx="11">
                  <c:v>4.5</c:v>
                </c:pt>
                <c:pt idx="12">
                  <c:v>4.3</c:v>
                </c:pt>
                <c:pt idx="13">
                  <c:v>3.9</c:v>
                </c:pt>
                <c:pt idx="14">
                  <c:v>3.3</c:v>
                </c:pt>
                <c:pt idx="15">
                  <c:v>4.4000000000000004</c:v>
                </c:pt>
                <c:pt idx="16">
                  <c:v>18.5</c:v>
                </c:pt>
              </c:numCache>
            </c:numRef>
          </c:val>
          <c:extLst>
            <c:ext xmlns:c16="http://schemas.microsoft.com/office/drawing/2014/chart" uri="{C3380CC4-5D6E-409C-BE32-E72D297353CC}">
              <c16:uniqueId val="{00000001-6ED7-4AEA-B5F4-F8D21EEDE084}"/>
            </c:ext>
          </c:extLst>
        </c:ser>
        <c:dLbls>
          <c:showLegendKey val="0"/>
          <c:showVal val="0"/>
          <c:showCatName val="0"/>
          <c:showSerName val="0"/>
          <c:showPercent val="0"/>
          <c:showBubbleSize val="0"/>
        </c:dLbls>
        <c:gapWidth val="80"/>
        <c:overlap val="-15"/>
        <c:axId val="1082174704"/>
        <c:axId val="1082169712"/>
      </c:barChart>
      <c:catAx>
        <c:axId val="1082174704"/>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082169712"/>
        <c:crosses val="autoZero"/>
        <c:auto val="1"/>
        <c:lblAlgn val="ctr"/>
        <c:lblOffset val="100"/>
        <c:noMultiLvlLbl val="0"/>
      </c:catAx>
      <c:valAx>
        <c:axId val="1082169712"/>
        <c:scaling>
          <c:orientation val="minMax"/>
          <c:max val="24"/>
          <c:min val="-7"/>
        </c:scaling>
        <c:delete val="1"/>
        <c:axPos val="t"/>
        <c:numFmt formatCode="_-* #,##0.0_-;\-* #,##0.0_-;_-* &quot;-&quot;??_-;_-@_-" sourceLinked="1"/>
        <c:majorTickMark val="none"/>
        <c:minorTickMark val="none"/>
        <c:tickLblPos val="nextTo"/>
        <c:crossAx val="1082174704"/>
        <c:crosses val="autoZero"/>
        <c:crossBetween val="between"/>
      </c:valAx>
      <c:spPr>
        <a:noFill/>
        <a:ln>
          <a:noFill/>
        </a:ln>
        <a:effectLst/>
      </c:spPr>
    </c:plotArea>
    <c:legend>
      <c:legendPos val="b"/>
      <c:layout>
        <c:manualLayout>
          <c:xMode val="edge"/>
          <c:yMode val="edge"/>
          <c:x val="0.38811351706036745"/>
          <c:y val="0.92906699162604656"/>
          <c:w val="0.17646895425811199"/>
          <c:h val="5.2112400220566887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GT"/>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Hoja1!$B$1</c:f>
              <c:strCache>
                <c:ptCount val="1"/>
                <c:pt idx="0">
                  <c:v>Volumen del comercio mundial de mercancías</c:v>
                </c:pt>
              </c:strCache>
            </c:strRef>
          </c:tx>
          <c:spPr>
            <a:ln w="28575" cap="rnd">
              <a:solidFill>
                <a:schemeClr val="tx2">
                  <a:lumMod val="50000"/>
                </a:schemeClr>
              </a:solidFill>
              <a:round/>
            </a:ln>
            <a:effectLst/>
          </c:spPr>
          <c:marker>
            <c:symbol val="none"/>
          </c:marker>
          <c:dPt>
            <c:idx val="5"/>
            <c:marker>
              <c:symbol val="none"/>
            </c:marker>
            <c:bubble3D val="0"/>
            <c:spPr>
              <a:ln w="28575" cap="rnd">
                <a:solidFill>
                  <a:schemeClr val="tx2">
                    <a:lumMod val="50000"/>
                  </a:schemeClr>
                </a:solidFill>
                <a:round/>
              </a:ln>
              <a:effectLst/>
            </c:spPr>
            <c:extLst>
              <c:ext xmlns:c16="http://schemas.microsoft.com/office/drawing/2014/chart" uri="{C3380CC4-5D6E-409C-BE32-E72D297353CC}">
                <c16:uniqueId val="{00000001-D98B-4472-B11C-664D317C89D5}"/>
              </c:ext>
            </c:extLst>
          </c:dPt>
          <c:dPt>
            <c:idx val="13"/>
            <c:marker>
              <c:symbol val="none"/>
            </c:marker>
            <c:bubble3D val="0"/>
            <c:spPr>
              <a:ln w="28575" cap="rnd">
                <a:solidFill>
                  <a:schemeClr val="tx2">
                    <a:lumMod val="60000"/>
                    <a:lumOff val="40000"/>
                  </a:schemeClr>
                </a:solidFill>
                <a:prstDash val="sysDash"/>
                <a:round/>
              </a:ln>
              <a:effectLst/>
            </c:spPr>
            <c:extLst>
              <c:ext xmlns:c16="http://schemas.microsoft.com/office/drawing/2014/chart" uri="{C3380CC4-5D6E-409C-BE32-E72D297353CC}">
                <c16:uniqueId val="{00000003-D98B-4472-B11C-664D317C89D5}"/>
              </c:ext>
            </c:extLst>
          </c:dPt>
          <c:dLbls>
            <c:dLbl>
              <c:idx val="0"/>
              <c:layout>
                <c:manualLayout>
                  <c:x val="-8.3165322580645157E-2"/>
                  <c:y val="7.2335920959774105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lumMod val="50000"/>
                        </a:schemeClr>
                      </a:solidFill>
                      <a:latin typeface="Times New Roman" panose="02020603050405020304" pitchFamily="18" charset="0"/>
                      <a:ea typeface="+mn-ea"/>
                      <a:cs typeface="Times New Roman" panose="02020603050405020304" pitchFamily="18" charset="0"/>
                    </a:defRPr>
                  </a:pPr>
                  <a:endParaRPr lang="es-G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98B-4472-B11C-664D317C89D5}"/>
                </c:ext>
              </c:extLst>
            </c:dLbl>
            <c:dLbl>
              <c:idx val="1"/>
              <c:delete val="1"/>
              <c:extLst>
                <c:ext xmlns:c15="http://schemas.microsoft.com/office/drawing/2012/chart" uri="{CE6537A1-D6FC-4f65-9D91-7224C49458BB}"/>
                <c:ext xmlns:c16="http://schemas.microsoft.com/office/drawing/2014/chart" uri="{C3380CC4-5D6E-409C-BE32-E72D297353CC}">
                  <c16:uniqueId val="{00000005-D98B-4472-B11C-664D317C89D5}"/>
                </c:ext>
              </c:extLst>
            </c:dLbl>
            <c:dLbl>
              <c:idx val="2"/>
              <c:delete val="1"/>
              <c:extLst>
                <c:ext xmlns:c15="http://schemas.microsoft.com/office/drawing/2012/chart" uri="{CE6537A1-D6FC-4f65-9D91-7224C49458BB}"/>
                <c:ext xmlns:c16="http://schemas.microsoft.com/office/drawing/2014/chart" uri="{C3380CC4-5D6E-409C-BE32-E72D297353CC}">
                  <c16:uniqueId val="{00000006-D98B-4472-B11C-664D317C89D5}"/>
                </c:ext>
              </c:extLst>
            </c:dLbl>
            <c:dLbl>
              <c:idx val="3"/>
              <c:layout>
                <c:manualLayout>
                  <c:x val="-0.14616935483870969"/>
                  <c:y val="-8.2921665490472835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lumMod val="50000"/>
                        </a:schemeClr>
                      </a:solidFill>
                      <a:latin typeface="Times New Roman" panose="02020603050405020304" pitchFamily="18" charset="0"/>
                      <a:ea typeface="+mn-ea"/>
                      <a:cs typeface="Times New Roman" panose="02020603050405020304" pitchFamily="18" charset="0"/>
                    </a:defRPr>
                  </a:pPr>
                  <a:endParaRPr lang="es-G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98B-4472-B11C-664D317C89D5}"/>
                </c:ext>
              </c:extLst>
            </c:dLbl>
            <c:dLbl>
              <c:idx val="4"/>
              <c:delete val="1"/>
              <c:extLst>
                <c:ext xmlns:c15="http://schemas.microsoft.com/office/drawing/2012/chart" uri="{CE6537A1-D6FC-4f65-9D91-7224C49458BB}"/>
                <c:ext xmlns:c16="http://schemas.microsoft.com/office/drawing/2014/chart" uri="{C3380CC4-5D6E-409C-BE32-E72D297353CC}">
                  <c16:uniqueId val="{00000008-D98B-4472-B11C-664D317C89D5}"/>
                </c:ext>
              </c:extLst>
            </c:dLbl>
            <c:dLbl>
              <c:idx val="5"/>
              <c:delete val="1"/>
              <c:extLst>
                <c:ext xmlns:c15="http://schemas.microsoft.com/office/drawing/2012/chart" uri="{CE6537A1-D6FC-4f65-9D91-7224C49458BB}"/>
                <c:ext xmlns:c16="http://schemas.microsoft.com/office/drawing/2014/chart" uri="{C3380CC4-5D6E-409C-BE32-E72D297353CC}">
                  <c16:uniqueId val="{00000001-D98B-4472-B11C-664D317C89D5}"/>
                </c:ext>
              </c:extLst>
            </c:dLbl>
            <c:dLbl>
              <c:idx val="6"/>
              <c:layout>
                <c:manualLayout>
                  <c:x val="-0.12348790322580648"/>
                  <c:y val="-7.5864502470007089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lumMod val="50000"/>
                        </a:schemeClr>
                      </a:solidFill>
                      <a:latin typeface="Times New Roman" panose="02020603050405020304" pitchFamily="18" charset="0"/>
                      <a:ea typeface="+mn-ea"/>
                      <a:cs typeface="Times New Roman" panose="02020603050405020304" pitchFamily="18" charset="0"/>
                    </a:defRPr>
                  </a:pPr>
                  <a:endParaRPr lang="es-G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98B-4472-B11C-664D317C89D5}"/>
                </c:ext>
              </c:extLst>
            </c:dLbl>
            <c:dLbl>
              <c:idx val="7"/>
              <c:delete val="1"/>
              <c:extLst>
                <c:ext xmlns:c15="http://schemas.microsoft.com/office/drawing/2012/chart" uri="{CE6537A1-D6FC-4f65-9D91-7224C49458BB}"/>
                <c:ext xmlns:c16="http://schemas.microsoft.com/office/drawing/2014/chart" uri="{C3380CC4-5D6E-409C-BE32-E72D297353CC}">
                  <c16:uniqueId val="{0000000A-D98B-4472-B11C-664D317C89D5}"/>
                </c:ext>
              </c:extLst>
            </c:dLbl>
            <c:dLbl>
              <c:idx val="8"/>
              <c:delete val="1"/>
              <c:extLst>
                <c:ext xmlns:c15="http://schemas.microsoft.com/office/drawing/2012/chart" uri="{CE6537A1-D6FC-4f65-9D91-7224C49458BB}"/>
                <c:ext xmlns:c16="http://schemas.microsoft.com/office/drawing/2014/chart" uri="{C3380CC4-5D6E-409C-BE32-E72D297353CC}">
                  <c16:uniqueId val="{0000000B-D98B-4472-B11C-664D317C89D5}"/>
                </c:ext>
              </c:extLst>
            </c:dLbl>
            <c:dLbl>
              <c:idx val="9"/>
              <c:delete val="1"/>
              <c:extLst>
                <c:ext xmlns:c15="http://schemas.microsoft.com/office/drawing/2012/chart" uri="{CE6537A1-D6FC-4f65-9D91-7224C49458BB}"/>
                <c:ext xmlns:c16="http://schemas.microsoft.com/office/drawing/2014/chart" uri="{C3380CC4-5D6E-409C-BE32-E72D297353CC}">
                  <c16:uniqueId val="{0000000C-D98B-4472-B11C-664D317C89D5}"/>
                </c:ext>
              </c:extLst>
            </c:dLbl>
            <c:dLbl>
              <c:idx val="10"/>
              <c:layout>
                <c:manualLayout>
                  <c:x val="-0.10836693548387101"/>
                  <c:y val="-8.9978828510938608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lumMod val="50000"/>
                        </a:schemeClr>
                      </a:solidFill>
                      <a:latin typeface="Times New Roman" panose="02020603050405020304" pitchFamily="18" charset="0"/>
                      <a:ea typeface="+mn-ea"/>
                      <a:cs typeface="Times New Roman" panose="02020603050405020304" pitchFamily="18" charset="0"/>
                    </a:defRPr>
                  </a:pPr>
                  <a:endParaRPr lang="es-G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98B-4472-B11C-664D317C89D5}"/>
                </c:ext>
              </c:extLst>
            </c:dLbl>
            <c:dLbl>
              <c:idx val="11"/>
              <c:delete val="1"/>
              <c:extLst>
                <c:ext xmlns:c15="http://schemas.microsoft.com/office/drawing/2012/chart" uri="{CE6537A1-D6FC-4f65-9D91-7224C49458BB}"/>
                <c:ext xmlns:c16="http://schemas.microsoft.com/office/drawing/2014/chart" uri="{C3380CC4-5D6E-409C-BE32-E72D297353CC}">
                  <c16:uniqueId val="{0000000E-D98B-4472-B11C-664D317C89D5}"/>
                </c:ext>
              </c:extLst>
            </c:dLbl>
            <c:dLbl>
              <c:idx val="12"/>
              <c:layout>
                <c:manualLayout>
                  <c:x val="-0.12492260922021849"/>
                  <c:y val="9.3507410021171425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lumMod val="50000"/>
                        </a:schemeClr>
                      </a:solidFill>
                      <a:latin typeface="Times New Roman" panose="02020603050405020304" pitchFamily="18" charset="0"/>
                      <a:ea typeface="+mn-ea"/>
                      <a:cs typeface="Times New Roman" panose="02020603050405020304" pitchFamily="18" charset="0"/>
                    </a:defRPr>
                  </a:pPr>
                  <a:endParaRPr lang="es-G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98B-4472-B11C-664D317C89D5}"/>
                </c:ext>
              </c:extLst>
            </c:dLbl>
            <c:dLbl>
              <c:idx val="13"/>
              <c:layout>
                <c:manualLayout>
                  <c:x val="-1.526225552451105E-2"/>
                  <c:y val="5.8221594918842628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lumMod val="60000"/>
                          <a:lumOff val="40000"/>
                        </a:schemeClr>
                      </a:solidFill>
                      <a:latin typeface="Times New Roman" panose="02020603050405020304" pitchFamily="18" charset="0"/>
                      <a:ea typeface="+mn-ea"/>
                      <a:cs typeface="Times New Roman" panose="02020603050405020304" pitchFamily="18" charset="0"/>
                    </a:defRPr>
                  </a:pPr>
                  <a:endParaRPr lang="es-G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98B-4472-B11C-664D317C89D5}"/>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lumMod val="50000"/>
                      </a:schemeClr>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Hoja1!$A$2:$A$15</c:f>
              <c:numCache>
                <c:formatCode>mmm\-yy</c:formatCode>
                <c:ptCount val="14"/>
                <c:pt idx="0">
                  <c:v>44531</c:v>
                </c:pt>
                <c:pt idx="1">
                  <c:v>44562</c:v>
                </c:pt>
                <c:pt idx="2">
                  <c:v>44593</c:v>
                </c:pt>
                <c:pt idx="3">
                  <c:v>44621</c:v>
                </c:pt>
                <c:pt idx="4">
                  <c:v>44652</c:v>
                </c:pt>
                <c:pt idx="5">
                  <c:v>44682</c:v>
                </c:pt>
                <c:pt idx="6">
                  <c:v>44713</c:v>
                </c:pt>
                <c:pt idx="7">
                  <c:v>44743</c:v>
                </c:pt>
                <c:pt idx="8">
                  <c:v>44774</c:v>
                </c:pt>
                <c:pt idx="9">
                  <c:v>44805</c:v>
                </c:pt>
                <c:pt idx="10">
                  <c:v>44835</c:v>
                </c:pt>
                <c:pt idx="11">
                  <c:v>44866</c:v>
                </c:pt>
                <c:pt idx="12">
                  <c:v>44896</c:v>
                </c:pt>
                <c:pt idx="13">
                  <c:v>45261</c:v>
                </c:pt>
              </c:numCache>
            </c:numRef>
          </c:cat>
          <c:val>
            <c:numRef>
              <c:f>Hoja1!$B$2:$B$15</c:f>
              <c:numCache>
                <c:formatCode>_(* #,##0.00_);_(* \(#,##0.00\);_(* "-"??_);_(@_)</c:formatCode>
                <c:ptCount val="14"/>
                <c:pt idx="0">
                  <c:v>3.07</c:v>
                </c:pt>
                <c:pt idx="1">
                  <c:v>2.87</c:v>
                </c:pt>
                <c:pt idx="2">
                  <c:v>2.98</c:v>
                </c:pt>
                <c:pt idx="3">
                  <c:v>4.17</c:v>
                </c:pt>
                <c:pt idx="4">
                  <c:v>4.62</c:v>
                </c:pt>
                <c:pt idx="5">
                  <c:v>5.82</c:v>
                </c:pt>
                <c:pt idx="6">
                  <c:v>7.55</c:v>
                </c:pt>
                <c:pt idx="7">
                  <c:v>8.36</c:v>
                </c:pt>
                <c:pt idx="8">
                  <c:v>8.8699999999999992</c:v>
                </c:pt>
                <c:pt idx="9">
                  <c:v>9.0299999999999994</c:v>
                </c:pt>
                <c:pt idx="10">
                  <c:v>9.6999999999999993</c:v>
                </c:pt>
                <c:pt idx="11">
                  <c:v>9.17</c:v>
                </c:pt>
                <c:pt idx="12">
                  <c:v>9.24</c:v>
                </c:pt>
                <c:pt idx="13">
                  <c:v>5</c:v>
                </c:pt>
              </c:numCache>
            </c:numRef>
          </c:val>
          <c:smooth val="1"/>
          <c:extLst>
            <c:ext xmlns:c16="http://schemas.microsoft.com/office/drawing/2014/chart" uri="{C3380CC4-5D6E-409C-BE32-E72D297353CC}">
              <c16:uniqueId val="{00000010-D98B-4472-B11C-664D317C89D5}"/>
            </c:ext>
          </c:extLst>
        </c:ser>
        <c:dLbls>
          <c:showLegendKey val="0"/>
          <c:showVal val="0"/>
          <c:showCatName val="0"/>
          <c:showSerName val="0"/>
          <c:showPercent val="0"/>
          <c:showBubbleSize val="0"/>
        </c:dLbls>
        <c:smooth val="0"/>
        <c:axId val="1088847808"/>
        <c:axId val="1088848640"/>
      </c:lineChart>
      <c:dateAx>
        <c:axId val="1088847808"/>
        <c:scaling>
          <c:orientation val="minMax"/>
        </c:scaling>
        <c:delete val="0"/>
        <c:axPos val="b"/>
        <c:numFmt formatCode="mmm\-yy"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088848640"/>
        <c:crosses val="autoZero"/>
        <c:auto val="1"/>
        <c:lblOffset val="100"/>
        <c:baseTimeUnit val="months"/>
      </c:dateAx>
      <c:valAx>
        <c:axId val="1088848640"/>
        <c:scaling>
          <c:orientation val="minMax"/>
        </c:scaling>
        <c:delete val="1"/>
        <c:axPos val="l"/>
        <c:numFmt formatCode="_(* #,##0.00_);_(* \(#,##0.00\);_(* &quot;-&quot;??_);_(@_)" sourceLinked="1"/>
        <c:majorTickMark val="none"/>
        <c:minorTickMark val="none"/>
        <c:tickLblPos val="nextTo"/>
        <c:crossAx val="10888478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GT"/>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5443548387096774E-2"/>
          <c:y val="0.22582921665490474"/>
          <c:w val="0.88911290322580649"/>
          <c:h val="0.54076650792680558"/>
        </c:manualLayout>
      </c:layout>
      <c:barChart>
        <c:barDir val="col"/>
        <c:grouping val="clustered"/>
        <c:varyColors val="0"/>
        <c:ser>
          <c:idx val="0"/>
          <c:order val="0"/>
          <c:tx>
            <c:strRef>
              <c:f>Hoja1!$B$1</c:f>
              <c:strCache>
                <c:ptCount val="1"/>
                <c:pt idx="0">
                  <c:v>2022</c:v>
                </c:pt>
              </c:strCache>
            </c:strRef>
          </c:tx>
          <c:spPr>
            <a:solidFill>
              <a:schemeClr val="tx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Emisión monetaria</c:v>
                </c:pt>
                <c:pt idx="1">
                  <c:v>Medio de pago</c:v>
                </c:pt>
                <c:pt idx="2">
                  <c:v>Crédito bancario al SP</c:v>
                </c:pt>
              </c:strCache>
            </c:strRef>
          </c:cat>
          <c:val>
            <c:numRef>
              <c:f>Hoja1!$B$2:$B$4</c:f>
              <c:numCache>
                <c:formatCode>_-* #,##0.0_-;\-* #,##0.0_-;_-* "-"??_-;_-@_-</c:formatCode>
                <c:ptCount val="3"/>
                <c:pt idx="0">
                  <c:v>12</c:v>
                </c:pt>
                <c:pt idx="1">
                  <c:v>11.5</c:v>
                </c:pt>
                <c:pt idx="2">
                  <c:v>11</c:v>
                </c:pt>
              </c:numCache>
            </c:numRef>
          </c:val>
          <c:extLst>
            <c:ext xmlns:c16="http://schemas.microsoft.com/office/drawing/2014/chart" uri="{C3380CC4-5D6E-409C-BE32-E72D297353CC}">
              <c16:uniqueId val="{00000000-86E0-42BA-8D27-699005E68AB5}"/>
            </c:ext>
          </c:extLst>
        </c:ser>
        <c:ser>
          <c:idx val="1"/>
          <c:order val="1"/>
          <c:tx>
            <c:strRef>
              <c:f>Hoja1!$C$1</c:f>
              <c:strCache>
                <c:ptCount val="1"/>
                <c:pt idx="0">
                  <c:v>2023</c:v>
                </c:pt>
              </c:strCache>
            </c:strRef>
          </c:tx>
          <c:spPr>
            <a:solidFill>
              <a:schemeClr val="tx2">
                <a:lumMod val="60000"/>
                <a:lumOff val="40000"/>
              </a:schemeClr>
            </a:solidFill>
            <a:ln>
              <a:noFill/>
            </a:ln>
            <a:effectLst/>
          </c:spPr>
          <c:invertIfNegative val="0"/>
          <c:dLbls>
            <c:dLbl>
              <c:idx val="0"/>
              <c:layout>
                <c:manualLayout>
                  <c:x val="0"/>
                  <c:y val="0.1129146083274523"/>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6E0-42BA-8D27-699005E68AB5}"/>
                </c:ext>
              </c:extLst>
            </c:dLbl>
            <c:dLbl>
              <c:idx val="1"/>
              <c:layout>
                <c:manualLayout>
                  <c:x val="0"/>
                  <c:y val="0.1058574453069866"/>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6E0-42BA-8D27-699005E68AB5}"/>
                </c:ext>
              </c:extLst>
            </c:dLbl>
            <c:dLbl>
              <c:idx val="2"/>
              <c:layout>
                <c:manualLayout>
                  <c:x val="5.0403225806450692E-3"/>
                  <c:y val="0.1058574453069866"/>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6E0-42BA-8D27-699005E68AB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lumMod val="60000"/>
                        <a:lumOff val="4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Emisión monetaria</c:v>
                </c:pt>
                <c:pt idx="1">
                  <c:v>Medio de pago</c:v>
                </c:pt>
                <c:pt idx="2">
                  <c:v>Crédito bancario al SP</c:v>
                </c:pt>
              </c:strCache>
            </c:strRef>
          </c:cat>
          <c:val>
            <c:numRef>
              <c:f>Hoja1!$C$2:$C$4</c:f>
              <c:numCache>
                <c:formatCode>_-* #,##0.0_-;\-* #,##0.0_-;_-* "-"??_-;_-@_-</c:formatCode>
                <c:ptCount val="3"/>
                <c:pt idx="0">
                  <c:v>9</c:v>
                </c:pt>
                <c:pt idx="1">
                  <c:v>9.5</c:v>
                </c:pt>
                <c:pt idx="2">
                  <c:v>8</c:v>
                </c:pt>
              </c:numCache>
            </c:numRef>
          </c:val>
          <c:extLst>
            <c:ext xmlns:c16="http://schemas.microsoft.com/office/drawing/2014/chart" uri="{C3380CC4-5D6E-409C-BE32-E72D297353CC}">
              <c16:uniqueId val="{00000004-86E0-42BA-8D27-699005E68AB5}"/>
            </c:ext>
          </c:extLst>
        </c:ser>
        <c:dLbls>
          <c:showLegendKey val="0"/>
          <c:showVal val="0"/>
          <c:showCatName val="0"/>
          <c:showSerName val="0"/>
          <c:showPercent val="0"/>
          <c:showBubbleSize val="0"/>
        </c:dLbls>
        <c:gapWidth val="60"/>
        <c:overlap val="100"/>
        <c:axId val="994675280"/>
        <c:axId val="994657808"/>
      </c:barChart>
      <c:catAx>
        <c:axId val="99467528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994657808"/>
        <c:crosses val="autoZero"/>
        <c:auto val="1"/>
        <c:lblAlgn val="ctr"/>
        <c:lblOffset val="100"/>
        <c:noMultiLvlLbl val="0"/>
      </c:catAx>
      <c:valAx>
        <c:axId val="994657808"/>
        <c:scaling>
          <c:orientation val="minMax"/>
        </c:scaling>
        <c:delete val="1"/>
        <c:axPos val="l"/>
        <c:numFmt formatCode="_-* #,##0.0_-;\-* #,##0.0_-;_-* &quot;-&quot;??_-;_-@_-" sourceLinked="1"/>
        <c:majorTickMark val="out"/>
        <c:minorTickMark val="none"/>
        <c:tickLblPos val="nextTo"/>
        <c:crossAx val="994675280"/>
        <c:crosses val="autoZero"/>
        <c:crossBetween val="between"/>
      </c:valAx>
      <c:spPr>
        <a:noFill/>
        <a:ln>
          <a:noFill/>
        </a:ln>
        <a:effectLst/>
      </c:spPr>
    </c:plotArea>
    <c:legend>
      <c:legendPos val="b"/>
      <c:layout>
        <c:manualLayout>
          <c:xMode val="edge"/>
          <c:yMode val="edge"/>
          <c:x val="0.25189547879095758"/>
          <c:y val="4.110714107102173E-2"/>
          <c:w val="0.46596671005842011"/>
          <c:h val="9.791897043215397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GT"/>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5443548387096774E-2"/>
          <c:y val="0.22582921665490474"/>
          <c:w val="0.88911290322580649"/>
          <c:h val="0.54076650792680558"/>
        </c:manualLayout>
      </c:layout>
      <c:barChart>
        <c:barDir val="col"/>
        <c:grouping val="clustered"/>
        <c:varyColors val="0"/>
        <c:ser>
          <c:idx val="0"/>
          <c:order val="0"/>
          <c:tx>
            <c:strRef>
              <c:f>Hoja1!$B$1</c:f>
              <c:strCache>
                <c:ptCount val="1"/>
                <c:pt idx="0">
                  <c:v>Alto</c:v>
                </c:pt>
              </c:strCache>
            </c:strRef>
          </c:tx>
          <c:spPr>
            <a:solidFill>
              <a:schemeClr val="tx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Cuenta Corriente (%PIB)</c:v>
                </c:pt>
                <c:pt idx="1">
                  <c:v>Remesas familiares (% tasa de crecimiento)</c:v>
                </c:pt>
                <c:pt idx="2">
                  <c:v>Exportaciones (% tasa de crecimiento)</c:v>
                </c:pt>
                <c:pt idx="3">
                  <c:v>Importaciones (% tasa de crecimiento) </c:v>
                </c:pt>
              </c:strCache>
            </c:strRef>
          </c:cat>
          <c:val>
            <c:numRef>
              <c:f>Hoja1!$B$2:$B$5</c:f>
              <c:numCache>
                <c:formatCode>_-* #,##0.0_-;\-* #,##0.0_-;_-* "-"??_-;_-@_-</c:formatCode>
                <c:ptCount val="4"/>
                <c:pt idx="0">
                  <c:v>1.1000000000000001</c:v>
                </c:pt>
                <c:pt idx="1">
                  <c:v>9</c:v>
                </c:pt>
                <c:pt idx="2">
                  <c:v>7.5</c:v>
                </c:pt>
                <c:pt idx="3">
                  <c:v>9.5</c:v>
                </c:pt>
              </c:numCache>
            </c:numRef>
          </c:val>
          <c:extLst>
            <c:ext xmlns:c16="http://schemas.microsoft.com/office/drawing/2014/chart" uri="{C3380CC4-5D6E-409C-BE32-E72D297353CC}">
              <c16:uniqueId val="{00000000-F7F1-4887-9FD2-D2E290D4B050}"/>
            </c:ext>
          </c:extLst>
        </c:ser>
        <c:ser>
          <c:idx val="1"/>
          <c:order val="1"/>
          <c:tx>
            <c:strRef>
              <c:f>Hoja1!$C$1</c:f>
              <c:strCache>
                <c:ptCount val="1"/>
                <c:pt idx="0">
                  <c:v>Medio</c:v>
                </c:pt>
              </c:strCache>
            </c:strRef>
          </c:tx>
          <c:spPr>
            <a:solidFill>
              <a:schemeClr val="tx2">
                <a:lumMod val="60000"/>
                <a:lumOff val="40000"/>
              </a:schemeClr>
            </a:solidFill>
            <a:ln>
              <a:noFill/>
            </a:ln>
            <a:effectLst/>
          </c:spPr>
          <c:invertIfNegative val="0"/>
          <c:dLbls>
            <c:dLbl>
              <c:idx val="0"/>
              <c:layout>
                <c:manualLayout>
                  <c:x val="0"/>
                  <c:y val="0.112914608327452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7F1-4887-9FD2-D2E290D4B050}"/>
                </c:ext>
              </c:extLst>
            </c:dLbl>
            <c:dLbl>
              <c:idx val="1"/>
              <c:layout>
                <c:manualLayout>
                  <c:x val="0"/>
                  <c:y val="0.105857445306986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7F1-4887-9FD2-D2E290D4B050}"/>
                </c:ext>
              </c:extLst>
            </c:dLbl>
            <c:dLbl>
              <c:idx val="2"/>
              <c:layout>
                <c:manualLayout>
                  <c:x val="5.0403225806450692E-3"/>
                  <c:y val="0.105857445306986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7F1-4887-9FD2-D2E290D4B050}"/>
                </c:ext>
              </c:extLst>
            </c:dLbl>
            <c:dLbl>
              <c:idx val="3"/>
              <c:layout>
                <c:manualLayout>
                  <c:x val="-1.847864084419684E-16"/>
                  <c:y val="0.1129146083274523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7F1-4887-9FD2-D2E290D4B05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Cuenta Corriente (%PIB)</c:v>
                </c:pt>
                <c:pt idx="1">
                  <c:v>Remesas familiares (% tasa de crecimiento)</c:v>
                </c:pt>
                <c:pt idx="2">
                  <c:v>Exportaciones (% tasa de crecimiento)</c:v>
                </c:pt>
                <c:pt idx="3">
                  <c:v>Importaciones (% tasa de crecimiento) </c:v>
                </c:pt>
              </c:strCache>
            </c:strRef>
          </c:cat>
          <c:val>
            <c:numRef>
              <c:f>Hoja1!$C$2:$C$5</c:f>
              <c:numCache>
                <c:formatCode>_-* #,##0.0_-;\-* #,##0.0_-;_-* "-"??_-;_-@_-</c:formatCode>
                <c:ptCount val="4"/>
                <c:pt idx="1">
                  <c:v>7.5</c:v>
                </c:pt>
                <c:pt idx="2">
                  <c:v>6</c:v>
                </c:pt>
                <c:pt idx="3">
                  <c:v>8</c:v>
                </c:pt>
              </c:numCache>
            </c:numRef>
          </c:val>
          <c:extLst>
            <c:ext xmlns:c16="http://schemas.microsoft.com/office/drawing/2014/chart" uri="{C3380CC4-5D6E-409C-BE32-E72D297353CC}">
              <c16:uniqueId val="{00000005-F7F1-4887-9FD2-D2E290D4B050}"/>
            </c:ext>
          </c:extLst>
        </c:ser>
        <c:ser>
          <c:idx val="2"/>
          <c:order val="2"/>
          <c:tx>
            <c:strRef>
              <c:f>Hoja1!$D$1</c:f>
              <c:strCache>
                <c:ptCount val="1"/>
                <c:pt idx="0">
                  <c:v>Bajo</c:v>
                </c:pt>
              </c:strCache>
            </c:strRef>
          </c:tx>
          <c:spPr>
            <a:solidFill>
              <a:schemeClr val="tx2">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es-G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Cuenta Corriente (%PIB)</c:v>
                </c:pt>
                <c:pt idx="1">
                  <c:v>Remesas familiares (% tasa de crecimiento)</c:v>
                </c:pt>
                <c:pt idx="2">
                  <c:v>Exportaciones (% tasa de crecimiento)</c:v>
                </c:pt>
                <c:pt idx="3">
                  <c:v>Importaciones (% tasa de crecimiento) </c:v>
                </c:pt>
              </c:strCache>
            </c:strRef>
          </c:cat>
          <c:val>
            <c:numRef>
              <c:f>Hoja1!$D$2:$D$5</c:f>
              <c:numCache>
                <c:formatCode>_-* #,##0.0_-;\-* #,##0.0_-;_-* "-"??_-;_-@_-</c:formatCode>
                <c:ptCount val="4"/>
                <c:pt idx="1">
                  <c:v>6</c:v>
                </c:pt>
                <c:pt idx="2">
                  <c:v>4.5</c:v>
                </c:pt>
                <c:pt idx="3">
                  <c:v>6.5</c:v>
                </c:pt>
              </c:numCache>
            </c:numRef>
          </c:val>
          <c:extLst>
            <c:ext xmlns:c16="http://schemas.microsoft.com/office/drawing/2014/chart" uri="{C3380CC4-5D6E-409C-BE32-E72D297353CC}">
              <c16:uniqueId val="{00000006-F7F1-4887-9FD2-D2E290D4B050}"/>
            </c:ext>
          </c:extLst>
        </c:ser>
        <c:dLbls>
          <c:showLegendKey val="0"/>
          <c:showVal val="0"/>
          <c:showCatName val="0"/>
          <c:showSerName val="0"/>
          <c:showPercent val="0"/>
          <c:showBubbleSize val="0"/>
        </c:dLbls>
        <c:gapWidth val="60"/>
        <c:overlap val="100"/>
        <c:axId val="994675280"/>
        <c:axId val="994657808"/>
      </c:barChart>
      <c:catAx>
        <c:axId val="99467528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994657808"/>
        <c:crosses val="autoZero"/>
        <c:auto val="1"/>
        <c:lblAlgn val="ctr"/>
        <c:lblOffset val="100"/>
        <c:noMultiLvlLbl val="0"/>
      </c:catAx>
      <c:valAx>
        <c:axId val="994657808"/>
        <c:scaling>
          <c:orientation val="minMax"/>
        </c:scaling>
        <c:delete val="1"/>
        <c:axPos val="l"/>
        <c:numFmt formatCode="_-* #,##0.0_-;\-* #,##0.0_-;_-* &quot;-&quot;??_-;_-@_-" sourceLinked="1"/>
        <c:majorTickMark val="out"/>
        <c:minorTickMark val="none"/>
        <c:tickLblPos val="nextTo"/>
        <c:crossAx val="9946752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GT"/>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857513918026683"/>
          <c:y val="6.168066491688539E-2"/>
          <c:w val="0.85127977742685235"/>
          <c:h val="0.82004374453193363"/>
        </c:manualLayout>
      </c:layout>
      <c:lineChart>
        <c:grouping val="standard"/>
        <c:varyColors val="0"/>
        <c:ser>
          <c:idx val="0"/>
          <c:order val="0"/>
          <c:tx>
            <c:strRef>
              <c:f>Hoja1!$B$1</c:f>
              <c:strCache>
                <c:ptCount val="1"/>
                <c:pt idx="0">
                  <c:v>ISR total</c:v>
                </c:pt>
              </c:strCache>
            </c:strRef>
          </c:tx>
          <c:marker>
            <c:symbol val="circle"/>
            <c:size val="5"/>
          </c:marker>
          <c:dLbls>
            <c:dLbl>
              <c:idx val="0"/>
              <c:layout>
                <c:manualLayout>
                  <c:x val="-1.1529536190851749E-2"/>
                  <c:y val="9.944048771091942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44F-4557-AB32-F24B26C2DCD8}"/>
                </c:ext>
              </c:extLst>
            </c:dLbl>
            <c:dLbl>
              <c:idx val="1"/>
              <c:layout>
                <c:manualLayout>
                  <c:x val="-7.154650902885927E-2"/>
                  <c:y val="-5.88888888888888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44F-4557-AB32-F24B26C2DCD8}"/>
                </c:ext>
              </c:extLst>
            </c:dLbl>
            <c:dLbl>
              <c:idx val="2"/>
              <c:layout>
                <c:manualLayout>
                  <c:x val="-0.1638587583660282"/>
                  <c:y val="1.88888888888888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44F-4557-AB32-F24B26C2DCD8}"/>
                </c:ext>
              </c:extLst>
            </c:dLbl>
            <c:dLbl>
              <c:idx val="3"/>
              <c:layout>
                <c:manualLayout>
                  <c:x val="-0.11000179904814003"/>
                  <c:y val="0.1174005769172751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44F-4557-AB32-F24B26C2DCD8}"/>
                </c:ext>
              </c:extLst>
            </c:dLbl>
            <c:dLbl>
              <c:idx val="4"/>
              <c:layout>
                <c:manualLayout>
                  <c:x val="-9.0006923609508502E-2"/>
                  <c:y val="-0.1096374889478338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44F-4557-AB32-F24B26C2DCD8}"/>
                </c:ext>
              </c:extLst>
            </c:dLbl>
            <c:dLbl>
              <c:idx val="5"/>
              <c:layout>
                <c:manualLayout>
                  <c:x val="-6.2304853250371169E-2"/>
                  <c:y val="-6.8511595201793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44F-4557-AB32-F24B26C2DCD8}"/>
                </c:ext>
              </c:extLst>
            </c:dLbl>
            <c:dLbl>
              <c:idx val="6"/>
              <c:layout>
                <c:manualLayout>
                  <c:x val="-0.10073724629332481"/>
                  <c:y val="9.28057069789353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44F-4557-AB32-F24B26C2DCD8}"/>
                </c:ext>
              </c:extLst>
            </c:dLbl>
            <c:dLbl>
              <c:idx val="7"/>
              <c:layout>
                <c:manualLayout>
                  <c:x val="-9.9238402954073393E-2"/>
                  <c:y val="-6.83760683760683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44F-4557-AB32-F24B26C2DCD8}"/>
                </c:ext>
              </c:extLst>
            </c:dLbl>
            <c:dLbl>
              <c:idx val="8"/>
              <c:layout>
                <c:manualLayout>
                  <c:x val="-6.5903312974408088E-2"/>
                  <c:y val="8.50711794881533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44F-4557-AB32-F24B26C2DCD8}"/>
                </c:ext>
              </c:extLst>
            </c:dLbl>
            <c:dLbl>
              <c:idx val="9"/>
              <c:layout>
                <c:manualLayout>
                  <c:x val="-1.6924183288759557E-16"/>
                  <c:y val="-6.99427193246910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44F-4557-AB32-F24B26C2DCD8}"/>
                </c:ext>
              </c:extLst>
            </c:dLbl>
            <c:spPr>
              <a:noFill/>
              <a:ln>
                <a:noFill/>
              </a:ln>
              <a:effectLst/>
            </c:spPr>
            <c:txPr>
              <a:bodyPr/>
              <a:lstStyle/>
              <a:p>
                <a:pPr>
                  <a:defRPr sz="800" b="1">
                    <a:solidFill>
                      <a:srgbClr val="0070C0"/>
                    </a:solidFill>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a:solidFill>
                        <a:schemeClr val="bg1">
                          <a:lumMod val="85000"/>
                        </a:schemeClr>
                      </a:solidFill>
                    </a:ln>
                  </c:spPr>
                </c15:leaderLines>
              </c:ext>
            </c:extLst>
          </c:dLbls>
          <c:cat>
            <c:numRef>
              <c:f>Hoja1!$A$2:$A$11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Hoja1!$B$2:$B$11</c:f>
              <c:numCache>
                <c:formatCode>0.0%</c:formatCode>
                <c:ptCount val="10"/>
                <c:pt idx="0">
                  <c:v>-0.33917614112894334</c:v>
                </c:pt>
                <c:pt idx="1">
                  <c:v>0.85281985764791068</c:v>
                </c:pt>
                <c:pt idx="2">
                  <c:v>0.18548892364460179</c:v>
                </c:pt>
                <c:pt idx="3">
                  <c:v>0.11112083253632776</c:v>
                </c:pt>
                <c:pt idx="4">
                  <c:v>0.15094938761491861</c:v>
                </c:pt>
                <c:pt idx="5">
                  <c:v>9.8080840175943651E-2</c:v>
                </c:pt>
                <c:pt idx="6">
                  <c:v>0.11320366937658299</c:v>
                </c:pt>
                <c:pt idx="7">
                  <c:v>5.7821494293180953E-2</c:v>
                </c:pt>
                <c:pt idx="8">
                  <c:v>0.12157928580618371</c:v>
                </c:pt>
                <c:pt idx="9">
                  <c:v>0.13324986375699921</c:v>
                </c:pt>
              </c:numCache>
            </c:numRef>
          </c:val>
          <c:smooth val="1"/>
          <c:extLst>
            <c:ext xmlns:c16="http://schemas.microsoft.com/office/drawing/2014/chart" uri="{C3380CC4-5D6E-409C-BE32-E72D297353CC}">
              <c16:uniqueId val="{0000000A-644F-4557-AB32-F24B26C2DCD8}"/>
            </c:ext>
          </c:extLst>
        </c:ser>
        <c:dLbls>
          <c:showLegendKey val="0"/>
          <c:showVal val="0"/>
          <c:showCatName val="0"/>
          <c:showSerName val="0"/>
          <c:showPercent val="0"/>
          <c:showBubbleSize val="0"/>
        </c:dLbls>
        <c:marker val="1"/>
        <c:smooth val="0"/>
        <c:axId val="198023424"/>
        <c:axId val="198037504"/>
      </c:lineChart>
      <c:catAx>
        <c:axId val="198023424"/>
        <c:scaling>
          <c:orientation val="minMax"/>
        </c:scaling>
        <c:delete val="0"/>
        <c:axPos val="b"/>
        <c:numFmt formatCode="General" sourceLinked="1"/>
        <c:majorTickMark val="out"/>
        <c:minorTickMark val="none"/>
        <c:tickLblPos val="low"/>
        <c:txPr>
          <a:bodyPr/>
          <a:lstStyle/>
          <a:p>
            <a:pPr>
              <a:defRPr sz="800" b="0"/>
            </a:pPr>
            <a:endParaRPr lang="es-GT"/>
          </a:p>
        </c:txPr>
        <c:crossAx val="198037504"/>
        <c:crosses val="autoZero"/>
        <c:auto val="1"/>
        <c:lblAlgn val="ctr"/>
        <c:lblOffset val="100"/>
        <c:noMultiLvlLbl val="0"/>
      </c:catAx>
      <c:valAx>
        <c:axId val="198037504"/>
        <c:scaling>
          <c:orientation val="minMax"/>
        </c:scaling>
        <c:delete val="0"/>
        <c:axPos val="l"/>
        <c:numFmt formatCode="0%" sourceLinked="0"/>
        <c:majorTickMark val="out"/>
        <c:minorTickMark val="none"/>
        <c:tickLblPos val="nextTo"/>
        <c:txPr>
          <a:bodyPr/>
          <a:lstStyle/>
          <a:p>
            <a:pPr>
              <a:defRPr sz="800" b="0"/>
            </a:pPr>
            <a:endParaRPr lang="es-GT"/>
          </a:p>
        </c:txPr>
        <c:crossAx val="198023424"/>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s-GT"/>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3651574803149604E-2"/>
          <c:y val="9.5238095238095233E-2"/>
          <c:w val="0.88088546223388742"/>
          <c:h val="0.72001122216809821"/>
        </c:manualLayout>
      </c:layout>
      <c:barChart>
        <c:barDir val="col"/>
        <c:grouping val="stacked"/>
        <c:varyColors val="0"/>
        <c:ser>
          <c:idx val="0"/>
          <c:order val="0"/>
          <c:tx>
            <c:strRef>
              <c:f>Sheet1!$B$1</c:f>
              <c:strCache>
                <c:ptCount val="1"/>
                <c:pt idx="0">
                  <c:v>Funcionamiento</c:v>
                </c:pt>
              </c:strCache>
            </c:strRef>
          </c:tx>
          <c:spPr>
            <a:pattFill prst="narHorz">
              <a:fgClr>
                <a:schemeClr val="accent6"/>
              </a:fgClr>
              <a:bgClr>
                <a:schemeClr val="accent6">
                  <a:lumMod val="20000"/>
                  <a:lumOff val="80000"/>
                </a:schemeClr>
              </a:bgClr>
            </a:pattFill>
            <a:ln>
              <a:noFill/>
            </a:ln>
            <a:effectLst>
              <a:outerShdw blurRad="50800" dist="38100" dir="18900000" algn="bl" rotWithShape="0">
                <a:prstClr val="black">
                  <a:alpha val="40000"/>
                </a:prstClr>
              </a:outerShdw>
            </a:effectLst>
          </c:spPr>
          <c:invertIfNegative val="0"/>
          <c:dLbls>
            <c:spPr>
              <a:solidFill>
                <a:schemeClr val="accent6">
                  <a:lumMod val="60000"/>
                  <a:lumOff val="40000"/>
                </a:schemeClr>
              </a:solid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Proyecto de Presupuesto </c:v>
                </c:pt>
                <c:pt idx="1">
                  <c:v>Comisión de Finanzas </c:v>
                </c:pt>
                <c:pt idx="2">
                  <c:v>Aprobado 2023</c:v>
                </c:pt>
              </c:strCache>
            </c:strRef>
          </c:cat>
          <c:val>
            <c:numRef>
              <c:f>Sheet1!$B$2:$B$4</c:f>
              <c:numCache>
                <c:formatCode>#,##0.0</c:formatCode>
                <c:ptCount val="3"/>
                <c:pt idx="0">
                  <c:v>76436.98</c:v>
                </c:pt>
                <c:pt idx="1">
                  <c:v>78073.95</c:v>
                </c:pt>
                <c:pt idx="2">
                  <c:v>78985.95</c:v>
                </c:pt>
              </c:numCache>
            </c:numRef>
          </c:val>
          <c:extLst>
            <c:ext xmlns:c16="http://schemas.microsoft.com/office/drawing/2014/chart" uri="{C3380CC4-5D6E-409C-BE32-E72D297353CC}">
              <c16:uniqueId val="{00000000-2D38-412C-A285-AE5B671F92F7}"/>
            </c:ext>
          </c:extLst>
        </c:ser>
        <c:ser>
          <c:idx val="1"/>
          <c:order val="1"/>
          <c:tx>
            <c:strRef>
              <c:f>Sheet1!$C$1</c:f>
              <c:strCache>
                <c:ptCount val="1"/>
                <c:pt idx="0">
                  <c:v>Inversión </c:v>
                </c:pt>
              </c:strCache>
            </c:strRef>
          </c:tx>
          <c:spPr>
            <a:pattFill prst="narHorz">
              <a:fgClr>
                <a:schemeClr val="accent5"/>
              </a:fgClr>
              <a:bgClr>
                <a:schemeClr val="accent5">
                  <a:lumMod val="20000"/>
                  <a:lumOff val="80000"/>
                </a:schemeClr>
              </a:bgClr>
            </a:pattFill>
            <a:ln>
              <a:noFill/>
            </a:ln>
            <a:effectLst>
              <a:outerShdw blurRad="50800" dist="38100" dir="18900000" algn="bl" rotWithShape="0">
                <a:prstClr val="black">
                  <a:alpha val="40000"/>
                </a:prstClr>
              </a:outerShdw>
            </a:effectLst>
          </c:spPr>
          <c:invertIfNegative val="0"/>
          <c:dLbls>
            <c:dLbl>
              <c:idx val="0"/>
              <c:spPr>
                <a:solidFill>
                  <a:schemeClr val="accent5">
                    <a:lumMod val="60000"/>
                    <a:lumOff val="40000"/>
                  </a:schemeClr>
                </a:solid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6="http://schemas.microsoft.com/office/drawing/2014/chart" uri="{C3380CC4-5D6E-409C-BE32-E72D297353CC}">
                  <c16:uniqueId val="{00000001-2D38-412C-A285-AE5B671F92F7}"/>
                </c:ext>
              </c:extLst>
            </c:dLbl>
            <c:dLbl>
              <c:idx val="1"/>
              <c:spPr>
                <a:solidFill>
                  <a:schemeClr val="accent5">
                    <a:lumMod val="60000"/>
                    <a:lumOff val="40000"/>
                  </a:schemeClr>
                </a:solid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6="http://schemas.microsoft.com/office/drawing/2014/chart" uri="{C3380CC4-5D6E-409C-BE32-E72D297353CC}">
                  <c16:uniqueId val="{00000002-2D38-412C-A285-AE5B671F92F7}"/>
                </c:ext>
              </c:extLst>
            </c:dLbl>
            <c:dLbl>
              <c:idx val="2"/>
              <c:spPr>
                <a:solidFill>
                  <a:schemeClr val="accent5">
                    <a:lumMod val="60000"/>
                    <a:lumOff val="40000"/>
                  </a:schemeClr>
                </a:solid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6="http://schemas.microsoft.com/office/drawing/2014/chart" uri="{C3380CC4-5D6E-409C-BE32-E72D297353CC}">
                  <c16:uniqueId val="{00000003-2D38-412C-A285-AE5B671F92F7}"/>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Proyecto de Presupuesto </c:v>
                </c:pt>
                <c:pt idx="1">
                  <c:v>Comisión de Finanzas </c:v>
                </c:pt>
                <c:pt idx="2">
                  <c:v>Aprobado 2023</c:v>
                </c:pt>
              </c:strCache>
            </c:strRef>
          </c:cat>
          <c:val>
            <c:numRef>
              <c:f>Sheet1!$C$2:$C$4</c:f>
              <c:numCache>
                <c:formatCode>#,##0.0</c:formatCode>
                <c:ptCount val="3"/>
                <c:pt idx="0">
                  <c:v>19716.052</c:v>
                </c:pt>
                <c:pt idx="1">
                  <c:v>19716.052</c:v>
                </c:pt>
                <c:pt idx="2">
                  <c:v>20316.052</c:v>
                </c:pt>
              </c:numCache>
            </c:numRef>
          </c:val>
          <c:extLst>
            <c:ext xmlns:c16="http://schemas.microsoft.com/office/drawing/2014/chart" uri="{C3380CC4-5D6E-409C-BE32-E72D297353CC}">
              <c16:uniqueId val="{00000004-2D38-412C-A285-AE5B671F92F7}"/>
            </c:ext>
          </c:extLst>
        </c:ser>
        <c:ser>
          <c:idx val="2"/>
          <c:order val="2"/>
          <c:tx>
            <c:strRef>
              <c:f>Sheet1!$D$1</c:f>
              <c:strCache>
                <c:ptCount val="1"/>
                <c:pt idx="0">
                  <c:v>Deuda</c:v>
                </c:pt>
              </c:strCache>
            </c:strRef>
          </c:tx>
          <c:spPr>
            <a:pattFill prst="narHorz">
              <a:fgClr>
                <a:schemeClr val="accent4"/>
              </a:fgClr>
              <a:bgClr>
                <a:schemeClr val="accent4">
                  <a:lumMod val="20000"/>
                  <a:lumOff val="80000"/>
                </a:schemeClr>
              </a:bgClr>
            </a:pattFill>
            <a:ln>
              <a:noFill/>
            </a:ln>
            <a:effectLst>
              <a:outerShdw blurRad="50800" dist="38100" dir="18900000" algn="bl" rotWithShape="0">
                <a:prstClr val="black">
                  <a:alpha val="40000"/>
                </a:prstClr>
              </a:outerShdw>
            </a:effectLst>
          </c:spPr>
          <c:invertIfNegative val="0"/>
          <c:dLbls>
            <c:spPr>
              <a:solidFill>
                <a:schemeClr val="accent4">
                  <a:lumMod val="60000"/>
                  <a:lumOff val="40000"/>
                </a:schemeClr>
              </a:solid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Proyecto de Presupuesto </c:v>
                </c:pt>
                <c:pt idx="1">
                  <c:v>Comisión de Finanzas </c:v>
                </c:pt>
                <c:pt idx="2">
                  <c:v>Aprobado 2023</c:v>
                </c:pt>
              </c:strCache>
            </c:strRef>
          </c:cat>
          <c:val>
            <c:numRef>
              <c:f>Sheet1!$D$2:$D$4</c:f>
              <c:numCache>
                <c:formatCode>#,##0.0</c:formatCode>
                <c:ptCount val="3"/>
                <c:pt idx="0">
                  <c:v>16141.734</c:v>
                </c:pt>
                <c:pt idx="1">
                  <c:v>16141.734</c:v>
                </c:pt>
                <c:pt idx="2">
                  <c:v>16141.734</c:v>
                </c:pt>
              </c:numCache>
            </c:numRef>
          </c:val>
          <c:extLst>
            <c:ext xmlns:c16="http://schemas.microsoft.com/office/drawing/2014/chart" uri="{C3380CC4-5D6E-409C-BE32-E72D297353CC}">
              <c16:uniqueId val="{00000005-2D38-412C-A285-AE5B671F92F7}"/>
            </c:ext>
          </c:extLst>
        </c:ser>
        <c:dLbls>
          <c:showLegendKey val="0"/>
          <c:showVal val="0"/>
          <c:showCatName val="0"/>
          <c:showSerName val="0"/>
          <c:showPercent val="0"/>
          <c:showBubbleSize val="0"/>
        </c:dLbls>
        <c:gapWidth val="64"/>
        <c:overlap val="100"/>
        <c:axId val="539618200"/>
        <c:axId val="539634928"/>
      </c:barChart>
      <c:lineChart>
        <c:grouping val="standard"/>
        <c:varyColors val="0"/>
        <c:ser>
          <c:idx val="3"/>
          <c:order val="3"/>
          <c:tx>
            <c:strRef>
              <c:f>Sheet1!$E$1</c:f>
              <c:strCache>
                <c:ptCount val="1"/>
                <c:pt idx="0">
                  <c:v>Total</c:v>
                </c:pt>
              </c:strCache>
            </c:strRef>
          </c:tx>
          <c:spPr>
            <a:ln w="25400" cap="rnd">
              <a:noFill/>
              <a:round/>
            </a:ln>
            <a:effectLst/>
          </c:spPr>
          <c:marker>
            <c:symbol val="none"/>
          </c:marker>
          <c:dLbls>
            <c:dLbl>
              <c:idx val="1"/>
              <c:layout>
                <c:manualLayout>
                  <c:x val="-6.2500000000000083E-2"/>
                  <c:y val="-5.42560304961879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D38-412C-A285-AE5B671F92F7}"/>
                </c:ext>
              </c:extLst>
            </c:dLbl>
            <c:dLbl>
              <c:idx val="2"/>
              <c:layout>
                <c:manualLayout>
                  <c:x val="-6.4814814814814811E-2"/>
                  <c:y val="-5.31315670231774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D38-412C-A285-AE5B671F92F7}"/>
                </c:ext>
              </c:extLst>
            </c:dLbl>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Proyecto de Presupuesto </c:v>
                </c:pt>
                <c:pt idx="1">
                  <c:v>Comisión de Finanzas </c:v>
                </c:pt>
                <c:pt idx="2">
                  <c:v>Aprobado 2023</c:v>
                </c:pt>
              </c:strCache>
            </c:strRef>
          </c:cat>
          <c:val>
            <c:numRef>
              <c:f>Sheet1!$E$2:$E$4</c:f>
              <c:numCache>
                <c:formatCode>#,##0.0</c:formatCode>
                <c:ptCount val="3"/>
                <c:pt idx="0">
                  <c:v>112294.76599999999</c:v>
                </c:pt>
                <c:pt idx="1">
                  <c:v>113931.73599999999</c:v>
                </c:pt>
                <c:pt idx="2">
                  <c:v>115443.73599999999</c:v>
                </c:pt>
              </c:numCache>
            </c:numRef>
          </c:val>
          <c:smooth val="0"/>
          <c:extLst>
            <c:ext xmlns:c16="http://schemas.microsoft.com/office/drawing/2014/chart" uri="{C3380CC4-5D6E-409C-BE32-E72D297353CC}">
              <c16:uniqueId val="{00000008-2D38-412C-A285-AE5B671F92F7}"/>
            </c:ext>
          </c:extLst>
        </c:ser>
        <c:dLbls>
          <c:showLegendKey val="0"/>
          <c:showVal val="0"/>
          <c:showCatName val="0"/>
          <c:showSerName val="0"/>
          <c:showPercent val="0"/>
          <c:showBubbleSize val="0"/>
        </c:dLbls>
        <c:marker val="1"/>
        <c:smooth val="0"/>
        <c:axId val="539618200"/>
        <c:axId val="539634928"/>
      </c:lineChart>
      <c:catAx>
        <c:axId val="53961820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539634928"/>
        <c:crosses val="autoZero"/>
        <c:auto val="1"/>
        <c:lblAlgn val="ctr"/>
        <c:lblOffset val="100"/>
        <c:noMultiLvlLbl val="0"/>
      </c:catAx>
      <c:valAx>
        <c:axId val="539634928"/>
        <c:scaling>
          <c:orientation val="minMax"/>
          <c:max val="118000"/>
          <c:min val="0"/>
        </c:scaling>
        <c:delete val="0"/>
        <c:axPos val="l"/>
        <c:majorGridlines>
          <c:spPr>
            <a:ln>
              <a:solidFill>
                <a:schemeClr val="tx1">
                  <a:lumMod val="15000"/>
                  <a:lumOff val="85000"/>
                </a:schemeClr>
              </a:solidFill>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539618200"/>
        <c:crosses val="autoZero"/>
        <c:crossBetween val="between"/>
        <c:majorUnit val="10000"/>
      </c:valAx>
      <c:spPr>
        <a:noFill/>
        <a:ln>
          <a:noFill/>
        </a:ln>
        <a:effectLst/>
      </c:spPr>
    </c:plotArea>
    <c:legend>
      <c:legendPos val="b"/>
      <c:layout>
        <c:manualLayout>
          <c:xMode val="edge"/>
          <c:yMode val="edge"/>
          <c:x val="0.21793835666375042"/>
          <c:y val="0.93004951319221352"/>
          <c:w val="0.56372193059200937"/>
          <c:h val="6.6421978184598496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133962962962966"/>
          <c:y val="6.4675925925925928E-2"/>
          <c:w val="0.79851299462655378"/>
          <c:h val="0.75960416666666664"/>
        </c:manualLayout>
      </c:layout>
      <c:lineChart>
        <c:grouping val="standard"/>
        <c:varyColors val="0"/>
        <c:ser>
          <c:idx val="2"/>
          <c:order val="0"/>
          <c:tx>
            <c:strRef>
              <c:f>oilWtiChart!$B$2</c:f>
              <c:strCache>
                <c:ptCount val="1"/>
                <c:pt idx="0">
                  <c:v>Tipo de cambio </c:v>
                </c:pt>
              </c:strCache>
            </c:strRef>
          </c:tx>
          <c:spPr>
            <a:ln w="15875"/>
          </c:spPr>
          <c:marker>
            <c:symbol val="none"/>
          </c:marker>
          <c:cat>
            <c:numRef>
              <c:f>oilWtiChart!$A$3:$A$253</c:f>
              <c:numCache>
                <c:formatCode>mmm\-yy</c:formatCode>
                <c:ptCount val="251"/>
                <c:pt idx="0">
                  <c:v>44564</c:v>
                </c:pt>
                <c:pt idx="1">
                  <c:v>44565</c:v>
                </c:pt>
                <c:pt idx="2">
                  <c:v>44566</c:v>
                </c:pt>
                <c:pt idx="3">
                  <c:v>44567</c:v>
                </c:pt>
                <c:pt idx="4">
                  <c:v>44568</c:v>
                </c:pt>
                <c:pt idx="5">
                  <c:v>44571</c:v>
                </c:pt>
                <c:pt idx="6">
                  <c:v>44572</c:v>
                </c:pt>
                <c:pt idx="7">
                  <c:v>44573</c:v>
                </c:pt>
                <c:pt idx="8">
                  <c:v>44574</c:v>
                </c:pt>
                <c:pt idx="9">
                  <c:v>44575</c:v>
                </c:pt>
                <c:pt idx="10">
                  <c:v>44579</c:v>
                </c:pt>
                <c:pt idx="11">
                  <c:v>44580</c:v>
                </c:pt>
                <c:pt idx="12">
                  <c:v>44581</c:v>
                </c:pt>
                <c:pt idx="13">
                  <c:v>44582</c:v>
                </c:pt>
                <c:pt idx="14">
                  <c:v>44585</c:v>
                </c:pt>
                <c:pt idx="15">
                  <c:v>44586</c:v>
                </c:pt>
                <c:pt idx="16">
                  <c:v>44587</c:v>
                </c:pt>
                <c:pt idx="17">
                  <c:v>44588</c:v>
                </c:pt>
                <c:pt idx="18">
                  <c:v>44589</c:v>
                </c:pt>
                <c:pt idx="19">
                  <c:v>44592</c:v>
                </c:pt>
                <c:pt idx="20">
                  <c:v>44593</c:v>
                </c:pt>
                <c:pt idx="21">
                  <c:v>44594</c:v>
                </c:pt>
                <c:pt idx="22">
                  <c:v>44595</c:v>
                </c:pt>
                <c:pt idx="23">
                  <c:v>44596</c:v>
                </c:pt>
                <c:pt idx="24">
                  <c:v>44599</c:v>
                </c:pt>
                <c:pt idx="25">
                  <c:v>44600</c:v>
                </c:pt>
                <c:pt idx="26">
                  <c:v>44601</c:v>
                </c:pt>
                <c:pt idx="27">
                  <c:v>44602</c:v>
                </c:pt>
                <c:pt idx="28">
                  <c:v>44603</c:v>
                </c:pt>
                <c:pt idx="29">
                  <c:v>44606</c:v>
                </c:pt>
                <c:pt idx="30">
                  <c:v>44607</c:v>
                </c:pt>
                <c:pt idx="31">
                  <c:v>44608</c:v>
                </c:pt>
                <c:pt idx="32">
                  <c:v>44609</c:v>
                </c:pt>
                <c:pt idx="33">
                  <c:v>44610</c:v>
                </c:pt>
                <c:pt idx="34">
                  <c:v>44614</c:v>
                </c:pt>
                <c:pt idx="35">
                  <c:v>44615</c:v>
                </c:pt>
                <c:pt idx="36">
                  <c:v>44616</c:v>
                </c:pt>
                <c:pt idx="37">
                  <c:v>44617</c:v>
                </c:pt>
                <c:pt idx="38">
                  <c:v>44620</c:v>
                </c:pt>
                <c:pt idx="39">
                  <c:v>44621</c:v>
                </c:pt>
                <c:pt idx="40">
                  <c:v>44622</c:v>
                </c:pt>
                <c:pt idx="41">
                  <c:v>44623</c:v>
                </c:pt>
                <c:pt idx="42">
                  <c:v>44624</c:v>
                </c:pt>
                <c:pt idx="43">
                  <c:v>44627</c:v>
                </c:pt>
                <c:pt idx="44">
                  <c:v>44628</c:v>
                </c:pt>
                <c:pt idx="45">
                  <c:v>44629</c:v>
                </c:pt>
                <c:pt idx="46">
                  <c:v>44630</c:v>
                </c:pt>
                <c:pt idx="47">
                  <c:v>44631</c:v>
                </c:pt>
                <c:pt idx="48">
                  <c:v>44634</c:v>
                </c:pt>
                <c:pt idx="49">
                  <c:v>44635</c:v>
                </c:pt>
                <c:pt idx="50">
                  <c:v>44636</c:v>
                </c:pt>
                <c:pt idx="51">
                  <c:v>44637</c:v>
                </c:pt>
                <c:pt idx="52">
                  <c:v>44638</c:v>
                </c:pt>
                <c:pt idx="53">
                  <c:v>44641</c:v>
                </c:pt>
                <c:pt idx="54">
                  <c:v>44642</c:v>
                </c:pt>
                <c:pt idx="55">
                  <c:v>44643</c:v>
                </c:pt>
                <c:pt idx="56">
                  <c:v>44644</c:v>
                </c:pt>
                <c:pt idx="57">
                  <c:v>44645</c:v>
                </c:pt>
                <c:pt idx="58">
                  <c:v>44648</c:v>
                </c:pt>
                <c:pt idx="59">
                  <c:v>44649</c:v>
                </c:pt>
                <c:pt idx="60">
                  <c:v>44650</c:v>
                </c:pt>
                <c:pt idx="61">
                  <c:v>44651</c:v>
                </c:pt>
                <c:pt idx="62">
                  <c:v>44652</c:v>
                </c:pt>
                <c:pt idx="63">
                  <c:v>44655</c:v>
                </c:pt>
                <c:pt idx="64">
                  <c:v>44656</c:v>
                </c:pt>
                <c:pt idx="65">
                  <c:v>44657</c:v>
                </c:pt>
                <c:pt idx="66">
                  <c:v>44658</c:v>
                </c:pt>
                <c:pt idx="67">
                  <c:v>44659</c:v>
                </c:pt>
                <c:pt idx="68">
                  <c:v>44662</c:v>
                </c:pt>
                <c:pt idx="69">
                  <c:v>44663</c:v>
                </c:pt>
                <c:pt idx="70">
                  <c:v>44664</c:v>
                </c:pt>
                <c:pt idx="71">
                  <c:v>44665</c:v>
                </c:pt>
                <c:pt idx="72">
                  <c:v>44669</c:v>
                </c:pt>
                <c:pt idx="73">
                  <c:v>44670</c:v>
                </c:pt>
                <c:pt idx="74">
                  <c:v>44671</c:v>
                </c:pt>
                <c:pt idx="75">
                  <c:v>44672</c:v>
                </c:pt>
                <c:pt idx="76">
                  <c:v>44673</c:v>
                </c:pt>
                <c:pt idx="77">
                  <c:v>44676</c:v>
                </c:pt>
                <c:pt idx="78">
                  <c:v>44677</c:v>
                </c:pt>
                <c:pt idx="79">
                  <c:v>44678</c:v>
                </c:pt>
                <c:pt idx="80">
                  <c:v>44679</c:v>
                </c:pt>
                <c:pt idx="81">
                  <c:v>44680</c:v>
                </c:pt>
                <c:pt idx="82">
                  <c:v>44683</c:v>
                </c:pt>
                <c:pt idx="83">
                  <c:v>44684</c:v>
                </c:pt>
                <c:pt idx="84">
                  <c:v>44685</c:v>
                </c:pt>
                <c:pt idx="85">
                  <c:v>44686</c:v>
                </c:pt>
                <c:pt idx="86">
                  <c:v>44687</c:v>
                </c:pt>
                <c:pt idx="87">
                  <c:v>44690</c:v>
                </c:pt>
                <c:pt idx="88">
                  <c:v>44691</c:v>
                </c:pt>
                <c:pt idx="89">
                  <c:v>44692</c:v>
                </c:pt>
                <c:pt idx="90">
                  <c:v>44693</c:v>
                </c:pt>
                <c:pt idx="91">
                  <c:v>44694</c:v>
                </c:pt>
                <c:pt idx="92">
                  <c:v>44697</c:v>
                </c:pt>
                <c:pt idx="93">
                  <c:v>44698</c:v>
                </c:pt>
                <c:pt idx="94">
                  <c:v>44699</c:v>
                </c:pt>
                <c:pt idx="95">
                  <c:v>44700</c:v>
                </c:pt>
                <c:pt idx="96">
                  <c:v>44701</c:v>
                </c:pt>
                <c:pt idx="97">
                  <c:v>44704</c:v>
                </c:pt>
                <c:pt idx="98">
                  <c:v>44705</c:v>
                </c:pt>
                <c:pt idx="99">
                  <c:v>44706</c:v>
                </c:pt>
                <c:pt idx="100">
                  <c:v>44707</c:v>
                </c:pt>
                <c:pt idx="101">
                  <c:v>44708</c:v>
                </c:pt>
                <c:pt idx="102">
                  <c:v>44712</c:v>
                </c:pt>
                <c:pt idx="103">
                  <c:v>44713</c:v>
                </c:pt>
                <c:pt idx="104">
                  <c:v>44714</c:v>
                </c:pt>
                <c:pt idx="105">
                  <c:v>44715</c:v>
                </c:pt>
                <c:pt idx="106">
                  <c:v>44718</c:v>
                </c:pt>
                <c:pt idx="107">
                  <c:v>44719</c:v>
                </c:pt>
                <c:pt idx="108">
                  <c:v>44720</c:v>
                </c:pt>
                <c:pt idx="109">
                  <c:v>44721</c:v>
                </c:pt>
                <c:pt idx="110">
                  <c:v>44722</c:v>
                </c:pt>
                <c:pt idx="111">
                  <c:v>44725</c:v>
                </c:pt>
                <c:pt idx="112">
                  <c:v>44726</c:v>
                </c:pt>
                <c:pt idx="113">
                  <c:v>44727</c:v>
                </c:pt>
                <c:pt idx="114">
                  <c:v>44728</c:v>
                </c:pt>
                <c:pt idx="115">
                  <c:v>44729</c:v>
                </c:pt>
                <c:pt idx="116">
                  <c:v>44733</c:v>
                </c:pt>
                <c:pt idx="117">
                  <c:v>44734</c:v>
                </c:pt>
                <c:pt idx="118">
                  <c:v>44735</c:v>
                </c:pt>
                <c:pt idx="119">
                  <c:v>44736</c:v>
                </c:pt>
                <c:pt idx="120">
                  <c:v>44739</c:v>
                </c:pt>
                <c:pt idx="121">
                  <c:v>44740</c:v>
                </c:pt>
                <c:pt idx="122">
                  <c:v>44741</c:v>
                </c:pt>
                <c:pt idx="123">
                  <c:v>44742</c:v>
                </c:pt>
                <c:pt idx="124">
                  <c:v>44743</c:v>
                </c:pt>
                <c:pt idx="125">
                  <c:v>44747</c:v>
                </c:pt>
                <c:pt idx="126">
                  <c:v>44748</c:v>
                </c:pt>
                <c:pt idx="127">
                  <c:v>44749</c:v>
                </c:pt>
                <c:pt idx="128">
                  <c:v>44750</c:v>
                </c:pt>
                <c:pt idx="129">
                  <c:v>44753</c:v>
                </c:pt>
                <c:pt idx="130">
                  <c:v>44754</c:v>
                </c:pt>
                <c:pt idx="131">
                  <c:v>44755</c:v>
                </c:pt>
                <c:pt idx="132">
                  <c:v>44756</c:v>
                </c:pt>
                <c:pt idx="133">
                  <c:v>44757</c:v>
                </c:pt>
                <c:pt idx="134">
                  <c:v>44760</c:v>
                </c:pt>
                <c:pt idx="135">
                  <c:v>44761</c:v>
                </c:pt>
                <c:pt idx="136">
                  <c:v>44762</c:v>
                </c:pt>
                <c:pt idx="137">
                  <c:v>44763</c:v>
                </c:pt>
                <c:pt idx="138">
                  <c:v>44764</c:v>
                </c:pt>
                <c:pt idx="139">
                  <c:v>44767</c:v>
                </c:pt>
                <c:pt idx="140">
                  <c:v>44768</c:v>
                </c:pt>
                <c:pt idx="141">
                  <c:v>44769</c:v>
                </c:pt>
                <c:pt idx="142">
                  <c:v>44770</c:v>
                </c:pt>
                <c:pt idx="143">
                  <c:v>44771</c:v>
                </c:pt>
                <c:pt idx="144">
                  <c:v>44774</c:v>
                </c:pt>
                <c:pt idx="145">
                  <c:v>44775</c:v>
                </c:pt>
                <c:pt idx="146">
                  <c:v>44776</c:v>
                </c:pt>
                <c:pt idx="147">
                  <c:v>44777</c:v>
                </c:pt>
                <c:pt idx="148">
                  <c:v>44778</c:v>
                </c:pt>
                <c:pt idx="149">
                  <c:v>44781</c:v>
                </c:pt>
                <c:pt idx="150">
                  <c:v>44782</c:v>
                </c:pt>
                <c:pt idx="151">
                  <c:v>44783</c:v>
                </c:pt>
                <c:pt idx="152">
                  <c:v>44784</c:v>
                </c:pt>
                <c:pt idx="153">
                  <c:v>44785</c:v>
                </c:pt>
                <c:pt idx="154">
                  <c:v>44788</c:v>
                </c:pt>
                <c:pt idx="155">
                  <c:v>44789</c:v>
                </c:pt>
                <c:pt idx="156">
                  <c:v>44790</c:v>
                </c:pt>
                <c:pt idx="157">
                  <c:v>44791</c:v>
                </c:pt>
                <c:pt idx="158">
                  <c:v>44792</c:v>
                </c:pt>
                <c:pt idx="159">
                  <c:v>44795</c:v>
                </c:pt>
                <c:pt idx="160">
                  <c:v>44796</c:v>
                </c:pt>
                <c:pt idx="161">
                  <c:v>44797</c:v>
                </c:pt>
                <c:pt idx="162">
                  <c:v>44798</c:v>
                </c:pt>
                <c:pt idx="163">
                  <c:v>44799</c:v>
                </c:pt>
                <c:pt idx="164">
                  <c:v>44802</c:v>
                </c:pt>
                <c:pt idx="165">
                  <c:v>44803</c:v>
                </c:pt>
                <c:pt idx="166">
                  <c:v>44804</c:v>
                </c:pt>
                <c:pt idx="167">
                  <c:v>44805</c:v>
                </c:pt>
                <c:pt idx="168">
                  <c:v>44806</c:v>
                </c:pt>
                <c:pt idx="169">
                  <c:v>44810</c:v>
                </c:pt>
                <c:pt idx="170">
                  <c:v>44811</c:v>
                </c:pt>
                <c:pt idx="171">
                  <c:v>44812</c:v>
                </c:pt>
                <c:pt idx="172">
                  <c:v>44813</c:v>
                </c:pt>
                <c:pt idx="173">
                  <c:v>44816</c:v>
                </c:pt>
                <c:pt idx="174">
                  <c:v>44817</c:v>
                </c:pt>
                <c:pt idx="175">
                  <c:v>44818</c:v>
                </c:pt>
                <c:pt idx="176">
                  <c:v>44819</c:v>
                </c:pt>
                <c:pt idx="177">
                  <c:v>44820</c:v>
                </c:pt>
                <c:pt idx="178">
                  <c:v>44823</c:v>
                </c:pt>
                <c:pt idx="179">
                  <c:v>44824</c:v>
                </c:pt>
                <c:pt idx="180">
                  <c:v>44825</c:v>
                </c:pt>
                <c:pt idx="181">
                  <c:v>44826</c:v>
                </c:pt>
                <c:pt idx="182">
                  <c:v>44827</c:v>
                </c:pt>
                <c:pt idx="183">
                  <c:v>44830</c:v>
                </c:pt>
                <c:pt idx="184">
                  <c:v>44831</c:v>
                </c:pt>
                <c:pt idx="185">
                  <c:v>44832</c:v>
                </c:pt>
                <c:pt idx="186">
                  <c:v>44833</c:v>
                </c:pt>
                <c:pt idx="187">
                  <c:v>44834</c:v>
                </c:pt>
                <c:pt idx="188">
                  <c:v>44837</c:v>
                </c:pt>
                <c:pt idx="189">
                  <c:v>44838</c:v>
                </c:pt>
                <c:pt idx="190">
                  <c:v>44839</c:v>
                </c:pt>
                <c:pt idx="191">
                  <c:v>44840</c:v>
                </c:pt>
                <c:pt idx="192">
                  <c:v>44841</c:v>
                </c:pt>
                <c:pt idx="193">
                  <c:v>44844</c:v>
                </c:pt>
                <c:pt idx="194">
                  <c:v>44845</c:v>
                </c:pt>
                <c:pt idx="195">
                  <c:v>44846</c:v>
                </c:pt>
                <c:pt idx="196">
                  <c:v>44847</c:v>
                </c:pt>
                <c:pt idx="197">
                  <c:v>44848</c:v>
                </c:pt>
                <c:pt idx="198">
                  <c:v>44851</c:v>
                </c:pt>
                <c:pt idx="199">
                  <c:v>44852</c:v>
                </c:pt>
                <c:pt idx="200">
                  <c:v>44853</c:v>
                </c:pt>
                <c:pt idx="201">
                  <c:v>44854</c:v>
                </c:pt>
                <c:pt idx="202">
                  <c:v>44855</c:v>
                </c:pt>
                <c:pt idx="203">
                  <c:v>44858</c:v>
                </c:pt>
                <c:pt idx="204">
                  <c:v>44859</c:v>
                </c:pt>
                <c:pt idx="205">
                  <c:v>44860</c:v>
                </c:pt>
                <c:pt idx="206">
                  <c:v>44861</c:v>
                </c:pt>
                <c:pt idx="207">
                  <c:v>44862</c:v>
                </c:pt>
                <c:pt idx="208">
                  <c:v>44865</c:v>
                </c:pt>
                <c:pt idx="209">
                  <c:v>44866</c:v>
                </c:pt>
                <c:pt idx="210">
                  <c:v>44867</c:v>
                </c:pt>
                <c:pt idx="211">
                  <c:v>44868</c:v>
                </c:pt>
                <c:pt idx="212">
                  <c:v>44869</c:v>
                </c:pt>
                <c:pt idx="213">
                  <c:v>44872</c:v>
                </c:pt>
                <c:pt idx="214">
                  <c:v>44873</c:v>
                </c:pt>
                <c:pt idx="215">
                  <c:v>44874</c:v>
                </c:pt>
                <c:pt idx="216">
                  <c:v>44875</c:v>
                </c:pt>
                <c:pt idx="217">
                  <c:v>44876</c:v>
                </c:pt>
                <c:pt idx="218">
                  <c:v>44879</c:v>
                </c:pt>
                <c:pt idx="219">
                  <c:v>44880</c:v>
                </c:pt>
                <c:pt idx="220">
                  <c:v>44881</c:v>
                </c:pt>
                <c:pt idx="221">
                  <c:v>44882</c:v>
                </c:pt>
                <c:pt idx="222">
                  <c:v>44883</c:v>
                </c:pt>
                <c:pt idx="223">
                  <c:v>44886</c:v>
                </c:pt>
                <c:pt idx="224">
                  <c:v>44887</c:v>
                </c:pt>
                <c:pt idx="225">
                  <c:v>44888</c:v>
                </c:pt>
                <c:pt idx="226">
                  <c:v>44890</c:v>
                </c:pt>
                <c:pt idx="227">
                  <c:v>44893</c:v>
                </c:pt>
                <c:pt idx="228">
                  <c:v>44894</c:v>
                </c:pt>
                <c:pt idx="229">
                  <c:v>44895</c:v>
                </c:pt>
                <c:pt idx="230">
                  <c:v>44896</c:v>
                </c:pt>
                <c:pt idx="231">
                  <c:v>44897</c:v>
                </c:pt>
                <c:pt idx="232">
                  <c:v>44900</c:v>
                </c:pt>
                <c:pt idx="233">
                  <c:v>44901</c:v>
                </c:pt>
                <c:pt idx="234">
                  <c:v>44902</c:v>
                </c:pt>
                <c:pt idx="235">
                  <c:v>44903</c:v>
                </c:pt>
                <c:pt idx="236">
                  <c:v>44904</c:v>
                </c:pt>
                <c:pt idx="237">
                  <c:v>44907</c:v>
                </c:pt>
                <c:pt idx="238">
                  <c:v>44908</c:v>
                </c:pt>
                <c:pt idx="239">
                  <c:v>44909</c:v>
                </c:pt>
                <c:pt idx="240">
                  <c:v>44910</c:v>
                </c:pt>
                <c:pt idx="241">
                  <c:v>44911</c:v>
                </c:pt>
                <c:pt idx="242">
                  <c:v>44914</c:v>
                </c:pt>
                <c:pt idx="243">
                  <c:v>44915</c:v>
                </c:pt>
                <c:pt idx="244">
                  <c:v>44916</c:v>
                </c:pt>
                <c:pt idx="245">
                  <c:v>44917</c:v>
                </c:pt>
                <c:pt idx="246">
                  <c:v>44918</c:v>
                </c:pt>
                <c:pt idx="247">
                  <c:v>44922</c:v>
                </c:pt>
                <c:pt idx="248">
                  <c:v>44923</c:v>
                </c:pt>
                <c:pt idx="249">
                  <c:v>44924</c:v>
                </c:pt>
                <c:pt idx="250">
                  <c:v>44925</c:v>
                </c:pt>
              </c:numCache>
            </c:numRef>
          </c:cat>
          <c:val>
            <c:numRef>
              <c:f>oilWtiChart!$B$3:$B$253</c:f>
              <c:numCache>
                <c:formatCode>_-* #,##0.0_-;\-* #,##0.0_-;_-* "-"??_-;_-@_-</c:formatCode>
                <c:ptCount val="251"/>
                <c:pt idx="0">
                  <c:v>75.989999999999995</c:v>
                </c:pt>
                <c:pt idx="1">
                  <c:v>77</c:v>
                </c:pt>
                <c:pt idx="2">
                  <c:v>77.83</c:v>
                </c:pt>
                <c:pt idx="3">
                  <c:v>79.47</c:v>
                </c:pt>
                <c:pt idx="4">
                  <c:v>79</c:v>
                </c:pt>
                <c:pt idx="5">
                  <c:v>78.11</c:v>
                </c:pt>
                <c:pt idx="6">
                  <c:v>81.17</c:v>
                </c:pt>
                <c:pt idx="7">
                  <c:v>82.51</c:v>
                </c:pt>
                <c:pt idx="8">
                  <c:v>81.97</c:v>
                </c:pt>
                <c:pt idx="9">
                  <c:v>83.82</c:v>
                </c:pt>
                <c:pt idx="10">
                  <c:v>85.42</c:v>
                </c:pt>
                <c:pt idx="11">
                  <c:v>86.84</c:v>
                </c:pt>
                <c:pt idx="12">
                  <c:v>86.29</c:v>
                </c:pt>
                <c:pt idx="13">
                  <c:v>85.16</c:v>
                </c:pt>
                <c:pt idx="14">
                  <c:v>84.48</c:v>
                </c:pt>
                <c:pt idx="15">
                  <c:v>86.61</c:v>
                </c:pt>
                <c:pt idx="16">
                  <c:v>88.33</c:v>
                </c:pt>
                <c:pt idx="17">
                  <c:v>87.61</c:v>
                </c:pt>
                <c:pt idx="18">
                  <c:v>87.67</c:v>
                </c:pt>
                <c:pt idx="19">
                  <c:v>89.16</c:v>
                </c:pt>
                <c:pt idx="20">
                  <c:v>88.22</c:v>
                </c:pt>
                <c:pt idx="21">
                  <c:v>88.16</c:v>
                </c:pt>
                <c:pt idx="22">
                  <c:v>90.17</c:v>
                </c:pt>
                <c:pt idx="23">
                  <c:v>92.27</c:v>
                </c:pt>
                <c:pt idx="24">
                  <c:v>91.25</c:v>
                </c:pt>
                <c:pt idx="25">
                  <c:v>89.32</c:v>
                </c:pt>
                <c:pt idx="26">
                  <c:v>89.57</c:v>
                </c:pt>
                <c:pt idx="27">
                  <c:v>89.83</c:v>
                </c:pt>
                <c:pt idx="28">
                  <c:v>93.1</c:v>
                </c:pt>
                <c:pt idx="29">
                  <c:v>95.52</c:v>
                </c:pt>
                <c:pt idx="30">
                  <c:v>92.07</c:v>
                </c:pt>
                <c:pt idx="31">
                  <c:v>93.83</c:v>
                </c:pt>
                <c:pt idx="32">
                  <c:v>91.78</c:v>
                </c:pt>
                <c:pt idx="33">
                  <c:v>91.26</c:v>
                </c:pt>
                <c:pt idx="34">
                  <c:v>92.11</c:v>
                </c:pt>
                <c:pt idx="35">
                  <c:v>92.14</c:v>
                </c:pt>
                <c:pt idx="36">
                  <c:v>92.77</c:v>
                </c:pt>
                <c:pt idx="37">
                  <c:v>91.68</c:v>
                </c:pt>
                <c:pt idx="38">
                  <c:v>96.13</c:v>
                </c:pt>
                <c:pt idx="39">
                  <c:v>103.66</c:v>
                </c:pt>
                <c:pt idx="40">
                  <c:v>110.74</c:v>
                </c:pt>
                <c:pt idx="41">
                  <c:v>107.69</c:v>
                </c:pt>
                <c:pt idx="42">
                  <c:v>115.77</c:v>
                </c:pt>
                <c:pt idx="43">
                  <c:v>119.26</c:v>
                </c:pt>
                <c:pt idx="44">
                  <c:v>123.64</c:v>
                </c:pt>
                <c:pt idx="45">
                  <c:v>108.81</c:v>
                </c:pt>
                <c:pt idx="46">
                  <c:v>105.93</c:v>
                </c:pt>
                <c:pt idx="47">
                  <c:v>109.31</c:v>
                </c:pt>
                <c:pt idx="48">
                  <c:v>103.22</c:v>
                </c:pt>
                <c:pt idx="49">
                  <c:v>96.42</c:v>
                </c:pt>
                <c:pt idx="50">
                  <c:v>94.85</c:v>
                </c:pt>
                <c:pt idx="51">
                  <c:v>102.97</c:v>
                </c:pt>
                <c:pt idx="52">
                  <c:v>104.69</c:v>
                </c:pt>
                <c:pt idx="53">
                  <c:v>112.14</c:v>
                </c:pt>
                <c:pt idx="54">
                  <c:v>111.03</c:v>
                </c:pt>
                <c:pt idx="55">
                  <c:v>114.89</c:v>
                </c:pt>
                <c:pt idx="56">
                  <c:v>114.2</c:v>
                </c:pt>
                <c:pt idx="57">
                  <c:v>116.2</c:v>
                </c:pt>
                <c:pt idx="58">
                  <c:v>107.55</c:v>
                </c:pt>
                <c:pt idx="59">
                  <c:v>104.25</c:v>
                </c:pt>
                <c:pt idx="60">
                  <c:v>107.81</c:v>
                </c:pt>
                <c:pt idx="61">
                  <c:v>100.53</c:v>
                </c:pt>
                <c:pt idx="62">
                  <c:v>99.32</c:v>
                </c:pt>
                <c:pt idx="63">
                  <c:v>103.29</c:v>
                </c:pt>
                <c:pt idx="64">
                  <c:v>101.98</c:v>
                </c:pt>
                <c:pt idx="65">
                  <c:v>96.39</c:v>
                </c:pt>
                <c:pt idx="66">
                  <c:v>96.05</c:v>
                </c:pt>
                <c:pt idx="67">
                  <c:v>98.35</c:v>
                </c:pt>
                <c:pt idx="68">
                  <c:v>94.22</c:v>
                </c:pt>
                <c:pt idx="69">
                  <c:v>100.52</c:v>
                </c:pt>
                <c:pt idx="70">
                  <c:v>104.26</c:v>
                </c:pt>
                <c:pt idx="71">
                  <c:v>106.84</c:v>
                </c:pt>
                <c:pt idx="72">
                  <c:v>108.24</c:v>
                </c:pt>
                <c:pt idx="73">
                  <c:v>102.54</c:v>
                </c:pt>
                <c:pt idx="74">
                  <c:v>102.56</c:v>
                </c:pt>
                <c:pt idx="75">
                  <c:v>103.89</c:v>
                </c:pt>
                <c:pt idx="76">
                  <c:v>102.86</c:v>
                </c:pt>
                <c:pt idx="77">
                  <c:v>99.6</c:v>
                </c:pt>
                <c:pt idx="78">
                  <c:v>102.62</c:v>
                </c:pt>
                <c:pt idx="79">
                  <c:v>101.96</c:v>
                </c:pt>
                <c:pt idx="80">
                  <c:v>105.47</c:v>
                </c:pt>
                <c:pt idx="81">
                  <c:v>104.59</c:v>
                </c:pt>
                <c:pt idx="82">
                  <c:v>105.18</c:v>
                </c:pt>
                <c:pt idx="83">
                  <c:v>102.53</c:v>
                </c:pt>
                <c:pt idx="84">
                  <c:v>107.84</c:v>
                </c:pt>
                <c:pt idx="85">
                  <c:v>108.17</c:v>
                </c:pt>
                <c:pt idx="86">
                  <c:v>109.72</c:v>
                </c:pt>
                <c:pt idx="87">
                  <c:v>103.08</c:v>
                </c:pt>
                <c:pt idx="88">
                  <c:v>99.74</c:v>
                </c:pt>
                <c:pt idx="89">
                  <c:v>105.5</c:v>
                </c:pt>
                <c:pt idx="90">
                  <c:v>106.15</c:v>
                </c:pt>
                <c:pt idx="91">
                  <c:v>110.52</c:v>
                </c:pt>
                <c:pt idx="92">
                  <c:v>114.07</c:v>
                </c:pt>
                <c:pt idx="93">
                  <c:v>112.31</c:v>
                </c:pt>
                <c:pt idx="94">
                  <c:v>109.67</c:v>
                </c:pt>
                <c:pt idx="95">
                  <c:v>112.21</c:v>
                </c:pt>
                <c:pt idx="96">
                  <c:v>112.63</c:v>
                </c:pt>
                <c:pt idx="97">
                  <c:v>110.32</c:v>
                </c:pt>
                <c:pt idx="98">
                  <c:v>112.55</c:v>
                </c:pt>
                <c:pt idx="99">
                  <c:v>112.88</c:v>
                </c:pt>
                <c:pt idx="100">
                  <c:v>116.19</c:v>
                </c:pt>
                <c:pt idx="101">
                  <c:v>114.96</c:v>
                </c:pt>
                <c:pt idx="102">
                  <c:v>114.38</c:v>
                </c:pt>
                <c:pt idx="103">
                  <c:v>115.26</c:v>
                </c:pt>
                <c:pt idx="104">
                  <c:v>116.88</c:v>
                </c:pt>
                <c:pt idx="105">
                  <c:v>118.97</c:v>
                </c:pt>
                <c:pt idx="106">
                  <c:v>118.41</c:v>
                </c:pt>
                <c:pt idx="107">
                  <c:v>119.55</c:v>
                </c:pt>
                <c:pt idx="108">
                  <c:v>121.94</c:v>
                </c:pt>
                <c:pt idx="109">
                  <c:v>121.52</c:v>
                </c:pt>
                <c:pt idx="110">
                  <c:v>120.73</c:v>
                </c:pt>
                <c:pt idx="111">
                  <c:v>120.92</c:v>
                </c:pt>
                <c:pt idx="112">
                  <c:v>118.92</c:v>
                </c:pt>
                <c:pt idx="113">
                  <c:v>115.32</c:v>
                </c:pt>
                <c:pt idx="114">
                  <c:v>117.56</c:v>
                </c:pt>
                <c:pt idx="115">
                  <c:v>109.56</c:v>
                </c:pt>
                <c:pt idx="116">
                  <c:v>110.49</c:v>
                </c:pt>
                <c:pt idx="117">
                  <c:v>106.22</c:v>
                </c:pt>
                <c:pt idx="118">
                  <c:v>105.75</c:v>
                </c:pt>
                <c:pt idx="119">
                  <c:v>109.07</c:v>
                </c:pt>
                <c:pt idx="120">
                  <c:v>111.44</c:v>
                </c:pt>
                <c:pt idx="121">
                  <c:v>113.66</c:v>
                </c:pt>
                <c:pt idx="122">
                  <c:v>111.65</c:v>
                </c:pt>
                <c:pt idx="123">
                  <c:v>107.76</c:v>
                </c:pt>
                <c:pt idx="124">
                  <c:v>110.3</c:v>
                </c:pt>
                <c:pt idx="125">
                  <c:v>101.55</c:v>
                </c:pt>
                <c:pt idx="126">
                  <c:v>100.31</c:v>
                </c:pt>
                <c:pt idx="127">
                  <c:v>104.62</c:v>
                </c:pt>
                <c:pt idx="128">
                  <c:v>106.78</c:v>
                </c:pt>
                <c:pt idx="129">
                  <c:v>106.09</c:v>
                </c:pt>
                <c:pt idx="130">
                  <c:v>97.69</c:v>
                </c:pt>
                <c:pt idx="131">
                  <c:v>98.44</c:v>
                </c:pt>
                <c:pt idx="132">
                  <c:v>97.79</c:v>
                </c:pt>
                <c:pt idx="133">
                  <c:v>99.59</c:v>
                </c:pt>
                <c:pt idx="134">
                  <c:v>104.48</c:v>
                </c:pt>
                <c:pt idx="135">
                  <c:v>106.12</c:v>
                </c:pt>
                <c:pt idx="136">
                  <c:v>104.45</c:v>
                </c:pt>
                <c:pt idx="137">
                  <c:v>98.44</c:v>
                </c:pt>
                <c:pt idx="138">
                  <c:v>97.71</c:v>
                </c:pt>
                <c:pt idx="139">
                  <c:v>99.83</c:v>
                </c:pt>
                <c:pt idx="140">
                  <c:v>97.74</c:v>
                </c:pt>
                <c:pt idx="141">
                  <c:v>100.03</c:v>
                </c:pt>
                <c:pt idx="142">
                  <c:v>99.11</c:v>
                </c:pt>
                <c:pt idx="143">
                  <c:v>101.31</c:v>
                </c:pt>
                <c:pt idx="144">
                  <c:v>96.59</c:v>
                </c:pt>
                <c:pt idx="145">
                  <c:v>97.14</c:v>
                </c:pt>
                <c:pt idx="146">
                  <c:v>93.25</c:v>
                </c:pt>
                <c:pt idx="147">
                  <c:v>91.29</c:v>
                </c:pt>
                <c:pt idx="148">
                  <c:v>91.77</c:v>
                </c:pt>
                <c:pt idx="149">
                  <c:v>93.52</c:v>
                </c:pt>
                <c:pt idx="150">
                  <c:v>93.18</c:v>
                </c:pt>
                <c:pt idx="151">
                  <c:v>94.68</c:v>
                </c:pt>
                <c:pt idx="152">
                  <c:v>97.02</c:v>
                </c:pt>
                <c:pt idx="153">
                  <c:v>94.86</c:v>
                </c:pt>
                <c:pt idx="154">
                  <c:v>92.24</c:v>
                </c:pt>
                <c:pt idx="155">
                  <c:v>89.23</c:v>
                </c:pt>
                <c:pt idx="156">
                  <c:v>90.85</c:v>
                </c:pt>
                <c:pt idx="157">
                  <c:v>93.2</c:v>
                </c:pt>
                <c:pt idx="158">
                  <c:v>93.55</c:v>
                </c:pt>
                <c:pt idx="159">
                  <c:v>93.42</c:v>
                </c:pt>
                <c:pt idx="160">
                  <c:v>96.46</c:v>
                </c:pt>
                <c:pt idx="161">
                  <c:v>95.52</c:v>
                </c:pt>
                <c:pt idx="162">
                  <c:v>93.33</c:v>
                </c:pt>
                <c:pt idx="163">
                  <c:v>93.63</c:v>
                </c:pt>
                <c:pt idx="164">
                  <c:v>97.4</c:v>
                </c:pt>
                <c:pt idx="165">
                  <c:v>92.08</c:v>
                </c:pt>
                <c:pt idx="166">
                  <c:v>90.09</c:v>
                </c:pt>
                <c:pt idx="167">
                  <c:v>87.09</c:v>
                </c:pt>
                <c:pt idx="168">
                  <c:v>87.29</c:v>
                </c:pt>
                <c:pt idx="169">
                  <c:v>87.35</c:v>
                </c:pt>
                <c:pt idx="170">
                  <c:v>82.5</c:v>
                </c:pt>
                <c:pt idx="171">
                  <c:v>84.04</c:v>
                </c:pt>
                <c:pt idx="172">
                  <c:v>87.27</c:v>
                </c:pt>
                <c:pt idx="173">
                  <c:v>88.18</c:v>
                </c:pt>
                <c:pt idx="174">
                  <c:v>87.84</c:v>
                </c:pt>
                <c:pt idx="175">
                  <c:v>88.88</c:v>
                </c:pt>
                <c:pt idx="176">
                  <c:v>85.72</c:v>
                </c:pt>
                <c:pt idx="177">
                  <c:v>85.57</c:v>
                </c:pt>
                <c:pt idx="178">
                  <c:v>86.15</c:v>
                </c:pt>
                <c:pt idx="179">
                  <c:v>84.69</c:v>
                </c:pt>
                <c:pt idx="180">
                  <c:v>83.38</c:v>
                </c:pt>
                <c:pt idx="181">
                  <c:v>84.02</c:v>
                </c:pt>
                <c:pt idx="182">
                  <c:v>79.069999999999993</c:v>
                </c:pt>
                <c:pt idx="183">
                  <c:v>77.17</c:v>
                </c:pt>
                <c:pt idx="184">
                  <c:v>78.91</c:v>
                </c:pt>
                <c:pt idx="185">
                  <c:v>82.61</c:v>
                </c:pt>
                <c:pt idx="186">
                  <c:v>81.78</c:v>
                </c:pt>
                <c:pt idx="187">
                  <c:v>79.91</c:v>
                </c:pt>
                <c:pt idx="188">
                  <c:v>84.05</c:v>
                </c:pt>
                <c:pt idx="189">
                  <c:v>86.87</c:v>
                </c:pt>
                <c:pt idx="190">
                  <c:v>88.22</c:v>
                </c:pt>
                <c:pt idx="191">
                  <c:v>88.9</c:v>
                </c:pt>
                <c:pt idx="192">
                  <c:v>93.07</c:v>
                </c:pt>
                <c:pt idx="193">
                  <c:v>91.6</c:v>
                </c:pt>
                <c:pt idx="194">
                  <c:v>89.75</c:v>
                </c:pt>
                <c:pt idx="195">
                  <c:v>87.83</c:v>
                </c:pt>
                <c:pt idx="196">
                  <c:v>89.59</c:v>
                </c:pt>
                <c:pt idx="197">
                  <c:v>86.1</c:v>
                </c:pt>
                <c:pt idx="198">
                  <c:v>86</c:v>
                </c:pt>
                <c:pt idx="199">
                  <c:v>83.29</c:v>
                </c:pt>
                <c:pt idx="200">
                  <c:v>86</c:v>
                </c:pt>
                <c:pt idx="201">
                  <c:v>86.02</c:v>
                </c:pt>
                <c:pt idx="202">
                  <c:v>85.47</c:v>
                </c:pt>
                <c:pt idx="203">
                  <c:v>86.12</c:v>
                </c:pt>
                <c:pt idx="204">
                  <c:v>86.93</c:v>
                </c:pt>
                <c:pt idx="205">
                  <c:v>89.39</c:v>
                </c:pt>
                <c:pt idx="206">
                  <c:v>89.06</c:v>
                </c:pt>
                <c:pt idx="207">
                  <c:v>87.85</c:v>
                </c:pt>
                <c:pt idx="208">
                  <c:v>86.54</c:v>
                </c:pt>
                <c:pt idx="209">
                  <c:v>88.36</c:v>
                </c:pt>
                <c:pt idx="210">
                  <c:v>90.06</c:v>
                </c:pt>
                <c:pt idx="211">
                  <c:v>88.14</c:v>
                </c:pt>
                <c:pt idx="212">
                  <c:v>92.58</c:v>
                </c:pt>
                <c:pt idx="213">
                  <c:v>91.8</c:v>
                </c:pt>
                <c:pt idx="214">
                  <c:v>88.8</c:v>
                </c:pt>
                <c:pt idx="215">
                  <c:v>85.79</c:v>
                </c:pt>
                <c:pt idx="216">
                  <c:v>86.52</c:v>
                </c:pt>
                <c:pt idx="217">
                  <c:v>89.14</c:v>
                </c:pt>
                <c:pt idx="218">
                  <c:v>85.85</c:v>
                </c:pt>
                <c:pt idx="219">
                  <c:v>86.87</c:v>
                </c:pt>
                <c:pt idx="220">
                  <c:v>85.62</c:v>
                </c:pt>
                <c:pt idx="221">
                  <c:v>81.69</c:v>
                </c:pt>
                <c:pt idx="222">
                  <c:v>80.069999999999993</c:v>
                </c:pt>
                <c:pt idx="223">
                  <c:v>79.739999999999995</c:v>
                </c:pt>
                <c:pt idx="224">
                  <c:v>80.83</c:v>
                </c:pt>
                <c:pt idx="225">
                  <c:v>77.930000000000007</c:v>
                </c:pt>
                <c:pt idx="226">
                  <c:v>76.45</c:v>
                </c:pt>
                <c:pt idx="227">
                  <c:v>77.099999999999994</c:v>
                </c:pt>
                <c:pt idx="228">
                  <c:v>77.959999999999994</c:v>
                </c:pt>
                <c:pt idx="229">
                  <c:v>80.48</c:v>
                </c:pt>
                <c:pt idx="230">
                  <c:v>81.06</c:v>
                </c:pt>
                <c:pt idx="231">
                  <c:v>79.86</c:v>
                </c:pt>
                <c:pt idx="232">
                  <c:v>76.83</c:v>
                </c:pt>
                <c:pt idx="233">
                  <c:v>74.209999999999994</c:v>
                </c:pt>
                <c:pt idx="234">
                  <c:v>71.930000000000007</c:v>
                </c:pt>
                <c:pt idx="235">
                  <c:v>71.3</c:v>
                </c:pt>
                <c:pt idx="236">
                  <c:v>71.05</c:v>
                </c:pt>
                <c:pt idx="237">
                  <c:v>72.959999999999994</c:v>
                </c:pt>
                <c:pt idx="238">
                  <c:v>75.44</c:v>
                </c:pt>
                <c:pt idx="239">
                  <c:v>77.14</c:v>
                </c:pt>
                <c:pt idx="240">
                  <c:v>75.89</c:v>
                </c:pt>
                <c:pt idx="241">
                  <c:v>74.19</c:v>
                </c:pt>
                <c:pt idx="242">
                  <c:v>75.05</c:v>
                </c:pt>
                <c:pt idx="243">
                  <c:v>75.92</c:v>
                </c:pt>
                <c:pt idx="244">
                  <c:v>78.17</c:v>
                </c:pt>
                <c:pt idx="245">
                  <c:v>77.680000000000007</c:v>
                </c:pt>
                <c:pt idx="246">
                  <c:v>79.569999999999993</c:v>
                </c:pt>
                <c:pt idx="247">
                  <c:v>79.45</c:v>
                </c:pt>
                <c:pt idx="248">
                  <c:v>78.89</c:v>
                </c:pt>
                <c:pt idx="249">
                  <c:v>78.430000000000007</c:v>
                </c:pt>
                <c:pt idx="250">
                  <c:v>80.16</c:v>
                </c:pt>
              </c:numCache>
            </c:numRef>
          </c:val>
          <c:smooth val="0"/>
          <c:extLst>
            <c:ext xmlns:c16="http://schemas.microsoft.com/office/drawing/2014/chart" uri="{C3380CC4-5D6E-409C-BE32-E72D297353CC}">
              <c16:uniqueId val="{00000000-7EDA-4C41-9F8C-C1F9DD03AF5B}"/>
            </c:ext>
          </c:extLst>
        </c:ser>
        <c:ser>
          <c:idx val="3"/>
          <c:order val="1"/>
          <c:tx>
            <c:strRef>
              <c:f>oilWtiChart!$B$2</c:f>
              <c:strCache>
                <c:ptCount val="1"/>
                <c:pt idx="0">
                  <c:v>Tipo de cambio </c:v>
                </c:pt>
              </c:strCache>
            </c:strRef>
          </c:tx>
          <c:spPr>
            <a:ln w="15875" cap="rnd">
              <a:solidFill>
                <a:schemeClr val="accent1"/>
              </a:solidFill>
              <a:round/>
            </a:ln>
            <a:effectLst/>
          </c:spPr>
          <c:marker>
            <c:symbol val="none"/>
          </c:marker>
          <c:cat>
            <c:numRef>
              <c:f>oilWtiChart!$A$3:$A$253</c:f>
              <c:numCache>
                <c:formatCode>mmm\-yy</c:formatCode>
                <c:ptCount val="251"/>
                <c:pt idx="0">
                  <c:v>44564</c:v>
                </c:pt>
                <c:pt idx="1">
                  <c:v>44565</c:v>
                </c:pt>
                <c:pt idx="2">
                  <c:v>44566</c:v>
                </c:pt>
                <c:pt idx="3">
                  <c:v>44567</c:v>
                </c:pt>
                <c:pt idx="4">
                  <c:v>44568</c:v>
                </c:pt>
                <c:pt idx="5">
                  <c:v>44571</c:v>
                </c:pt>
                <c:pt idx="6">
                  <c:v>44572</c:v>
                </c:pt>
                <c:pt idx="7">
                  <c:v>44573</c:v>
                </c:pt>
                <c:pt idx="8">
                  <c:v>44574</c:v>
                </c:pt>
                <c:pt idx="9">
                  <c:v>44575</c:v>
                </c:pt>
                <c:pt idx="10">
                  <c:v>44579</c:v>
                </c:pt>
                <c:pt idx="11">
                  <c:v>44580</c:v>
                </c:pt>
                <c:pt idx="12">
                  <c:v>44581</c:v>
                </c:pt>
                <c:pt idx="13">
                  <c:v>44582</c:v>
                </c:pt>
                <c:pt idx="14">
                  <c:v>44585</c:v>
                </c:pt>
                <c:pt idx="15">
                  <c:v>44586</c:v>
                </c:pt>
                <c:pt idx="16">
                  <c:v>44587</c:v>
                </c:pt>
                <c:pt idx="17">
                  <c:v>44588</c:v>
                </c:pt>
                <c:pt idx="18">
                  <c:v>44589</c:v>
                </c:pt>
                <c:pt idx="19">
                  <c:v>44592</c:v>
                </c:pt>
                <c:pt idx="20">
                  <c:v>44593</c:v>
                </c:pt>
                <c:pt idx="21">
                  <c:v>44594</c:v>
                </c:pt>
                <c:pt idx="22">
                  <c:v>44595</c:v>
                </c:pt>
                <c:pt idx="23">
                  <c:v>44596</c:v>
                </c:pt>
                <c:pt idx="24">
                  <c:v>44599</c:v>
                </c:pt>
                <c:pt idx="25">
                  <c:v>44600</c:v>
                </c:pt>
                <c:pt idx="26">
                  <c:v>44601</c:v>
                </c:pt>
                <c:pt idx="27">
                  <c:v>44602</c:v>
                </c:pt>
                <c:pt idx="28">
                  <c:v>44603</c:v>
                </c:pt>
                <c:pt idx="29">
                  <c:v>44606</c:v>
                </c:pt>
                <c:pt idx="30">
                  <c:v>44607</c:v>
                </c:pt>
                <c:pt idx="31">
                  <c:v>44608</c:v>
                </c:pt>
                <c:pt idx="32">
                  <c:v>44609</c:v>
                </c:pt>
                <c:pt idx="33">
                  <c:v>44610</c:v>
                </c:pt>
                <c:pt idx="34">
                  <c:v>44614</c:v>
                </c:pt>
                <c:pt idx="35">
                  <c:v>44615</c:v>
                </c:pt>
                <c:pt idx="36">
                  <c:v>44616</c:v>
                </c:pt>
                <c:pt idx="37">
                  <c:v>44617</c:v>
                </c:pt>
                <c:pt idx="38">
                  <c:v>44620</c:v>
                </c:pt>
                <c:pt idx="39">
                  <c:v>44621</c:v>
                </c:pt>
                <c:pt idx="40">
                  <c:v>44622</c:v>
                </c:pt>
                <c:pt idx="41">
                  <c:v>44623</c:v>
                </c:pt>
                <c:pt idx="42">
                  <c:v>44624</c:v>
                </c:pt>
                <c:pt idx="43">
                  <c:v>44627</c:v>
                </c:pt>
                <c:pt idx="44">
                  <c:v>44628</c:v>
                </c:pt>
                <c:pt idx="45">
                  <c:v>44629</c:v>
                </c:pt>
                <c:pt idx="46">
                  <c:v>44630</c:v>
                </c:pt>
                <c:pt idx="47">
                  <c:v>44631</c:v>
                </c:pt>
                <c:pt idx="48">
                  <c:v>44634</c:v>
                </c:pt>
                <c:pt idx="49">
                  <c:v>44635</c:v>
                </c:pt>
                <c:pt idx="50">
                  <c:v>44636</c:v>
                </c:pt>
                <c:pt idx="51">
                  <c:v>44637</c:v>
                </c:pt>
                <c:pt idx="52">
                  <c:v>44638</c:v>
                </c:pt>
                <c:pt idx="53">
                  <c:v>44641</c:v>
                </c:pt>
                <c:pt idx="54">
                  <c:v>44642</c:v>
                </c:pt>
                <c:pt idx="55">
                  <c:v>44643</c:v>
                </c:pt>
                <c:pt idx="56">
                  <c:v>44644</c:v>
                </c:pt>
                <c:pt idx="57">
                  <c:v>44645</c:v>
                </c:pt>
                <c:pt idx="58">
                  <c:v>44648</c:v>
                </c:pt>
                <c:pt idx="59">
                  <c:v>44649</c:v>
                </c:pt>
                <c:pt idx="60">
                  <c:v>44650</c:v>
                </c:pt>
                <c:pt idx="61">
                  <c:v>44651</c:v>
                </c:pt>
                <c:pt idx="62">
                  <c:v>44652</c:v>
                </c:pt>
                <c:pt idx="63">
                  <c:v>44655</c:v>
                </c:pt>
                <c:pt idx="64">
                  <c:v>44656</c:v>
                </c:pt>
                <c:pt idx="65">
                  <c:v>44657</c:v>
                </c:pt>
                <c:pt idx="66">
                  <c:v>44658</c:v>
                </c:pt>
                <c:pt idx="67">
                  <c:v>44659</c:v>
                </c:pt>
                <c:pt idx="68">
                  <c:v>44662</c:v>
                </c:pt>
                <c:pt idx="69">
                  <c:v>44663</c:v>
                </c:pt>
                <c:pt idx="70">
                  <c:v>44664</c:v>
                </c:pt>
                <c:pt idx="71">
                  <c:v>44665</c:v>
                </c:pt>
                <c:pt idx="72">
                  <c:v>44669</c:v>
                </c:pt>
                <c:pt idx="73">
                  <c:v>44670</c:v>
                </c:pt>
                <c:pt idx="74">
                  <c:v>44671</c:v>
                </c:pt>
                <c:pt idx="75">
                  <c:v>44672</c:v>
                </c:pt>
                <c:pt idx="76">
                  <c:v>44673</c:v>
                </c:pt>
                <c:pt idx="77">
                  <c:v>44676</c:v>
                </c:pt>
                <c:pt idx="78">
                  <c:v>44677</c:v>
                </c:pt>
                <c:pt idx="79">
                  <c:v>44678</c:v>
                </c:pt>
                <c:pt idx="80">
                  <c:v>44679</c:v>
                </c:pt>
                <c:pt idx="81">
                  <c:v>44680</c:v>
                </c:pt>
                <c:pt idx="82">
                  <c:v>44683</c:v>
                </c:pt>
                <c:pt idx="83">
                  <c:v>44684</c:v>
                </c:pt>
                <c:pt idx="84">
                  <c:v>44685</c:v>
                </c:pt>
                <c:pt idx="85">
                  <c:v>44686</c:v>
                </c:pt>
                <c:pt idx="86">
                  <c:v>44687</c:v>
                </c:pt>
                <c:pt idx="87">
                  <c:v>44690</c:v>
                </c:pt>
                <c:pt idx="88">
                  <c:v>44691</c:v>
                </c:pt>
                <c:pt idx="89">
                  <c:v>44692</c:v>
                </c:pt>
                <c:pt idx="90">
                  <c:v>44693</c:v>
                </c:pt>
                <c:pt idx="91">
                  <c:v>44694</c:v>
                </c:pt>
                <c:pt idx="92">
                  <c:v>44697</c:v>
                </c:pt>
                <c:pt idx="93">
                  <c:v>44698</c:v>
                </c:pt>
                <c:pt idx="94">
                  <c:v>44699</c:v>
                </c:pt>
                <c:pt idx="95">
                  <c:v>44700</c:v>
                </c:pt>
                <c:pt idx="96">
                  <c:v>44701</c:v>
                </c:pt>
                <c:pt idx="97">
                  <c:v>44704</c:v>
                </c:pt>
                <c:pt idx="98">
                  <c:v>44705</c:v>
                </c:pt>
                <c:pt idx="99">
                  <c:v>44706</c:v>
                </c:pt>
                <c:pt idx="100">
                  <c:v>44707</c:v>
                </c:pt>
                <c:pt idx="101">
                  <c:v>44708</c:v>
                </c:pt>
                <c:pt idx="102">
                  <c:v>44712</c:v>
                </c:pt>
                <c:pt idx="103">
                  <c:v>44713</c:v>
                </c:pt>
                <c:pt idx="104">
                  <c:v>44714</c:v>
                </c:pt>
                <c:pt idx="105">
                  <c:v>44715</c:v>
                </c:pt>
                <c:pt idx="106">
                  <c:v>44718</c:v>
                </c:pt>
                <c:pt idx="107">
                  <c:v>44719</c:v>
                </c:pt>
                <c:pt idx="108">
                  <c:v>44720</c:v>
                </c:pt>
                <c:pt idx="109">
                  <c:v>44721</c:v>
                </c:pt>
                <c:pt idx="110">
                  <c:v>44722</c:v>
                </c:pt>
                <c:pt idx="111">
                  <c:v>44725</c:v>
                </c:pt>
                <c:pt idx="112">
                  <c:v>44726</c:v>
                </c:pt>
                <c:pt idx="113">
                  <c:v>44727</c:v>
                </c:pt>
                <c:pt idx="114">
                  <c:v>44728</c:v>
                </c:pt>
                <c:pt idx="115">
                  <c:v>44729</c:v>
                </c:pt>
                <c:pt idx="116">
                  <c:v>44733</c:v>
                </c:pt>
                <c:pt idx="117">
                  <c:v>44734</c:v>
                </c:pt>
                <c:pt idx="118">
                  <c:v>44735</c:v>
                </c:pt>
                <c:pt idx="119">
                  <c:v>44736</c:v>
                </c:pt>
                <c:pt idx="120">
                  <c:v>44739</c:v>
                </c:pt>
                <c:pt idx="121">
                  <c:v>44740</c:v>
                </c:pt>
                <c:pt idx="122">
                  <c:v>44741</c:v>
                </c:pt>
                <c:pt idx="123">
                  <c:v>44742</c:v>
                </c:pt>
                <c:pt idx="124">
                  <c:v>44743</c:v>
                </c:pt>
                <c:pt idx="125">
                  <c:v>44747</c:v>
                </c:pt>
                <c:pt idx="126">
                  <c:v>44748</c:v>
                </c:pt>
                <c:pt idx="127">
                  <c:v>44749</c:v>
                </c:pt>
                <c:pt idx="128">
                  <c:v>44750</c:v>
                </c:pt>
                <c:pt idx="129">
                  <c:v>44753</c:v>
                </c:pt>
                <c:pt idx="130">
                  <c:v>44754</c:v>
                </c:pt>
                <c:pt idx="131">
                  <c:v>44755</c:v>
                </c:pt>
                <c:pt idx="132">
                  <c:v>44756</c:v>
                </c:pt>
                <c:pt idx="133">
                  <c:v>44757</c:v>
                </c:pt>
                <c:pt idx="134">
                  <c:v>44760</c:v>
                </c:pt>
                <c:pt idx="135">
                  <c:v>44761</c:v>
                </c:pt>
                <c:pt idx="136">
                  <c:v>44762</c:v>
                </c:pt>
                <c:pt idx="137">
                  <c:v>44763</c:v>
                </c:pt>
                <c:pt idx="138">
                  <c:v>44764</c:v>
                </c:pt>
                <c:pt idx="139">
                  <c:v>44767</c:v>
                </c:pt>
                <c:pt idx="140">
                  <c:v>44768</c:v>
                </c:pt>
                <c:pt idx="141">
                  <c:v>44769</c:v>
                </c:pt>
                <c:pt idx="142">
                  <c:v>44770</c:v>
                </c:pt>
                <c:pt idx="143">
                  <c:v>44771</c:v>
                </c:pt>
                <c:pt idx="144">
                  <c:v>44774</c:v>
                </c:pt>
                <c:pt idx="145">
                  <c:v>44775</c:v>
                </c:pt>
                <c:pt idx="146">
                  <c:v>44776</c:v>
                </c:pt>
                <c:pt idx="147">
                  <c:v>44777</c:v>
                </c:pt>
                <c:pt idx="148">
                  <c:v>44778</c:v>
                </c:pt>
                <c:pt idx="149">
                  <c:v>44781</c:v>
                </c:pt>
                <c:pt idx="150">
                  <c:v>44782</c:v>
                </c:pt>
                <c:pt idx="151">
                  <c:v>44783</c:v>
                </c:pt>
                <c:pt idx="152">
                  <c:v>44784</c:v>
                </c:pt>
                <c:pt idx="153">
                  <c:v>44785</c:v>
                </c:pt>
                <c:pt idx="154">
                  <c:v>44788</c:v>
                </c:pt>
                <c:pt idx="155">
                  <c:v>44789</c:v>
                </c:pt>
                <c:pt idx="156">
                  <c:v>44790</c:v>
                </c:pt>
                <c:pt idx="157">
                  <c:v>44791</c:v>
                </c:pt>
                <c:pt idx="158">
                  <c:v>44792</c:v>
                </c:pt>
                <c:pt idx="159">
                  <c:v>44795</c:v>
                </c:pt>
                <c:pt idx="160">
                  <c:v>44796</c:v>
                </c:pt>
                <c:pt idx="161">
                  <c:v>44797</c:v>
                </c:pt>
                <c:pt idx="162">
                  <c:v>44798</c:v>
                </c:pt>
                <c:pt idx="163">
                  <c:v>44799</c:v>
                </c:pt>
                <c:pt idx="164">
                  <c:v>44802</c:v>
                </c:pt>
                <c:pt idx="165">
                  <c:v>44803</c:v>
                </c:pt>
                <c:pt idx="166">
                  <c:v>44804</c:v>
                </c:pt>
                <c:pt idx="167">
                  <c:v>44805</c:v>
                </c:pt>
                <c:pt idx="168">
                  <c:v>44806</c:v>
                </c:pt>
                <c:pt idx="169">
                  <c:v>44810</c:v>
                </c:pt>
                <c:pt idx="170">
                  <c:v>44811</c:v>
                </c:pt>
                <c:pt idx="171">
                  <c:v>44812</c:v>
                </c:pt>
                <c:pt idx="172">
                  <c:v>44813</c:v>
                </c:pt>
                <c:pt idx="173">
                  <c:v>44816</c:v>
                </c:pt>
                <c:pt idx="174">
                  <c:v>44817</c:v>
                </c:pt>
                <c:pt idx="175">
                  <c:v>44818</c:v>
                </c:pt>
                <c:pt idx="176">
                  <c:v>44819</c:v>
                </c:pt>
                <c:pt idx="177">
                  <c:v>44820</c:v>
                </c:pt>
                <c:pt idx="178">
                  <c:v>44823</c:v>
                </c:pt>
                <c:pt idx="179">
                  <c:v>44824</c:v>
                </c:pt>
                <c:pt idx="180">
                  <c:v>44825</c:v>
                </c:pt>
                <c:pt idx="181">
                  <c:v>44826</c:v>
                </c:pt>
                <c:pt idx="182">
                  <c:v>44827</c:v>
                </c:pt>
                <c:pt idx="183">
                  <c:v>44830</c:v>
                </c:pt>
                <c:pt idx="184">
                  <c:v>44831</c:v>
                </c:pt>
                <c:pt idx="185">
                  <c:v>44832</c:v>
                </c:pt>
                <c:pt idx="186">
                  <c:v>44833</c:v>
                </c:pt>
                <c:pt idx="187">
                  <c:v>44834</c:v>
                </c:pt>
                <c:pt idx="188">
                  <c:v>44837</c:v>
                </c:pt>
                <c:pt idx="189">
                  <c:v>44838</c:v>
                </c:pt>
                <c:pt idx="190">
                  <c:v>44839</c:v>
                </c:pt>
                <c:pt idx="191">
                  <c:v>44840</c:v>
                </c:pt>
                <c:pt idx="192">
                  <c:v>44841</c:v>
                </c:pt>
                <c:pt idx="193">
                  <c:v>44844</c:v>
                </c:pt>
                <c:pt idx="194">
                  <c:v>44845</c:v>
                </c:pt>
                <c:pt idx="195">
                  <c:v>44846</c:v>
                </c:pt>
                <c:pt idx="196">
                  <c:v>44847</c:v>
                </c:pt>
                <c:pt idx="197">
                  <c:v>44848</c:v>
                </c:pt>
                <c:pt idx="198">
                  <c:v>44851</c:v>
                </c:pt>
                <c:pt idx="199">
                  <c:v>44852</c:v>
                </c:pt>
                <c:pt idx="200">
                  <c:v>44853</c:v>
                </c:pt>
                <c:pt idx="201">
                  <c:v>44854</c:v>
                </c:pt>
                <c:pt idx="202">
                  <c:v>44855</c:v>
                </c:pt>
                <c:pt idx="203">
                  <c:v>44858</c:v>
                </c:pt>
                <c:pt idx="204">
                  <c:v>44859</c:v>
                </c:pt>
                <c:pt idx="205">
                  <c:v>44860</c:v>
                </c:pt>
                <c:pt idx="206">
                  <c:v>44861</c:v>
                </c:pt>
                <c:pt idx="207">
                  <c:v>44862</c:v>
                </c:pt>
                <c:pt idx="208">
                  <c:v>44865</c:v>
                </c:pt>
                <c:pt idx="209">
                  <c:v>44866</c:v>
                </c:pt>
                <c:pt idx="210">
                  <c:v>44867</c:v>
                </c:pt>
                <c:pt idx="211">
                  <c:v>44868</c:v>
                </c:pt>
                <c:pt idx="212">
                  <c:v>44869</c:v>
                </c:pt>
                <c:pt idx="213">
                  <c:v>44872</c:v>
                </c:pt>
                <c:pt idx="214">
                  <c:v>44873</c:v>
                </c:pt>
                <c:pt idx="215">
                  <c:v>44874</c:v>
                </c:pt>
                <c:pt idx="216">
                  <c:v>44875</c:v>
                </c:pt>
                <c:pt idx="217">
                  <c:v>44876</c:v>
                </c:pt>
                <c:pt idx="218">
                  <c:v>44879</c:v>
                </c:pt>
                <c:pt idx="219">
                  <c:v>44880</c:v>
                </c:pt>
                <c:pt idx="220">
                  <c:v>44881</c:v>
                </c:pt>
                <c:pt idx="221">
                  <c:v>44882</c:v>
                </c:pt>
                <c:pt idx="222">
                  <c:v>44883</c:v>
                </c:pt>
                <c:pt idx="223">
                  <c:v>44886</c:v>
                </c:pt>
                <c:pt idx="224">
                  <c:v>44887</c:v>
                </c:pt>
                <c:pt idx="225">
                  <c:v>44888</c:v>
                </c:pt>
                <c:pt idx="226">
                  <c:v>44890</c:v>
                </c:pt>
                <c:pt idx="227">
                  <c:v>44893</c:v>
                </c:pt>
                <c:pt idx="228">
                  <c:v>44894</c:v>
                </c:pt>
                <c:pt idx="229">
                  <c:v>44895</c:v>
                </c:pt>
                <c:pt idx="230">
                  <c:v>44896</c:v>
                </c:pt>
                <c:pt idx="231">
                  <c:v>44897</c:v>
                </c:pt>
                <c:pt idx="232">
                  <c:v>44900</c:v>
                </c:pt>
                <c:pt idx="233">
                  <c:v>44901</c:v>
                </c:pt>
                <c:pt idx="234">
                  <c:v>44902</c:v>
                </c:pt>
                <c:pt idx="235">
                  <c:v>44903</c:v>
                </c:pt>
                <c:pt idx="236">
                  <c:v>44904</c:v>
                </c:pt>
                <c:pt idx="237">
                  <c:v>44907</c:v>
                </c:pt>
                <c:pt idx="238">
                  <c:v>44908</c:v>
                </c:pt>
                <c:pt idx="239">
                  <c:v>44909</c:v>
                </c:pt>
                <c:pt idx="240">
                  <c:v>44910</c:v>
                </c:pt>
                <c:pt idx="241">
                  <c:v>44911</c:v>
                </c:pt>
                <c:pt idx="242">
                  <c:v>44914</c:v>
                </c:pt>
                <c:pt idx="243">
                  <c:v>44915</c:v>
                </c:pt>
                <c:pt idx="244">
                  <c:v>44916</c:v>
                </c:pt>
                <c:pt idx="245">
                  <c:v>44917</c:v>
                </c:pt>
                <c:pt idx="246">
                  <c:v>44918</c:v>
                </c:pt>
                <c:pt idx="247">
                  <c:v>44922</c:v>
                </c:pt>
                <c:pt idx="248">
                  <c:v>44923</c:v>
                </c:pt>
                <c:pt idx="249">
                  <c:v>44924</c:v>
                </c:pt>
                <c:pt idx="250">
                  <c:v>44925</c:v>
                </c:pt>
              </c:numCache>
            </c:numRef>
          </c:cat>
          <c:val>
            <c:numRef>
              <c:f>oilWtiChart!$B$3:$B$253</c:f>
              <c:numCache>
                <c:formatCode>_-* #,##0.0_-;\-* #,##0.0_-;_-* "-"??_-;_-@_-</c:formatCode>
                <c:ptCount val="251"/>
                <c:pt idx="0">
                  <c:v>75.989999999999995</c:v>
                </c:pt>
                <c:pt idx="1">
                  <c:v>77</c:v>
                </c:pt>
                <c:pt idx="2">
                  <c:v>77.83</c:v>
                </c:pt>
                <c:pt idx="3">
                  <c:v>79.47</c:v>
                </c:pt>
                <c:pt idx="4">
                  <c:v>79</c:v>
                </c:pt>
                <c:pt idx="5">
                  <c:v>78.11</c:v>
                </c:pt>
                <c:pt idx="6">
                  <c:v>81.17</c:v>
                </c:pt>
                <c:pt idx="7">
                  <c:v>82.51</c:v>
                </c:pt>
                <c:pt idx="8">
                  <c:v>81.97</c:v>
                </c:pt>
                <c:pt idx="9">
                  <c:v>83.82</c:v>
                </c:pt>
                <c:pt idx="10">
                  <c:v>85.42</c:v>
                </c:pt>
                <c:pt idx="11">
                  <c:v>86.84</c:v>
                </c:pt>
                <c:pt idx="12">
                  <c:v>86.29</c:v>
                </c:pt>
                <c:pt idx="13">
                  <c:v>85.16</c:v>
                </c:pt>
                <c:pt idx="14">
                  <c:v>84.48</c:v>
                </c:pt>
                <c:pt idx="15">
                  <c:v>86.61</c:v>
                </c:pt>
                <c:pt idx="16">
                  <c:v>88.33</c:v>
                </c:pt>
                <c:pt idx="17">
                  <c:v>87.61</c:v>
                </c:pt>
                <c:pt idx="18">
                  <c:v>87.67</c:v>
                </c:pt>
                <c:pt idx="19">
                  <c:v>89.16</c:v>
                </c:pt>
                <c:pt idx="20">
                  <c:v>88.22</c:v>
                </c:pt>
                <c:pt idx="21">
                  <c:v>88.16</c:v>
                </c:pt>
                <c:pt idx="22">
                  <c:v>90.17</c:v>
                </c:pt>
                <c:pt idx="23">
                  <c:v>92.27</c:v>
                </c:pt>
                <c:pt idx="24">
                  <c:v>91.25</c:v>
                </c:pt>
                <c:pt idx="25">
                  <c:v>89.32</c:v>
                </c:pt>
                <c:pt idx="26">
                  <c:v>89.57</c:v>
                </c:pt>
                <c:pt idx="27">
                  <c:v>89.83</c:v>
                </c:pt>
                <c:pt idx="28">
                  <c:v>93.1</c:v>
                </c:pt>
                <c:pt idx="29">
                  <c:v>95.52</c:v>
                </c:pt>
                <c:pt idx="30">
                  <c:v>92.07</c:v>
                </c:pt>
                <c:pt idx="31">
                  <c:v>93.83</c:v>
                </c:pt>
                <c:pt idx="32">
                  <c:v>91.78</c:v>
                </c:pt>
                <c:pt idx="33">
                  <c:v>91.26</c:v>
                </c:pt>
                <c:pt idx="34">
                  <c:v>92.11</c:v>
                </c:pt>
                <c:pt idx="35">
                  <c:v>92.14</c:v>
                </c:pt>
                <c:pt idx="36">
                  <c:v>92.77</c:v>
                </c:pt>
                <c:pt idx="37">
                  <c:v>91.68</c:v>
                </c:pt>
                <c:pt idx="38">
                  <c:v>96.13</c:v>
                </c:pt>
                <c:pt idx="39">
                  <c:v>103.66</c:v>
                </c:pt>
                <c:pt idx="40">
                  <c:v>110.74</c:v>
                </c:pt>
                <c:pt idx="41">
                  <c:v>107.69</c:v>
                </c:pt>
                <c:pt idx="42">
                  <c:v>115.77</c:v>
                </c:pt>
                <c:pt idx="43">
                  <c:v>119.26</c:v>
                </c:pt>
                <c:pt idx="44">
                  <c:v>123.64</c:v>
                </c:pt>
                <c:pt idx="45">
                  <c:v>108.81</c:v>
                </c:pt>
                <c:pt idx="46">
                  <c:v>105.93</c:v>
                </c:pt>
                <c:pt idx="47">
                  <c:v>109.31</c:v>
                </c:pt>
                <c:pt idx="48">
                  <c:v>103.22</c:v>
                </c:pt>
                <c:pt idx="49">
                  <c:v>96.42</c:v>
                </c:pt>
                <c:pt idx="50">
                  <c:v>94.85</c:v>
                </c:pt>
                <c:pt idx="51">
                  <c:v>102.97</c:v>
                </c:pt>
                <c:pt idx="52">
                  <c:v>104.69</c:v>
                </c:pt>
                <c:pt idx="53">
                  <c:v>112.14</c:v>
                </c:pt>
                <c:pt idx="54">
                  <c:v>111.03</c:v>
                </c:pt>
                <c:pt idx="55">
                  <c:v>114.89</c:v>
                </c:pt>
                <c:pt idx="56">
                  <c:v>114.2</c:v>
                </c:pt>
                <c:pt idx="57">
                  <c:v>116.2</c:v>
                </c:pt>
                <c:pt idx="58">
                  <c:v>107.55</c:v>
                </c:pt>
                <c:pt idx="59">
                  <c:v>104.25</c:v>
                </c:pt>
                <c:pt idx="60">
                  <c:v>107.81</c:v>
                </c:pt>
                <c:pt idx="61">
                  <c:v>100.53</c:v>
                </c:pt>
                <c:pt idx="62">
                  <c:v>99.32</c:v>
                </c:pt>
                <c:pt idx="63">
                  <c:v>103.29</c:v>
                </c:pt>
                <c:pt idx="64">
                  <c:v>101.98</c:v>
                </c:pt>
                <c:pt idx="65">
                  <c:v>96.39</c:v>
                </c:pt>
                <c:pt idx="66">
                  <c:v>96.05</c:v>
                </c:pt>
                <c:pt idx="67">
                  <c:v>98.35</c:v>
                </c:pt>
                <c:pt idx="68">
                  <c:v>94.22</c:v>
                </c:pt>
                <c:pt idx="69">
                  <c:v>100.52</c:v>
                </c:pt>
                <c:pt idx="70">
                  <c:v>104.26</c:v>
                </c:pt>
                <c:pt idx="71">
                  <c:v>106.84</c:v>
                </c:pt>
                <c:pt idx="72">
                  <c:v>108.24</c:v>
                </c:pt>
                <c:pt idx="73">
                  <c:v>102.54</c:v>
                </c:pt>
                <c:pt idx="74">
                  <c:v>102.56</c:v>
                </c:pt>
                <c:pt idx="75">
                  <c:v>103.89</c:v>
                </c:pt>
                <c:pt idx="76">
                  <c:v>102.86</c:v>
                </c:pt>
                <c:pt idx="77">
                  <c:v>99.6</c:v>
                </c:pt>
                <c:pt idx="78">
                  <c:v>102.62</c:v>
                </c:pt>
                <c:pt idx="79">
                  <c:v>101.96</c:v>
                </c:pt>
                <c:pt idx="80">
                  <c:v>105.47</c:v>
                </c:pt>
                <c:pt idx="81">
                  <c:v>104.59</c:v>
                </c:pt>
                <c:pt idx="82">
                  <c:v>105.18</c:v>
                </c:pt>
                <c:pt idx="83">
                  <c:v>102.53</c:v>
                </c:pt>
                <c:pt idx="84">
                  <c:v>107.84</c:v>
                </c:pt>
                <c:pt idx="85">
                  <c:v>108.17</c:v>
                </c:pt>
                <c:pt idx="86">
                  <c:v>109.72</c:v>
                </c:pt>
                <c:pt idx="87">
                  <c:v>103.08</c:v>
                </c:pt>
                <c:pt idx="88">
                  <c:v>99.74</c:v>
                </c:pt>
                <c:pt idx="89">
                  <c:v>105.5</c:v>
                </c:pt>
                <c:pt idx="90">
                  <c:v>106.15</c:v>
                </c:pt>
                <c:pt idx="91">
                  <c:v>110.52</c:v>
                </c:pt>
                <c:pt idx="92">
                  <c:v>114.07</c:v>
                </c:pt>
                <c:pt idx="93">
                  <c:v>112.31</c:v>
                </c:pt>
                <c:pt idx="94">
                  <c:v>109.67</c:v>
                </c:pt>
                <c:pt idx="95">
                  <c:v>112.21</c:v>
                </c:pt>
                <c:pt idx="96">
                  <c:v>112.63</c:v>
                </c:pt>
                <c:pt idx="97">
                  <c:v>110.32</c:v>
                </c:pt>
                <c:pt idx="98">
                  <c:v>112.55</c:v>
                </c:pt>
                <c:pt idx="99">
                  <c:v>112.88</c:v>
                </c:pt>
                <c:pt idx="100">
                  <c:v>116.19</c:v>
                </c:pt>
                <c:pt idx="101">
                  <c:v>114.96</c:v>
                </c:pt>
                <c:pt idx="102">
                  <c:v>114.38</c:v>
                </c:pt>
                <c:pt idx="103">
                  <c:v>115.26</c:v>
                </c:pt>
                <c:pt idx="104">
                  <c:v>116.88</c:v>
                </c:pt>
                <c:pt idx="105">
                  <c:v>118.97</c:v>
                </c:pt>
                <c:pt idx="106">
                  <c:v>118.41</c:v>
                </c:pt>
                <c:pt idx="107">
                  <c:v>119.55</c:v>
                </c:pt>
                <c:pt idx="108">
                  <c:v>121.94</c:v>
                </c:pt>
                <c:pt idx="109">
                  <c:v>121.52</c:v>
                </c:pt>
                <c:pt idx="110">
                  <c:v>120.73</c:v>
                </c:pt>
                <c:pt idx="111">
                  <c:v>120.92</c:v>
                </c:pt>
                <c:pt idx="112">
                  <c:v>118.92</c:v>
                </c:pt>
                <c:pt idx="113">
                  <c:v>115.32</c:v>
                </c:pt>
                <c:pt idx="114">
                  <c:v>117.56</c:v>
                </c:pt>
                <c:pt idx="115">
                  <c:v>109.56</c:v>
                </c:pt>
                <c:pt idx="116">
                  <c:v>110.49</c:v>
                </c:pt>
                <c:pt idx="117">
                  <c:v>106.22</c:v>
                </c:pt>
                <c:pt idx="118">
                  <c:v>105.75</c:v>
                </c:pt>
                <c:pt idx="119">
                  <c:v>109.07</c:v>
                </c:pt>
                <c:pt idx="120">
                  <c:v>111.44</c:v>
                </c:pt>
                <c:pt idx="121">
                  <c:v>113.66</c:v>
                </c:pt>
                <c:pt idx="122">
                  <c:v>111.65</c:v>
                </c:pt>
                <c:pt idx="123">
                  <c:v>107.76</c:v>
                </c:pt>
                <c:pt idx="124">
                  <c:v>110.3</c:v>
                </c:pt>
                <c:pt idx="125">
                  <c:v>101.55</c:v>
                </c:pt>
                <c:pt idx="126">
                  <c:v>100.31</c:v>
                </c:pt>
                <c:pt idx="127">
                  <c:v>104.62</c:v>
                </c:pt>
                <c:pt idx="128">
                  <c:v>106.78</c:v>
                </c:pt>
                <c:pt idx="129">
                  <c:v>106.09</c:v>
                </c:pt>
                <c:pt idx="130">
                  <c:v>97.69</c:v>
                </c:pt>
                <c:pt idx="131">
                  <c:v>98.44</c:v>
                </c:pt>
                <c:pt idx="132">
                  <c:v>97.79</c:v>
                </c:pt>
                <c:pt idx="133">
                  <c:v>99.59</c:v>
                </c:pt>
                <c:pt idx="134">
                  <c:v>104.48</c:v>
                </c:pt>
                <c:pt idx="135">
                  <c:v>106.12</c:v>
                </c:pt>
                <c:pt idx="136">
                  <c:v>104.45</c:v>
                </c:pt>
                <c:pt idx="137">
                  <c:v>98.44</c:v>
                </c:pt>
                <c:pt idx="138">
                  <c:v>97.71</c:v>
                </c:pt>
                <c:pt idx="139">
                  <c:v>99.83</c:v>
                </c:pt>
                <c:pt idx="140">
                  <c:v>97.74</c:v>
                </c:pt>
                <c:pt idx="141">
                  <c:v>100.03</c:v>
                </c:pt>
                <c:pt idx="142">
                  <c:v>99.11</c:v>
                </c:pt>
                <c:pt idx="143">
                  <c:v>101.31</c:v>
                </c:pt>
                <c:pt idx="144">
                  <c:v>96.59</c:v>
                </c:pt>
                <c:pt idx="145">
                  <c:v>97.14</c:v>
                </c:pt>
                <c:pt idx="146">
                  <c:v>93.25</c:v>
                </c:pt>
                <c:pt idx="147">
                  <c:v>91.29</c:v>
                </c:pt>
                <c:pt idx="148">
                  <c:v>91.77</c:v>
                </c:pt>
                <c:pt idx="149">
                  <c:v>93.52</c:v>
                </c:pt>
                <c:pt idx="150">
                  <c:v>93.18</c:v>
                </c:pt>
                <c:pt idx="151">
                  <c:v>94.68</c:v>
                </c:pt>
                <c:pt idx="152">
                  <c:v>97.02</c:v>
                </c:pt>
                <c:pt idx="153">
                  <c:v>94.86</c:v>
                </c:pt>
                <c:pt idx="154">
                  <c:v>92.24</c:v>
                </c:pt>
                <c:pt idx="155">
                  <c:v>89.23</c:v>
                </c:pt>
                <c:pt idx="156">
                  <c:v>90.85</c:v>
                </c:pt>
                <c:pt idx="157">
                  <c:v>93.2</c:v>
                </c:pt>
                <c:pt idx="158">
                  <c:v>93.55</c:v>
                </c:pt>
                <c:pt idx="159">
                  <c:v>93.42</c:v>
                </c:pt>
                <c:pt idx="160">
                  <c:v>96.46</c:v>
                </c:pt>
                <c:pt idx="161">
                  <c:v>95.52</c:v>
                </c:pt>
                <c:pt idx="162">
                  <c:v>93.33</c:v>
                </c:pt>
                <c:pt idx="163">
                  <c:v>93.63</c:v>
                </c:pt>
                <c:pt idx="164">
                  <c:v>97.4</c:v>
                </c:pt>
                <c:pt idx="165">
                  <c:v>92.08</c:v>
                </c:pt>
                <c:pt idx="166">
                  <c:v>90.09</c:v>
                </c:pt>
                <c:pt idx="167">
                  <c:v>87.09</c:v>
                </c:pt>
                <c:pt idx="168">
                  <c:v>87.29</c:v>
                </c:pt>
                <c:pt idx="169">
                  <c:v>87.35</c:v>
                </c:pt>
                <c:pt idx="170">
                  <c:v>82.5</c:v>
                </c:pt>
                <c:pt idx="171">
                  <c:v>84.04</c:v>
                </c:pt>
                <c:pt idx="172">
                  <c:v>87.27</c:v>
                </c:pt>
                <c:pt idx="173">
                  <c:v>88.18</c:v>
                </c:pt>
                <c:pt idx="174">
                  <c:v>87.84</c:v>
                </c:pt>
                <c:pt idx="175">
                  <c:v>88.88</c:v>
                </c:pt>
                <c:pt idx="176">
                  <c:v>85.72</c:v>
                </c:pt>
                <c:pt idx="177">
                  <c:v>85.57</c:v>
                </c:pt>
                <c:pt idx="178">
                  <c:v>86.15</c:v>
                </c:pt>
                <c:pt idx="179">
                  <c:v>84.69</c:v>
                </c:pt>
                <c:pt idx="180">
                  <c:v>83.38</c:v>
                </c:pt>
                <c:pt idx="181">
                  <c:v>84.02</c:v>
                </c:pt>
                <c:pt idx="182">
                  <c:v>79.069999999999993</c:v>
                </c:pt>
                <c:pt idx="183">
                  <c:v>77.17</c:v>
                </c:pt>
                <c:pt idx="184">
                  <c:v>78.91</c:v>
                </c:pt>
                <c:pt idx="185">
                  <c:v>82.61</c:v>
                </c:pt>
                <c:pt idx="186">
                  <c:v>81.78</c:v>
                </c:pt>
                <c:pt idx="187">
                  <c:v>79.91</c:v>
                </c:pt>
                <c:pt idx="188">
                  <c:v>84.05</c:v>
                </c:pt>
                <c:pt idx="189">
                  <c:v>86.87</c:v>
                </c:pt>
                <c:pt idx="190">
                  <c:v>88.22</c:v>
                </c:pt>
                <c:pt idx="191">
                  <c:v>88.9</c:v>
                </c:pt>
                <c:pt idx="192">
                  <c:v>93.07</c:v>
                </c:pt>
                <c:pt idx="193">
                  <c:v>91.6</c:v>
                </c:pt>
                <c:pt idx="194">
                  <c:v>89.75</c:v>
                </c:pt>
                <c:pt idx="195">
                  <c:v>87.83</c:v>
                </c:pt>
                <c:pt idx="196">
                  <c:v>89.59</c:v>
                </c:pt>
                <c:pt idx="197">
                  <c:v>86.1</c:v>
                </c:pt>
                <c:pt idx="198">
                  <c:v>86</c:v>
                </c:pt>
                <c:pt idx="199">
                  <c:v>83.29</c:v>
                </c:pt>
                <c:pt idx="200">
                  <c:v>86</c:v>
                </c:pt>
                <c:pt idx="201">
                  <c:v>86.02</c:v>
                </c:pt>
                <c:pt idx="202">
                  <c:v>85.47</c:v>
                </c:pt>
                <c:pt idx="203">
                  <c:v>86.12</c:v>
                </c:pt>
                <c:pt idx="204">
                  <c:v>86.93</c:v>
                </c:pt>
                <c:pt idx="205">
                  <c:v>89.39</c:v>
                </c:pt>
                <c:pt idx="206">
                  <c:v>89.06</c:v>
                </c:pt>
                <c:pt idx="207">
                  <c:v>87.85</c:v>
                </c:pt>
                <c:pt idx="208">
                  <c:v>86.54</c:v>
                </c:pt>
                <c:pt idx="209">
                  <c:v>88.36</c:v>
                </c:pt>
                <c:pt idx="210">
                  <c:v>90.06</c:v>
                </c:pt>
                <c:pt idx="211">
                  <c:v>88.14</c:v>
                </c:pt>
                <c:pt idx="212">
                  <c:v>92.58</c:v>
                </c:pt>
                <c:pt idx="213">
                  <c:v>91.8</c:v>
                </c:pt>
                <c:pt idx="214">
                  <c:v>88.8</c:v>
                </c:pt>
                <c:pt idx="215">
                  <c:v>85.79</c:v>
                </c:pt>
                <c:pt idx="216">
                  <c:v>86.52</c:v>
                </c:pt>
                <c:pt idx="217">
                  <c:v>89.14</c:v>
                </c:pt>
                <c:pt idx="218">
                  <c:v>85.85</c:v>
                </c:pt>
                <c:pt idx="219">
                  <c:v>86.87</c:v>
                </c:pt>
                <c:pt idx="220">
                  <c:v>85.62</c:v>
                </c:pt>
                <c:pt idx="221">
                  <c:v>81.69</c:v>
                </c:pt>
                <c:pt idx="222">
                  <c:v>80.069999999999993</c:v>
                </c:pt>
                <c:pt idx="223">
                  <c:v>79.739999999999995</c:v>
                </c:pt>
                <c:pt idx="224">
                  <c:v>80.83</c:v>
                </c:pt>
                <c:pt idx="225">
                  <c:v>77.930000000000007</c:v>
                </c:pt>
                <c:pt idx="226">
                  <c:v>76.45</c:v>
                </c:pt>
                <c:pt idx="227">
                  <c:v>77.099999999999994</c:v>
                </c:pt>
                <c:pt idx="228">
                  <c:v>77.959999999999994</c:v>
                </c:pt>
                <c:pt idx="229">
                  <c:v>80.48</c:v>
                </c:pt>
                <c:pt idx="230">
                  <c:v>81.06</c:v>
                </c:pt>
                <c:pt idx="231">
                  <c:v>79.86</c:v>
                </c:pt>
                <c:pt idx="232">
                  <c:v>76.83</c:v>
                </c:pt>
                <c:pt idx="233">
                  <c:v>74.209999999999994</c:v>
                </c:pt>
                <c:pt idx="234">
                  <c:v>71.930000000000007</c:v>
                </c:pt>
                <c:pt idx="235">
                  <c:v>71.3</c:v>
                </c:pt>
                <c:pt idx="236">
                  <c:v>71.05</c:v>
                </c:pt>
                <c:pt idx="237">
                  <c:v>72.959999999999994</c:v>
                </c:pt>
                <c:pt idx="238">
                  <c:v>75.44</c:v>
                </c:pt>
                <c:pt idx="239">
                  <c:v>77.14</c:v>
                </c:pt>
                <c:pt idx="240">
                  <c:v>75.89</c:v>
                </c:pt>
                <c:pt idx="241">
                  <c:v>74.19</c:v>
                </c:pt>
                <c:pt idx="242">
                  <c:v>75.05</c:v>
                </c:pt>
                <c:pt idx="243">
                  <c:v>75.92</c:v>
                </c:pt>
                <c:pt idx="244">
                  <c:v>78.17</c:v>
                </c:pt>
                <c:pt idx="245">
                  <c:v>77.680000000000007</c:v>
                </c:pt>
                <c:pt idx="246">
                  <c:v>79.569999999999993</c:v>
                </c:pt>
                <c:pt idx="247">
                  <c:v>79.45</c:v>
                </c:pt>
                <c:pt idx="248">
                  <c:v>78.89</c:v>
                </c:pt>
                <c:pt idx="249">
                  <c:v>78.430000000000007</c:v>
                </c:pt>
                <c:pt idx="250">
                  <c:v>80.16</c:v>
                </c:pt>
              </c:numCache>
            </c:numRef>
          </c:val>
          <c:smooth val="0"/>
          <c:extLst>
            <c:ext xmlns:c16="http://schemas.microsoft.com/office/drawing/2014/chart" uri="{C3380CC4-5D6E-409C-BE32-E72D297353CC}">
              <c16:uniqueId val="{00000001-7EDA-4C41-9F8C-C1F9DD03AF5B}"/>
            </c:ext>
          </c:extLst>
        </c:ser>
        <c:ser>
          <c:idx val="1"/>
          <c:order val="2"/>
          <c:tx>
            <c:strRef>
              <c:f>oilWtiChart!$B$2</c:f>
              <c:strCache>
                <c:ptCount val="1"/>
                <c:pt idx="0">
                  <c:v>Tipo de cambio </c:v>
                </c:pt>
              </c:strCache>
            </c:strRef>
          </c:tx>
          <c:spPr>
            <a:ln w="15875"/>
          </c:spPr>
          <c:marker>
            <c:symbol val="none"/>
          </c:marker>
          <c:cat>
            <c:numRef>
              <c:f>oilWtiChart!$A$3:$A$253</c:f>
              <c:numCache>
                <c:formatCode>mmm\-yy</c:formatCode>
                <c:ptCount val="251"/>
                <c:pt idx="0">
                  <c:v>44564</c:v>
                </c:pt>
                <c:pt idx="1">
                  <c:v>44565</c:v>
                </c:pt>
                <c:pt idx="2">
                  <c:v>44566</c:v>
                </c:pt>
                <c:pt idx="3">
                  <c:v>44567</c:v>
                </c:pt>
                <c:pt idx="4">
                  <c:v>44568</c:v>
                </c:pt>
                <c:pt idx="5">
                  <c:v>44571</c:v>
                </c:pt>
                <c:pt idx="6">
                  <c:v>44572</c:v>
                </c:pt>
                <c:pt idx="7">
                  <c:v>44573</c:v>
                </c:pt>
                <c:pt idx="8">
                  <c:v>44574</c:v>
                </c:pt>
                <c:pt idx="9">
                  <c:v>44575</c:v>
                </c:pt>
                <c:pt idx="10">
                  <c:v>44579</c:v>
                </c:pt>
                <c:pt idx="11">
                  <c:v>44580</c:v>
                </c:pt>
                <c:pt idx="12">
                  <c:v>44581</c:v>
                </c:pt>
                <c:pt idx="13">
                  <c:v>44582</c:v>
                </c:pt>
                <c:pt idx="14">
                  <c:v>44585</c:v>
                </c:pt>
                <c:pt idx="15">
                  <c:v>44586</c:v>
                </c:pt>
                <c:pt idx="16">
                  <c:v>44587</c:v>
                </c:pt>
                <c:pt idx="17">
                  <c:v>44588</c:v>
                </c:pt>
                <c:pt idx="18">
                  <c:v>44589</c:v>
                </c:pt>
                <c:pt idx="19">
                  <c:v>44592</c:v>
                </c:pt>
                <c:pt idx="20">
                  <c:v>44593</c:v>
                </c:pt>
                <c:pt idx="21">
                  <c:v>44594</c:v>
                </c:pt>
                <c:pt idx="22">
                  <c:v>44595</c:v>
                </c:pt>
                <c:pt idx="23">
                  <c:v>44596</c:v>
                </c:pt>
                <c:pt idx="24">
                  <c:v>44599</c:v>
                </c:pt>
                <c:pt idx="25">
                  <c:v>44600</c:v>
                </c:pt>
                <c:pt idx="26">
                  <c:v>44601</c:v>
                </c:pt>
                <c:pt idx="27">
                  <c:v>44602</c:v>
                </c:pt>
                <c:pt idx="28">
                  <c:v>44603</c:v>
                </c:pt>
                <c:pt idx="29">
                  <c:v>44606</c:v>
                </c:pt>
                <c:pt idx="30">
                  <c:v>44607</c:v>
                </c:pt>
                <c:pt idx="31">
                  <c:v>44608</c:v>
                </c:pt>
                <c:pt idx="32">
                  <c:v>44609</c:v>
                </c:pt>
                <c:pt idx="33">
                  <c:v>44610</c:v>
                </c:pt>
                <c:pt idx="34">
                  <c:v>44614</c:v>
                </c:pt>
                <c:pt idx="35">
                  <c:v>44615</c:v>
                </c:pt>
                <c:pt idx="36">
                  <c:v>44616</c:v>
                </c:pt>
                <c:pt idx="37">
                  <c:v>44617</c:v>
                </c:pt>
                <c:pt idx="38">
                  <c:v>44620</c:v>
                </c:pt>
                <c:pt idx="39">
                  <c:v>44621</c:v>
                </c:pt>
                <c:pt idx="40">
                  <c:v>44622</c:v>
                </c:pt>
                <c:pt idx="41">
                  <c:v>44623</c:v>
                </c:pt>
                <c:pt idx="42">
                  <c:v>44624</c:v>
                </c:pt>
                <c:pt idx="43">
                  <c:v>44627</c:v>
                </c:pt>
                <c:pt idx="44">
                  <c:v>44628</c:v>
                </c:pt>
                <c:pt idx="45">
                  <c:v>44629</c:v>
                </c:pt>
                <c:pt idx="46">
                  <c:v>44630</c:v>
                </c:pt>
                <c:pt idx="47">
                  <c:v>44631</c:v>
                </c:pt>
                <c:pt idx="48">
                  <c:v>44634</c:v>
                </c:pt>
                <c:pt idx="49">
                  <c:v>44635</c:v>
                </c:pt>
                <c:pt idx="50">
                  <c:v>44636</c:v>
                </c:pt>
                <c:pt idx="51">
                  <c:v>44637</c:v>
                </c:pt>
                <c:pt idx="52">
                  <c:v>44638</c:v>
                </c:pt>
                <c:pt idx="53">
                  <c:v>44641</c:v>
                </c:pt>
                <c:pt idx="54">
                  <c:v>44642</c:v>
                </c:pt>
                <c:pt idx="55">
                  <c:v>44643</c:v>
                </c:pt>
                <c:pt idx="56">
                  <c:v>44644</c:v>
                </c:pt>
                <c:pt idx="57">
                  <c:v>44645</c:v>
                </c:pt>
                <c:pt idx="58">
                  <c:v>44648</c:v>
                </c:pt>
                <c:pt idx="59">
                  <c:v>44649</c:v>
                </c:pt>
                <c:pt idx="60">
                  <c:v>44650</c:v>
                </c:pt>
                <c:pt idx="61">
                  <c:v>44651</c:v>
                </c:pt>
                <c:pt idx="62">
                  <c:v>44652</c:v>
                </c:pt>
                <c:pt idx="63">
                  <c:v>44655</c:v>
                </c:pt>
                <c:pt idx="64">
                  <c:v>44656</c:v>
                </c:pt>
                <c:pt idx="65">
                  <c:v>44657</c:v>
                </c:pt>
                <c:pt idx="66">
                  <c:v>44658</c:v>
                </c:pt>
                <c:pt idx="67">
                  <c:v>44659</c:v>
                </c:pt>
                <c:pt idx="68">
                  <c:v>44662</c:v>
                </c:pt>
                <c:pt idx="69">
                  <c:v>44663</c:v>
                </c:pt>
                <c:pt idx="70">
                  <c:v>44664</c:v>
                </c:pt>
                <c:pt idx="71">
                  <c:v>44665</c:v>
                </c:pt>
                <c:pt idx="72">
                  <c:v>44669</c:v>
                </c:pt>
                <c:pt idx="73">
                  <c:v>44670</c:v>
                </c:pt>
                <c:pt idx="74">
                  <c:v>44671</c:v>
                </c:pt>
                <c:pt idx="75">
                  <c:v>44672</c:v>
                </c:pt>
                <c:pt idx="76">
                  <c:v>44673</c:v>
                </c:pt>
                <c:pt idx="77">
                  <c:v>44676</c:v>
                </c:pt>
                <c:pt idx="78">
                  <c:v>44677</c:v>
                </c:pt>
                <c:pt idx="79">
                  <c:v>44678</c:v>
                </c:pt>
                <c:pt idx="80">
                  <c:v>44679</c:v>
                </c:pt>
                <c:pt idx="81">
                  <c:v>44680</c:v>
                </c:pt>
                <c:pt idx="82">
                  <c:v>44683</c:v>
                </c:pt>
                <c:pt idx="83">
                  <c:v>44684</c:v>
                </c:pt>
                <c:pt idx="84">
                  <c:v>44685</c:v>
                </c:pt>
                <c:pt idx="85">
                  <c:v>44686</c:v>
                </c:pt>
                <c:pt idx="86">
                  <c:v>44687</c:v>
                </c:pt>
                <c:pt idx="87">
                  <c:v>44690</c:v>
                </c:pt>
                <c:pt idx="88">
                  <c:v>44691</c:v>
                </c:pt>
                <c:pt idx="89">
                  <c:v>44692</c:v>
                </c:pt>
                <c:pt idx="90">
                  <c:v>44693</c:v>
                </c:pt>
                <c:pt idx="91">
                  <c:v>44694</c:v>
                </c:pt>
                <c:pt idx="92">
                  <c:v>44697</c:v>
                </c:pt>
                <c:pt idx="93">
                  <c:v>44698</c:v>
                </c:pt>
                <c:pt idx="94">
                  <c:v>44699</c:v>
                </c:pt>
                <c:pt idx="95">
                  <c:v>44700</c:v>
                </c:pt>
                <c:pt idx="96">
                  <c:v>44701</c:v>
                </c:pt>
                <c:pt idx="97">
                  <c:v>44704</c:v>
                </c:pt>
                <c:pt idx="98">
                  <c:v>44705</c:v>
                </c:pt>
                <c:pt idx="99">
                  <c:v>44706</c:v>
                </c:pt>
                <c:pt idx="100">
                  <c:v>44707</c:v>
                </c:pt>
                <c:pt idx="101">
                  <c:v>44708</c:v>
                </c:pt>
                <c:pt idx="102">
                  <c:v>44712</c:v>
                </c:pt>
                <c:pt idx="103">
                  <c:v>44713</c:v>
                </c:pt>
                <c:pt idx="104">
                  <c:v>44714</c:v>
                </c:pt>
                <c:pt idx="105">
                  <c:v>44715</c:v>
                </c:pt>
                <c:pt idx="106">
                  <c:v>44718</c:v>
                </c:pt>
                <c:pt idx="107">
                  <c:v>44719</c:v>
                </c:pt>
                <c:pt idx="108">
                  <c:v>44720</c:v>
                </c:pt>
                <c:pt idx="109">
                  <c:v>44721</c:v>
                </c:pt>
                <c:pt idx="110">
                  <c:v>44722</c:v>
                </c:pt>
                <c:pt idx="111">
                  <c:v>44725</c:v>
                </c:pt>
                <c:pt idx="112">
                  <c:v>44726</c:v>
                </c:pt>
                <c:pt idx="113">
                  <c:v>44727</c:v>
                </c:pt>
                <c:pt idx="114">
                  <c:v>44728</c:v>
                </c:pt>
                <c:pt idx="115">
                  <c:v>44729</c:v>
                </c:pt>
                <c:pt idx="116">
                  <c:v>44733</c:v>
                </c:pt>
                <c:pt idx="117">
                  <c:v>44734</c:v>
                </c:pt>
                <c:pt idx="118">
                  <c:v>44735</c:v>
                </c:pt>
                <c:pt idx="119">
                  <c:v>44736</c:v>
                </c:pt>
                <c:pt idx="120">
                  <c:v>44739</c:v>
                </c:pt>
                <c:pt idx="121">
                  <c:v>44740</c:v>
                </c:pt>
                <c:pt idx="122">
                  <c:v>44741</c:v>
                </c:pt>
                <c:pt idx="123">
                  <c:v>44742</c:v>
                </c:pt>
                <c:pt idx="124">
                  <c:v>44743</c:v>
                </c:pt>
                <c:pt idx="125">
                  <c:v>44747</c:v>
                </c:pt>
                <c:pt idx="126">
                  <c:v>44748</c:v>
                </c:pt>
                <c:pt idx="127">
                  <c:v>44749</c:v>
                </c:pt>
                <c:pt idx="128">
                  <c:v>44750</c:v>
                </c:pt>
                <c:pt idx="129">
                  <c:v>44753</c:v>
                </c:pt>
                <c:pt idx="130">
                  <c:v>44754</c:v>
                </c:pt>
                <c:pt idx="131">
                  <c:v>44755</c:v>
                </c:pt>
                <c:pt idx="132">
                  <c:v>44756</c:v>
                </c:pt>
                <c:pt idx="133">
                  <c:v>44757</c:v>
                </c:pt>
                <c:pt idx="134">
                  <c:v>44760</c:v>
                </c:pt>
                <c:pt idx="135">
                  <c:v>44761</c:v>
                </c:pt>
                <c:pt idx="136">
                  <c:v>44762</c:v>
                </c:pt>
                <c:pt idx="137">
                  <c:v>44763</c:v>
                </c:pt>
                <c:pt idx="138">
                  <c:v>44764</c:v>
                </c:pt>
                <c:pt idx="139">
                  <c:v>44767</c:v>
                </c:pt>
                <c:pt idx="140">
                  <c:v>44768</c:v>
                </c:pt>
                <c:pt idx="141">
                  <c:v>44769</c:v>
                </c:pt>
                <c:pt idx="142">
                  <c:v>44770</c:v>
                </c:pt>
                <c:pt idx="143">
                  <c:v>44771</c:v>
                </c:pt>
                <c:pt idx="144">
                  <c:v>44774</c:v>
                </c:pt>
                <c:pt idx="145">
                  <c:v>44775</c:v>
                </c:pt>
                <c:pt idx="146">
                  <c:v>44776</c:v>
                </c:pt>
                <c:pt idx="147">
                  <c:v>44777</c:v>
                </c:pt>
                <c:pt idx="148">
                  <c:v>44778</c:v>
                </c:pt>
                <c:pt idx="149">
                  <c:v>44781</c:v>
                </c:pt>
                <c:pt idx="150">
                  <c:v>44782</c:v>
                </c:pt>
                <c:pt idx="151">
                  <c:v>44783</c:v>
                </c:pt>
                <c:pt idx="152">
                  <c:v>44784</c:v>
                </c:pt>
                <c:pt idx="153">
                  <c:v>44785</c:v>
                </c:pt>
                <c:pt idx="154">
                  <c:v>44788</c:v>
                </c:pt>
                <c:pt idx="155">
                  <c:v>44789</c:v>
                </c:pt>
                <c:pt idx="156">
                  <c:v>44790</c:v>
                </c:pt>
                <c:pt idx="157">
                  <c:v>44791</c:v>
                </c:pt>
                <c:pt idx="158">
                  <c:v>44792</c:v>
                </c:pt>
                <c:pt idx="159">
                  <c:v>44795</c:v>
                </c:pt>
                <c:pt idx="160">
                  <c:v>44796</c:v>
                </c:pt>
                <c:pt idx="161">
                  <c:v>44797</c:v>
                </c:pt>
                <c:pt idx="162">
                  <c:v>44798</c:v>
                </c:pt>
                <c:pt idx="163">
                  <c:v>44799</c:v>
                </c:pt>
                <c:pt idx="164">
                  <c:v>44802</c:v>
                </c:pt>
                <c:pt idx="165">
                  <c:v>44803</c:v>
                </c:pt>
                <c:pt idx="166">
                  <c:v>44804</c:v>
                </c:pt>
                <c:pt idx="167">
                  <c:v>44805</c:v>
                </c:pt>
                <c:pt idx="168">
                  <c:v>44806</c:v>
                </c:pt>
                <c:pt idx="169">
                  <c:v>44810</c:v>
                </c:pt>
                <c:pt idx="170">
                  <c:v>44811</c:v>
                </c:pt>
                <c:pt idx="171">
                  <c:v>44812</c:v>
                </c:pt>
                <c:pt idx="172">
                  <c:v>44813</c:v>
                </c:pt>
                <c:pt idx="173">
                  <c:v>44816</c:v>
                </c:pt>
                <c:pt idx="174">
                  <c:v>44817</c:v>
                </c:pt>
                <c:pt idx="175">
                  <c:v>44818</c:v>
                </c:pt>
                <c:pt idx="176">
                  <c:v>44819</c:v>
                </c:pt>
                <c:pt idx="177">
                  <c:v>44820</c:v>
                </c:pt>
                <c:pt idx="178">
                  <c:v>44823</c:v>
                </c:pt>
                <c:pt idx="179">
                  <c:v>44824</c:v>
                </c:pt>
                <c:pt idx="180">
                  <c:v>44825</c:v>
                </c:pt>
                <c:pt idx="181">
                  <c:v>44826</c:v>
                </c:pt>
                <c:pt idx="182">
                  <c:v>44827</c:v>
                </c:pt>
                <c:pt idx="183">
                  <c:v>44830</c:v>
                </c:pt>
                <c:pt idx="184">
                  <c:v>44831</c:v>
                </c:pt>
                <c:pt idx="185">
                  <c:v>44832</c:v>
                </c:pt>
                <c:pt idx="186">
                  <c:v>44833</c:v>
                </c:pt>
                <c:pt idx="187">
                  <c:v>44834</c:v>
                </c:pt>
                <c:pt idx="188">
                  <c:v>44837</c:v>
                </c:pt>
                <c:pt idx="189">
                  <c:v>44838</c:v>
                </c:pt>
                <c:pt idx="190">
                  <c:v>44839</c:v>
                </c:pt>
                <c:pt idx="191">
                  <c:v>44840</c:v>
                </c:pt>
                <c:pt idx="192">
                  <c:v>44841</c:v>
                </c:pt>
                <c:pt idx="193">
                  <c:v>44844</c:v>
                </c:pt>
                <c:pt idx="194">
                  <c:v>44845</c:v>
                </c:pt>
                <c:pt idx="195">
                  <c:v>44846</c:v>
                </c:pt>
                <c:pt idx="196">
                  <c:v>44847</c:v>
                </c:pt>
                <c:pt idx="197">
                  <c:v>44848</c:v>
                </c:pt>
                <c:pt idx="198">
                  <c:v>44851</c:v>
                </c:pt>
                <c:pt idx="199">
                  <c:v>44852</c:v>
                </c:pt>
                <c:pt idx="200">
                  <c:v>44853</c:v>
                </c:pt>
                <c:pt idx="201">
                  <c:v>44854</c:v>
                </c:pt>
                <c:pt idx="202">
                  <c:v>44855</c:v>
                </c:pt>
                <c:pt idx="203">
                  <c:v>44858</c:v>
                </c:pt>
                <c:pt idx="204">
                  <c:v>44859</c:v>
                </c:pt>
                <c:pt idx="205">
                  <c:v>44860</c:v>
                </c:pt>
                <c:pt idx="206">
                  <c:v>44861</c:v>
                </c:pt>
                <c:pt idx="207">
                  <c:v>44862</c:v>
                </c:pt>
                <c:pt idx="208">
                  <c:v>44865</c:v>
                </c:pt>
                <c:pt idx="209">
                  <c:v>44866</c:v>
                </c:pt>
                <c:pt idx="210">
                  <c:v>44867</c:v>
                </c:pt>
                <c:pt idx="211">
                  <c:v>44868</c:v>
                </c:pt>
                <c:pt idx="212">
                  <c:v>44869</c:v>
                </c:pt>
                <c:pt idx="213">
                  <c:v>44872</c:v>
                </c:pt>
                <c:pt idx="214">
                  <c:v>44873</c:v>
                </c:pt>
                <c:pt idx="215">
                  <c:v>44874</c:v>
                </c:pt>
                <c:pt idx="216">
                  <c:v>44875</c:v>
                </c:pt>
                <c:pt idx="217">
                  <c:v>44876</c:v>
                </c:pt>
                <c:pt idx="218">
                  <c:v>44879</c:v>
                </c:pt>
                <c:pt idx="219">
                  <c:v>44880</c:v>
                </c:pt>
                <c:pt idx="220">
                  <c:v>44881</c:v>
                </c:pt>
                <c:pt idx="221">
                  <c:v>44882</c:v>
                </c:pt>
                <c:pt idx="222">
                  <c:v>44883</c:v>
                </c:pt>
                <c:pt idx="223">
                  <c:v>44886</c:v>
                </c:pt>
                <c:pt idx="224">
                  <c:v>44887</c:v>
                </c:pt>
                <c:pt idx="225">
                  <c:v>44888</c:v>
                </c:pt>
                <c:pt idx="226">
                  <c:v>44890</c:v>
                </c:pt>
                <c:pt idx="227">
                  <c:v>44893</c:v>
                </c:pt>
                <c:pt idx="228">
                  <c:v>44894</c:v>
                </c:pt>
                <c:pt idx="229">
                  <c:v>44895</c:v>
                </c:pt>
                <c:pt idx="230">
                  <c:v>44896</c:v>
                </c:pt>
                <c:pt idx="231">
                  <c:v>44897</c:v>
                </c:pt>
                <c:pt idx="232">
                  <c:v>44900</c:v>
                </c:pt>
                <c:pt idx="233">
                  <c:v>44901</c:v>
                </c:pt>
                <c:pt idx="234">
                  <c:v>44902</c:v>
                </c:pt>
                <c:pt idx="235">
                  <c:v>44903</c:v>
                </c:pt>
                <c:pt idx="236">
                  <c:v>44904</c:v>
                </c:pt>
                <c:pt idx="237">
                  <c:v>44907</c:v>
                </c:pt>
                <c:pt idx="238">
                  <c:v>44908</c:v>
                </c:pt>
                <c:pt idx="239">
                  <c:v>44909</c:v>
                </c:pt>
                <c:pt idx="240">
                  <c:v>44910</c:v>
                </c:pt>
                <c:pt idx="241">
                  <c:v>44911</c:v>
                </c:pt>
                <c:pt idx="242">
                  <c:v>44914</c:v>
                </c:pt>
                <c:pt idx="243">
                  <c:v>44915</c:v>
                </c:pt>
                <c:pt idx="244">
                  <c:v>44916</c:v>
                </c:pt>
                <c:pt idx="245">
                  <c:v>44917</c:v>
                </c:pt>
                <c:pt idx="246">
                  <c:v>44918</c:v>
                </c:pt>
                <c:pt idx="247">
                  <c:v>44922</c:v>
                </c:pt>
                <c:pt idx="248">
                  <c:v>44923</c:v>
                </c:pt>
                <c:pt idx="249">
                  <c:v>44924</c:v>
                </c:pt>
                <c:pt idx="250">
                  <c:v>44925</c:v>
                </c:pt>
              </c:numCache>
            </c:numRef>
          </c:cat>
          <c:val>
            <c:numRef>
              <c:f>oilWtiChart!$B$3:$B$253</c:f>
              <c:numCache>
                <c:formatCode>_-* #,##0.0_-;\-* #,##0.0_-;_-* "-"??_-;_-@_-</c:formatCode>
                <c:ptCount val="251"/>
                <c:pt idx="0">
                  <c:v>75.989999999999995</c:v>
                </c:pt>
                <c:pt idx="1">
                  <c:v>77</c:v>
                </c:pt>
                <c:pt idx="2">
                  <c:v>77.83</c:v>
                </c:pt>
                <c:pt idx="3">
                  <c:v>79.47</c:v>
                </c:pt>
                <c:pt idx="4">
                  <c:v>79</c:v>
                </c:pt>
                <c:pt idx="5">
                  <c:v>78.11</c:v>
                </c:pt>
                <c:pt idx="6">
                  <c:v>81.17</c:v>
                </c:pt>
                <c:pt idx="7">
                  <c:v>82.51</c:v>
                </c:pt>
                <c:pt idx="8">
                  <c:v>81.97</c:v>
                </c:pt>
                <c:pt idx="9">
                  <c:v>83.82</c:v>
                </c:pt>
                <c:pt idx="10">
                  <c:v>85.42</c:v>
                </c:pt>
                <c:pt idx="11">
                  <c:v>86.84</c:v>
                </c:pt>
                <c:pt idx="12">
                  <c:v>86.29</c:v>
                </c:pt>
                <c:pt idx="13">
                  <c:v>85.16</c:v>
                </c:pt>
                <c:pt idx="14">
                  <c:v>84.48</c:v>
                </c:pt>
                <c:pt idx="15">
                  <c:v>86.61</c:v>
                </c:pt>
                <c:pt idx="16">
                  <c:v>88.33</c:v>
                </c:pt>
                <c:pt idx="17">
                  <c:v>87.61</c:v>
                </c:pt>
                <c:pt idx="18">
                  <c:v>87.67</c:v>
                </c:pt>
                <c:pt idx="19">
                  <c:v>89.16</c:v>
                </c:pt>
                <c:pt idx="20">
                  <c:v>88.22</c:v>
                </c:pt>
                <c:pt idx="21">
                  <c:v>88.16</c:v>
                </c:pt>
                <c:pt idx="22">
                  <c:v>90.17</c:v>
                </c:pt>
                <c:pt idx="23">
                  <c:v>92.27</c:v>
                </c:pt>
                <c:pt idx="24">
                  <c:v>91.25</c:v>
                </c:pt>
                <c:pt idx="25">
                  <c:v>89.32</c:v>
                </c:pt>
                <c:pt idx="26">
                  <c:v>89.57</c:v>
                </c:pt>
                <c:pt idx="27">
                  <c:v>89.83</c:v>
                </c:pt>
                <c:pt idx="28">
                  <c:v>93.1</c:v>
                </c:pt>
                <c:pt idx="29">
                  <c:v>95.52</c:v>
                </c:pt>
                <c:pt idx="30">
                  <c:v>92.07</c:v>
                </c:pt>
                <c:pt idx="31">
                  <c:v>93.83</c:v>
                </c:pt>
                <c:pt idx="32">
                  <c:v>91.78</c:v>
                </c:pt>
                <c:pt idx="33">
                  <c:v>91.26</c:v>
                </c:pt>
                <c:pt idx="34">
                  <c:v>92.11</c:v>
                </c:pt>
                <c:pt idx="35">
                  <c:v>92.14</c:v>
                </c:pt>
                <c:pt idx="36">
                  <c:v>92.77</c:v>
                </c:pt>
                <c:pt idx="37">
                  <c:v>91.68</c:v>
                </c:pt>
                <c:pt idx="38">
                  <c:v>96.13</c:v>
                </c:pt>
                <c:pt idx="39">
                  <c:v>103.66</c:v>
                </c:pt>
                <c:pt idx="40">
                  <c:v>110.74</c:v>
                </c:pt>
                <c:pt idx="41">
                  <c:v>107.69</c:v>
                </c:pt>
                <c:pt idx="42">
                  <c:v>115.77</c:v>
                </c:pt>
                <c:pt idx="43">
                  <c:v>119.26</c:v>
                </c:pt>
                <c:pt idx="44">
                  <c:v>123.64</c:v>
                </c:pt>
                <c:pt idx="45">
                  <c:v>108.81</c:v>
                </c:pt>
                <c:pt idx="46">
                  <c:v>105.93</c:v>
                </c:pt>
                <c:pt idx="47">
                  <c:v>109.31</c:v>
                </c:pt>
                <c:pt idx="48">
                  <c:v>103.22</c:v>
                </c:pt>
                <c:pt idx="49">
                  <c:v>96.42</c:v>
                </c:pt>
                <c:pt idx="50">
                  <c:v>94.85</c:v>
                </c:pt>
                <c:pt idx="51">
                  <c:v>102.97</c:v>
                </c:pt>
                <c:pt idx="52">
                  <c:v>104.69</c:v>
                </c:pt>
                <c:pt idx="53">
                  <c:v>112.14</c:v>
                </c:pt>
                <c:pt idx="54">
                  <c:v>111.03</c:v>
                </c:pt>
                <c:pt idx="55">
                  <c:v>114.89</c:v>
                </c:pt>
                <c:pt idx="56">
                  <c:v>114.2</c:v>
                </c:pt>
                <c:pt idx="57">
                  <c:v>116.2</c:v>
                </c:pt>
                <c:pt idx="58">
                  <c:v>107.55</c:v>
                </c:pt>
                <c:pt idx="59">
                  <c:v>104.25</c:v>
                </c:pt>
                <c:pt idx="60">
                  <c:v>107.81</c:v>
                </c:pt>
                <c:pt idx="61">
                  <c:v>100.53</c:v>
                </c:pt>
                <c:pt idx="62">
                  <c:v>99.32</c:v>
                </c:pt>
                <c:pt idx="63">
                  <c:v>103.29</c:v>
                </c:pt>
                <c:pt idx="64">
                  <c:v>101.98</c:v>
                </c:pt>
                <c:pt idx="65">
                  <c:v>96.39</c:v>
                </c:pt>
                <c:pt idx="66">
                  <c:v>96.05</c:v>
                </c:pt>
                <c:pt idx="67">
                  <c:v>98.35</c:v>
                </c:pt>
                <c:pt idx="68">
                  <c:v>94.22</c:v>
                </c:pt>
                <c:pt idx="69">
                  <c:v>100.52</c:v>
                </c:pt>
                <c:pt idx="70">
                  <c:v>104.26</c:v>
                </c:pt>
                <c:pt idx="71">
                  <c:v>106.84</c:v>
                </c:pt>
                <c:pt idx="72">
                  <c:v>108.24</c:v>
                </c:pt>
                <c:pt idx="73">
                  <c:v>102.54</c:v>
                </c:pt>
                <c:pt idx="74">
                  <c:v>102.56</c:v>
                </c:pt>
                <c:pt idx="75">
                  <c:v>103.89</c:v>
                </c:pt>
                <c:pt idx="76">
                  <c:v>102.86</c:v>
                </c:pt>
                <c:pt idx="77">
                  <c:v>99.6</c:v>
                </c:pt>
                <c:pt idx="78">
                  <c:v>102.62</c:v>
                </c:pt>
                <c:pt idx="79">
                  <c:v>101.96</c:v>
                </c:pt>
                <c:pt idx="80">
                  <c:v>105.47</c:v>
                </c:pt>
                <c:pt idx="81">
                  <c:v>104.59</c:v>
                </c:pt>
                <c:pt idx="82">
                  <c:v>105.18</c:v>
                </c:pt>
                <c:pt idx="83">
                  <c:v>102.53</c:v>
                </c:pt>
                <c:pt idx="84">
                  <c:v>107.84</c:v>
                </c:pt>
                <c:pt idx="85">
                  <c:v>108.17</c:v>
                </c:pt>
                <c:pt idx="86">
                  <c:v>109.72</c:v>
                </c:pt>
                <c:pt idx="87">
                  <c:v>103.08</c:v>
                </c:pt>
                <c:pt idx="88">
                  <c:v>99.74</c:v>
                </c:pt>
                <c:pt idx="89">
                  <c:v>105.5</c:v>
                </c:pt>
                <c:pt idx="90">
                  <c:v>106.15</c:v>
                </c:pt>
                <c:pt idx="91">
                  <c:v>110.52</c:v>
                </c:pt>
                <c:pt idx="92">
                  <c:v>114.07</c:v>
                </c:pt>
                <c:pt idx="93">
                  <c:v>112.31</c:v>
                </c:pt>
                <c:pt idx="94">
                  <c:v>109.67</c:v>
                </c:pt>
                <c:pt idx="95">
                  <c:v>112.21</c:v>
                </c:pt>
                <c:pt idx="96">
                  <c:v>112.63</c:v>
                </c:pt>
                <c:pt idx="97">
                  <c:v>110.32</c:v>
                </c:pt>
                <c:pt idx="98">
                  <c:v>112.55</c:v>
                </c:pt>
                <c:pt idx="99">
                  <c:v>112.88</c:v>
                </c:pt>
                <c:pt idx="100">
                  <c:v>116.19</c:v>
                </c:pt>
                <c:pt idx="101">
                  <c:v>114.96</c:v>
                </c:pt>
                <c:pt idx="102">
                  <c:v>114.38</c:v>
                </c:pt>
                <c:pt idx="103">
                  <c:v>115.26</c:v>
                </c:pt>
                <c:pt idx="104">
                  <c:v>116.88</c:v>
                </c:pt>
                <c:pt idx="105">
                  <c:v>118.97</c:v>
                </c:pt>
                <c:pt idx="106">
                  <c:v>118.41</c:v>
                </c:pt>
                <c:pt idx="107">
                  <c:v>119.55</c:v>
                </c:pt>
                <c:pt idx="108">
                  <c:v>121.94</c:v>
                </c:pt>
                <c:pt idx="109">
                  <c:v>121.52</c:v>
                </c:pt>
                <c:pt idx="110">
                  <c:v>120.73</c:v>
                </c:pt>
                <c:pt idx="111">
                  <c:v>120.92</c:v>
                </c:pt>
                <c:pt idx="112">
                  <c:v>118.92</c:v>
                </c:pt>
                <c:pt idx="113">
                  <c:v>115.32</c:v>
                </c:pt>
                <c:pt idx="114">
                  <c:v>117.56</c:v>
                </c:pt>
                <c:pt idx="115">
                  <c:v>109.56</c:v>
                </c:pt>
                <c:pt idx="116">
                  <c:v>110.49</c:v>
                </c:pt>
                <c:pt idx="117">
                  <c:v>106.22</c:v>
                </c:pt>
                <c:pt idx="118">
                  <c:v>105.75</c:v>
                </c:pt>
                <c:pt idx="119">
                  <c:v>109.07</c:v>
                </c:pt>
                <c:pt idx="120">
                  <c:v>111.44</c:v>
                </c:pt>
                <c:pt idx="121">
                  <c:v>113.66</c:v>
                </c:pt>
                <c:pt idx="122">
                  <c:v>111.65</c:v>
                </c:pt>
                <c:pt idx="123">
                  <c:v>107.76</c:v>
                </c:pt>
                <c:pt idx="124">
                  <c:v>110.3</c:v>
                </c:pt>
                <c:pt idx="125">
                  <c:v>101.55</c:v>
                </c:pt>
                <c:pt idx="126">
                  <c:v>100.31</c:v>
                </c:pt>
                <c:pt idx="127">
                  <c:v>104.62</c:v>
                </c:pt>
                <c:pt idx="128">
                  <c:v>106.78</c:v>
                </c:pt>
                <c:pt idx="129">
                  <c:v>106.09</c:v>
                </c:pt>
                <c:pt idx="130">
                  <c:v>97.69</c:v>
                </c:pt>
                <c:pt idx="131">
                  <c:v>98.44</c:v>
                </c:pt>
                <c:pt idx="132">
                  <c:v>97.79</c:v>
                </c:pt>
                <c:pt idx="133">
                  <c:v>99.59</c:v>
                </c:pt>
                <c:pt idx="134">
                  <c:v>104.48</c:v>
                </c:pt>
                <c:pt idx="135">
                  <c:v>106.12</c:v>
                </c:pt>
                <c:pt idx="136">
                  <c:v>104.45</c:v>
                </c:pt>
                <c:pt idx="137">
                  <c:v>98.44</c:v>
                </c:pt>
                <c:pt idx="138">
                  <c:v>97.71</c:v>
                </c:pt>
                <c:pt idx="139">
                  <c:v>99.83</c:v>
                </c:pt>
                <c:pt idx="140">
                  <c:v>97.74</c:v>
                </c:pt>
                <c:pt idx="141">
                  <c:v>100.03</c:v>
                </c:pt>
                <c:pt idx="142">
                  <c:v>99.11</c:v>
                </c:pt>
                <c:pt idx="143">
                  <c:v>101.31</c:v>
                </c:pt>
                <c:pt idx="144">
                  <c:v>96.59</c:v>
                </c:pt>
                <c:pt idx="145">
                  <c:v>97.14</c:v>
                </c:pt>
                <c:pt idx="146">
                  <c:v>93.25</c:v>
                </c:pt>
                <c:pt idx="147">
                  <c:v>91.29</c:v>
                </c:pt>
                <c:pt idx="148">
                  <c:v>91.77</c:v>
                </c:pt>
                <c:pt idx="149">
                  <c:v>93.52</c:v>
                </c:pt>
                <c:pt idx="150">
                  <c:v>93.18</c:v>
                </c:pt>
                <c:pt idx="151">
                  <c:v>94.68</c:v>
                </c:pt>
                <c:pt idx="152">
                  <c:v>97.02</c:v>
                </c:pt>
                <c:pt idx="153">
                  <c:v>94.86</c:v>
                </c:pt>
                <c:pt idx="154">
                  <c:v>92.24</c:v>
                </c:pt>
                <c:pt idx="155">
                  <c:v>89.23</c:v>
                </c:pt>
                <c:pt idx="156">
                  <c:v>90.85</c:v>
                </c:pt>
                <c:pt idx="157">
                  <c:v>93.2</c:v>
                </c:pt>
                <c:pt idx="158">
                  <c:v>93.55</c:v>
                </c:pt>
                <c:pt idx="159">
                  <c:v>93.42</c:v>
                </c:pt>
                <c:pt idx="160">
                  <c:v>96.46</c:v>
                </c:pt>
                <c:pt idx="161">
                  <c:v>95.52</c:v>
                </c:pt>
                <c:pt idx="162">
                  <c:v>93.33</c:v>
                </c:pt>
                <c:pt idx="163">
                  <c:v>93.63</c:v>
                </c:pt>
                <c:pt idx="164">
                  <c:v>97.4</c:v>
                </c:pt>
                <c:pt idx="165">
                  <c:v>92.08</c:v>
                </c:pt>
                <c:pt idx="166">
                  <c:v>90.09</c:v>
                </c:pt>
                <c:pt idx="167">
                  <c:v>87.09</c:v>
                </c:pt>
                <c:pt idx="168">
                  <c:v>87.29</c:v>
                </c:pt>
                <c:pt idx="169">
                  <c:v>87.35</c:v>
                </c:pt>
                <c:pt idx="170">
                  <c:v>82.5</c:v>
                </c:pt>
                <c:pt idx="171">
                  <c:v>84.04</c:v>
                </c:pt>
                <c:pt idx="172">
                  <c:v>87.27</c:v>
                </c:pt>
                <c:pt idx="173">
                  <c:v>88.18</c:v>
                </c:pt>
                <c:pt idx="174">
                  <c:v>87.84</c:v>
                </c:pt>
                <c:pt idx="175">
                  <c:v>88.88</c:v>
                </c:pt>
                <c:pt idx="176">
                  <c:v>85.72</c:v>
                </c:pt>
                <c:pt idx="177">
                  <c:v>85.57</c:v>
                </c:pt>
                <c:pt idx="178">
                  <c:v>86.15</c:v>
                </c:pt>
                <c:pt idx="179">
                  <c:v>84.69</c:v>
                </c:pt>
                <c:pt idx="180">
                  <c:v>83.38</c:v>
                </c:pt>
                <c:pt idx="181">
                  <c:v>84.02</c:v>
                </c:pt>
                <c:pt idx="182">
                  <c:v>79.069999999999993</c:v>
                </c:pt>
                <c:pt idx="183">
                  <c:v>77.17</c:v>
                </c:pt>
                <c:pt idx="184">
                  <c:v>78.91</c:v>
                </c:pt>
                <c:pt idx="185">
                  <c:v>82.61</c:v>
                </c:pt>
                <c:pt idx="186">
                  <c:v>81.78</c:v>
                </c:pt>
                <c:pt idx="187">
                  <c:v>79.91</c:v>
                </c:pt>
                <c:pt idx="188">
                  <c:v>84.05</c:v>
                </c:pt>
                <c:pt idx="189">
                  <c:v>86.87</c:v>
                </c:pt>
                <c:pt idx="190">
                  <c:v>88.22</c:v>
                </c:pt>
                <c:pt idx="191">
                  <c:v>88.9</c:v>
                </c:pt>
                <c:pt idx="192">
                  <c:v>93.07</c:v>
                </c:pt>
                <c:pt idx="193">
                  <c:v>91.6</c:v>
                </c:pt>
                <c:pt idx="194">
                  <c:v>89.75</c:v>
                </c:pt>
                <c:pt idx="195">
                  <c:v>87.83</c:v>
                </c:pt>
                <c:pt idx="196">
                  <c:v>89.59</c:v>
                </c:pt>
                <c:pt idx="197">
                  <c:v>86.1</c:v>
                </c:pt>
                <c:pt idx="198">
                  <c:v>86</c:v>
                </c:pt>
                <c:pt idx="199">
                  <c:v>83.29</c:v>
                </c:pt>
                <c:pt idx="200">
                  <c:v>86</c:v>
                </c:pt>
                <c:pt idx="201">
                  <c:v>86.02</c:v>
                </c:pt>
                <c:pt idx="202">
                  <c:v>85.47</c:v>
                </c:pt>
                <c:pt idx="203">
                  <c:v>86.12</c:v>
                </c:pt>
                <c:pt idx="204">
                  <c:v>86.93</c:v>
                </c:pt>
                <c:pt idx="205">
                  <c:v>89.39</c:v>
                </c:pt>
                <c:pt idx="206">
                  <c:v>89.06</c:v>
                </c:pt>
                <c:pt idx="207">
                  <c:v>87.85</c:v>
                </c:pt>
                <c:pt idx="208">
                  <c:v>86.54</c:v>
                </c:pt>
                <c:pt idx="209">
                  <c:v>88.36</c:v>
                </c:pt>
                <c:pt idx="210">
                  <c:v>90.06</c:v>
                </c:pt>
                <c:pt idx="211">
                  <c:v>88.14</c:v>
                </c:pt>
                <c:pt idx="212">
                  <c:v>92.58</c:v>
                </c:pt>
                <c:pt idx="213">
                  <c:v>91.8</c:v>
                </c:pt>
                <c:pt idx="214">
                  <c:v>88.8</c:v>
                </c:pt>
                <c:pt idx="215">
                  <c:v>85.79</c:v>
                </c:pt>
                <c:pt idx="216">
                  <c:v>86.52</c:v>
                </c:pt>
                <c:pt idx="217">
                  <c:v>89.14</c:v>
                </c:pt>
                <c:pt idx="218">
                  <c:v>85.85</c:v>
                </c:pt>
                <c:pt idx="219">
                  <c:v>86.87</c:v>
                </c:pt>
                <c:pt idx="220">
                  <c:v>85.62</c:v>
                </c:pt>
                <c:pt idx="221">
                  <c:v>81.69</c:v>
                </c:pt>
                <c:pt idx="222">
                  <c:v>80.069999999999993</c:v>
                </c:pt>
                <c:pt idx="223">
                  <c:v>79.739999999999995</c:v>
                </c:pt>
                <c:pt idx="224">
                  <c:v>80.83</c:v>
                </c:pt>
                <c:pt idx="225">
                  <c:v>77.930000000000007</c:v>
                </c:pt>
                <c:pt idx="226">
                  <c:v>76.45</c:v>
                </c:pt>
                <c:pt idx="227">
                  <c:v>77.099999999999994</c:v>
                </c:pt>
                <c:pt idx="228">
                  <c:v>77.959999999999994</c:v>
                </c:pt>
                <c:pt idx="229">
                  <c:v>80.48</c:v>
                </c:pt>
                <c:pt idx="230">
                  <c:v>81.06</c:v>
                </c:pt>
                <c:pt idx="231">
                  <c:v>79.86</c:v>
                </c:pt>
                <c:pt idx="232">
                  <c:v>76.83</c:v>
                </c:pt>
                <c:pt idx="233">
                  <c:v>74.209999999999994</c:v>
                </c:pt>
                <c:pt idx="234">
                  <c:v>71.930000000000007</c:v>
                </c:pt>
                <c:pt idx="235">
                  <c:v>71.3</c:v>
                </c:pt>
                <c:pt idx="236">
                  <c:v>71.05</c:v>
                </c:pt>
                <c:pt idx="237">
                  <c:v>72.959999999999994</c:v>
                </c:pt>
                <c:pt idx="238">
                  <c:v>75.44</c:v>
                </c:pt>
                <c:pt idx="239">
                  <c:v>77.14</c:v>
                </c:pt>
                <c:pt idx="240">
                  <c:v>75.89</c:v>
                </c:pt>
                <c:pt idx="241">
                  <c:v>74.19</c:v>
                </c:pt>
                <c:pt idx="242">
                  <c:v>75.05</c:v>
                </c:pt>
                <c:pt idx="243">
                  <c:v>75.92</c:v>
                </c:pt>
                <c:pt idx="244">
                  <c:v>78.17</c:v>
                </c:pt>
                <c:pt idx="245">
                  <c:v>77.680000000000007</c:v>
                </c:pt>
                <c:pt idx="246">
                  <c:v>79.569999999999993</c:v>
                </c:pt>
                <c:pt idx="247">
                  <c:v>79.45</c:v>
                </c:pt>
                <c:pt idx="248">
                  <c:v>78.89</c:v>
                </c:pt>
                <c:pt idx="249">
                  <c:v>78.430000000000007</c:v>
                </c:pt>
                <c:pt idx="250">
                  <c:v>80.16</c:v>
                </c:pt>
              </c:numCache>
            </c:numRef>
          </c:val>
          <c:smooth val="0"/>
          <c:extLst>
            <c:ext xmlns:c16="http://schemas.microsoft.com/office/drawing/2014/chart" uri="{C3380CC4-5D6E-409C-BE32-E72D297353CC}">
              <c16:uniqueId val="{00000002-7EDA-4C41-9F8C-C1F9DD03AF5B}"/>
            </c:ext>
          </c:extLst>
        </c:ser>
        <c:ser>
          <c:idx val="0"/>
          <c:order val="3"/>
          <c:tx>
            <c:strRef>
              <c:f>oilWtiChart!$B$2</c:f>
              <c:strCache>
                <c:ptCount val="1"/>
                <c:pt idx="0">
                  <c:v>Tipo de cambio </c:v>
                </c:pt>
              </c:strCache>
            </c:strRef>
          </c:tx>
          <c:spPr>
            <a:ln w="15875" cap="rnd">
              <a:solidFill>
                <a:srgbClr val="002060"/>
              </a:solidFill>
              <a:round/>
            </a:ln>
            <a:effectLst/>
          </c:spPr>
          <c:marker>
            <c:symbol val="none"/>
          </c:marker>
          <c:dLbls>
            <c:dLbl>
              <c:idx val="1"/>
              <c:layout>
                <c:manualLayout>
                  <c:x val="-6.5866854857680568E-2"/>
                  <c:y val="7.05716302046577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EDA-4C41-9F8C-C1F9DD03AF5B}"/>
                </c:ext>
              </c:extLst>
            </c:dLbl>
            <c:dLbl>
              <c:idx val="44"/>
              <c:layout>
                <c:manualLayout>
                  <c:x val="-2.8228652081863093E-2"/>
                  <c:y val="-1.4114326040931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EDA-4C41-9F8C-C1F9DD03AF5B}"/>
                </c:ext>
              </c:extLst>
            </c:dLbl>
            <c:dLbl>
              <c:idx val="250"/>
              <c:layout>
                <c:manualLayout>
                  <c:x val="0"/>
                  <c:y val="-5.64573041637262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EDA-4C41-9F8C-C1F9DD03AF5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ext>
            </c:extLst>
          </c:dLbls>
          <c:cat>
            <c:numRef>
              <c:f>oilWtiChart!$A$3:$A$253</c:f>
              <c:numCache>
                <c:formatCode>mmm\-yy</c:formatCode>
                <c:ptCount val="251"/>
                <c:pt idx="0">
                  <c:v>44564</c:v>
                </c:pt>
                <c:pt idx="1">
                  <c:v>44565</c:v>
                </c:pt>
                <c:pt idx="2">
                  <c:v>44566</c:v>
                </c:pt>
                <c:pt idx="3">
                  <c:v>44567</c:v>
                </c:pt>
                <c:pt idx="4">
                  <c:v>44568</c:v>
                </c:pt>
                <c:pt idx="5">
                  <c:v>44571</c:v>
                </c:pt>
                <c:pt idx="6">
                  <c:v>44572</c:v>
                </c:pt>
                <c:pt idx="7">
                  <c:v>44573</c:v>
                </c:pt>
                <c:pt idx="8">
                  <c:v>44574</c:v>
                </c:pt>
                <c:pt idx="9">
                  <c:v>44575</c:v>
                </c:pt>
                <c:pt idx="10">
                  <c:v>44579</c:v>
                </c:pt>
                <c:pt idx="11">
                  <c:v>44580</c:v>
                </c:pt>
                <c:pt idx="12">
                  <c:v>44581</c:v>
                </c:pt>
                <c:pt idx="13">
                  <c:v>44582</c:v>
                </c:pt>
                <c:pt idx="14">
                  <c:v>44585</c:v>
                </c:pt>
                <c:pt idx="15">
                  <c:v>44586</c:v>
                </c:pt>
                <c:pt idx="16">
                  <c:v>44587</c:v>
                </c:pt>
                <c:pt idx="17">
                  <c:v>44588</c:v>
                </c:pt>
                <c:pt idx="18">
                  <c:v>44589</c:v>
                </c:pt>
                <c:pt idx="19">
                  <c:v>44592</c:v>
                </c:pt>
                <c:pt idx="20">
                  <c:v>44593</c:v>
                </c:pt>
                <c:pt idx="21">
                  <c:v>44594</c:v>
                </c:pt>
                <c:pt idx="22">
                  <c:v>44595</c:v>
                </c:pt>
                <c:pt idx="23">
                  <c:v>44596</c:v>
                </c:pt>
                <c:pt idx="24">
                  <c:v>44599</c:v>
                </c:pt>
                <c:pt idx="25">
                  <c:v>44600</c:v>
                </c:pt>
                <c:pt idx="26">
                  <c:v>44601</c:v>
                </c:pt>
                <c:pt idx="27">
                  <c:v>44602</c:v>
                </c:pt>
                <c:pt idx="28">
                  <c:v>44603</c:v>
                </c:pt>
                <c:pt idx="29">
                  <c:v>44606</c:v>
                </c:pt>
                <c:pt idx="30">
                  <c:v>44607</c:v>
                </c:pt>
                <c:pt idx="31">
                  <c:v>44608</c:v>
                </c:pt>
                <c:pt idx="32">
                  <c:v>44609</c:v>
                </c:pt>
                <c:pt idx="33">
                  <c:v>44610</c:v>
                </c:pt>
                <c:pt idx="34">
                  <c:v>44614</c:v>
                </c:pt>
                <c:pt idx="35">
                  <c:v>44615</c:v>
                </c:pt>
                <c:pt idx="36">
                  <c:v>44616</c:v>
                </c:pt>
                <c:pt idx="37">
                  <c:v>44617</c:v>
                </c:pt>
                <c:pt idx="38">
                  <c:v>44620</c:v>
                </c:pt>
                <c:pt idx="39">
                  <c:v>44621</c:v>
                </c:pt>
                <c:pt idx="40">
                  <c:v>44622</c:v>
                </c:pt>
                <c:pt idx="41">
                  <c:v>44623</c:v>
                </c:pt>
                <c:pt idx="42">
                  <c:v>44624</c:v>
                </c:pt>
                <c:pt idx="43">
                  <c:v>44627</c:v>
                </c:pt>
                <c:pt idx="44">
                  <c:v>44628</c:v>
                </c:pt>
                <c:pt idx="45">
                  <c:v>44629</c:v>
                </c:pt>
                <c:pt idx="46">
                  <c:v>44630</c:v>
                </c:pt>
                <c:pt idx="47">
                  <c:v>44631</c:v>
                </c:pt>
                <c:pt idx="48">
                  <c:v>44634</c:v>
                </c:pt>
                <c:pt idx="49">
                  <c:v>44635</c:v>
                </c:pt>
                <c:pt idx="50">
                  <c:v>44636</c:v>
                </c:pt>
                <c:pt idx="51">
                  <c:v>44637</c:v>
                </c:pt>
                <c:pt idx="52">
                  <c:v>44638</c:v>
                </c:pt>
                <c:pt idx="53">
                  <c:v>44641</c:v>
                </c:pt>
                <c:pt idx="54">
                  <c:v>44642</c:v>
                </c:pt>
                <c:pt idx="55">
                  <c:v>44643</c:v>
                </c:pt>
                <c:pt idx="56">
                  <c:v>44644</c:v>
                </c:pt>
                <c:pt idx="57">
                  <c:v>44645</c:v>
                </c:pt>
                <c:pt idx="58">
                  <c:v>44648</c:v>
                </c:pt>
                <c:pt idx="59">
                  <c:v>44649</c:v>
                </c:pt>
                <c:pt idx="60">
                  <c:v>44650</c:v>
                </c:pt>
                <c:pt idx="61">
                  <c:v>44651</c:v>
                </c:pt>
                <c:pt idx="62">
                  <c:v>44652</c:v>
                </c:pt>
                <c:pt idx="63">
                  <c:v>44655</c:v>
                </c:pt>
                <c:pt idx="64">
                  <c:v>44656</c:v>
                </c:pt>
                <c:pt idx="65">
                  <c:v>44657</c:v>
                </c:pt>
                <c:pt idx="66">
                  <c:v>44658</c:v>
                </c:pt>
                <c:pt idx="67">
                  <c:v>44659</c:v>
                </c:pt>
                <c:pt idx="68">
                  <c:v>44662</c:v>
                </c:pt>
                <c:pt idx="69">
                  <c:v>44663</c:v>
                </c:pt>
                <c:pt idx="70">
                  <c:v>44664</c:v>
                </c:pt>
                <c:pt idx="71">
                  <c:v>44665</c:v>
                </c:pt>
                <c:pt idx="72">
                  <c:v>44669</c:v>
                </c:pt>
                <c:pt idx="73">
                  <c:v>44670</c:v>
                </c:pt>
                <c:pt idx="74">
                  <c:v>44671</c:v>
                </c:pt>
                <c:pt idx="75">
                  <c:v>44672</c:v>
                </c:pt>
                <c:pt idx="76">
                  <c:v>44673</c:v>
                </c:pt>
                <c:pt idx="77">
                  <c:v>44676</c:v>
                </c:pt>
                <c:pt idx="78">
                  <c:v>44677</c:v>
                </c:pt>
                <c:pt idx="79">
                  <c:v>44678</c:v>
                </c:pt>
                <c:pt idx="80">
                  <c:v>44679</c:v>
                </c:pt>
                <c:pt idx="81">
                  <c:v>44680</c:v>
                </c:pt>
                <c:pt idx="82">
                  <c:v>44683</c:v>
                </c:pt>
                <c:pt idx="83">
                  <c:v>44684</c:v>
                </c:pt>
                <c:pt idx="84">
                  <c:v>44685</c:v>
                </c:pt>
                <c:pt idx="85">
                  <c:v>44686</c:v>
                </c:pt>
                <c:pt idx="86">
                  <c:v>44687</c:v>
                </c:pt>
                <c:pt idx="87">
                  <c:v>44690</c:v>
                </c:pt>
                <c:pt idx="88">
                  <c:v>44691</c:v>
                </c:pt>
                <c:pt idx="89">
                  <c:v>44692</c:v>
                </c:pt>
                <c:pt idx="90">
                  <c:v>44693</c:v>
                </c:pt>
                <c:pt idx="91">
                  <c:v>44694</c:v>
                </c:pt>
                <c:pt idx="92">
                  <c:v>44697</c:v>
                </c:pt>
                <c:pt idx="93">
                  <c:v>44698</c:v>
                </c:pt>
                <c:pt idx="94">
                  <c:v>44699</c:v>
                </c:pt>
                <c:pt idx="95">
                  <c:v>44700</c:v>
                </c:pt>
                <c:pt idx="96">
                  <c:v>44701</c:v>
                </c:pt>
                <c:pt idx="97">
                  <c:v>44704</c:v>
                </c:pt>
                <c:pt idx="98">
                  <c:v>44705</c:v>
                </c:pt>
                <c:pt idx="99">
                  <c:v>44706</c:v>
                </c:pt>
                <c:pt idx="100">
                  <c:v>44707</c:v>
                </c:pt>
                <c:pt idx="101">
                  <c:v>44708</c:v>
                </c:pt>
                <c:pt idx="102">
                  <c:v>44712</c:v>
                </c:pt>
                <c:pt idx="103">
                  <c:v>44713</c:v>
                </c:pt>
                <c:pt idx="104">
                  <c:v>44714</c:v>
                </c:pt>
                <c:pt idx="105">
                  <c:v>44715</c:v>
                </c:pt>
                <c:pt idx="106">
                  <c:v>44718</c:v>
                </c:pt>
                <c:pt idx="107">
                  <c:v>44719</c:v>
                </c:pt>
                <c:pt idx="108">
                  <c:v>44720</c:v>
                </c:pt>
                <c:pt idx="109">
                  <c:v>44721</c:v>
                </c:pt>
                <c:pt idx="110">
                  <c:v>44722</c:v>
                </c:pt>
                <c:pt idx="111">
                  <c:v>44725</c:v>
                </c:pt>
                <c:pt idx="112">
                  <c:v>44726</c:v>
                </c:pt>
                <c:pt idx="113">
                  <c:v>44727</c:v>
                </c:pt>
                <c:pt idx="114">
                  <c:v>44728</c:v>
                </c:pt>
                <c:pt idx="115">
                  <c:v>44729</c:v>
                </c:pt>
                <c:pt idx="116">
                  <c:v>44733</c:v>
                </c:pt>
                <c:pt idx="117">
                  <c:v>44734</c:v>
                </c:pt>
                <c:pt idx="118">
                  <c:v>44735</c:v>
                </c:pt>
                <c:pt idx="119">
                  <c:v>44736</c:v>
                </c:pt>
                <c:pt idx="120">
                  <c:v>44739</c:v>
                </c:pt>
                <c:pt idx="121">
                  <c:v>44740</c:v>
                </c:pt>
                <c:pt idx="122">
                  <c:v>44741</c:v>
                </c:pt>
                <c:pt idx="123">
                  <c:v>44742</c:v>
                </c:pt>
                <c:pt idx="124">
                  <c:v>44743</c:v>
                </c:pt>
                <c:pt idx="125">
                  <c:v>44747</c:v>
                </c:pt>
                <c:pt idx="126">
                  <c:v>44748</c:v>
                </c:pt>
                <c:pt idx="127">
                  <c:v>44749</c:v>
                </c:pt>
                <c:pt idx="128">
                  <c:v>44750</c:v>
                </c:pt>
                <c:pt idx="129">
                  <c:v>44753</c:v>
                </c:pt>
                <c:pt idx="130">
                  <c:v>44754</c:v>
                </c:pt>
                <c:pt idx="131">
                  <c:v>44755</c:v>
                </c:pt>
                <c:pt idx="132">
                  <c:v>44756</c:v>
                </c:pt>
                <c:pt idx="133">
                  <c:v>44757</c:v>
                </c:pt>
                <c:pt idx="134">
                  <c:v>44760</c:v>
                </c:pt>
                <c:pt idx="135">
                  <c:v>44761</c:v>
                </c:pt>
                <c:pt idx="136">
                  <c:v>44762</c:v>
                </c:pt>
                <c:pt idx="137">
                  <c:v>44763</c:v>
                </c:pt>
                <c:pt idx="138">
                  <c:v>44764</c:v>
                </c:pt>
                <c:pt idx="139">
                  <c:v>44767</c:v>
                </c:pt>
                <c:pt idx="140">
                  <c:v>44768</c:v>
                </c:pt>
                <c:pt idx="141">
                  <c:v>44769</c:v>
                </c:pt>
                <c:pt idx="142">
                  <c:v>44770</c:v>
                </c:pt>
                <c:pt idx="143">
                  <c:v>44771</c:v>
                </c:pt>
                <c:pt idx="144">
                  <c:v>44774</c:v>
                </c:pt>
                <c:pt idx="145">
                  <c:v>44775</c:v>
                </c:pt>
                <c:pt idx="146">
                  <c:v>44776</c:v>
                </c:pt>
                <c:pt idx="147">
                  <c:v>44777</c:v>
                </c:pt>
                <c:pt idx="148">
                  <c:v>44778</c:v>
                </c:pt>
                <c:pt idx="149">
                  <c:v>44781</c:v>
                </c:pt>
                <c:pt idx="150">
                  <c:v>44782</c:v>
                </c:pt>
                <c:pt idx="151">
                  <c:v>44783</c:v>
                </c:pt>
                <c:pt idx="152">
                  <c:v>44784</c:v>
                </c:pt>
                <c:pt idx="153">
                  <c:v>44785</c:v>
                </c:pt>
                <c:pt idx="154">
                  <c:v>44788</c:v>
                </c:pt>
                <c:pt idx="155">
                  <c:v>44789</c:v>
                </c:pt>
                <c:pt idx="156">
                  <c:v>44790</c:v>
                </c:pt>
                <c:pt idx="157">
                  <c:v>44791</c:v>
                </c:pt>
                <c:pt idx="158">
                  <c:v>44792</c:v>
                </c:pt>
                <c:pt idx="159">
                  <c:v>44795</c:v>
                </c:pt>
                <c:pt idx="160">
                  <c:v>44796</c:v>
                </c:pt>
                <c:pt idx="161">
                  <c:v>44797</c:v>
                </c:pt>
                <c:pt idx="162">
                  <c:v>44798</c:v>
                </c:pt>
                <c:pt idx="163">
                  <c:v>44799</c:v>
                </c:pt>
                <c:pt idx="164">
                  <c:v>44802</c:v>
                </c:pt>
                <c:pt idx="165">
                  <c:v>44803</c:v>
                </c:pt>
                <c:pt idx="166">
                  <c:v>44804</c:v>
                </c:pt>
                <c:pt idx="167">
                  <c:v>44805</c:v>
                </c:pt>
                <c:pt idx="168">
                  <c:v>44806</c:v>
                </c:pt>
                <c:pt idx="169">
                  <c:v>44810</c:v>
                </c:pt>
                <c:pt idx="170">
                  <c:v>44811</c:v>
                </c:pt>
                <c:pt idx="171">
                  <c:v>44812</c:v>
                </c:pt>
                <c:pt idx="172">
                  <c:v>44813</c:v>
                </c:pt>
                <c:pt idx="173">
                  <c:v>44816</c:v>
                </c:pt>
                <c:pt idx="174">
                  <c:v>44817</c:v>
                </c:pt>
                <c:pt idx="175">
                  <c:v>44818</c:v>
                </c:pt>
                <c:pt idx="176">
                  <c:v>44819</c:v>
                </c:pt>
                <c:pt idx="177">
                  <c:v>44820</c:v>
                </c:pt>
                <c:pt idx="178">
                  <c:v>44823</c:v>
                </c:pt>
                <c:pt idx="179">
                  <c:v>44824</c:v>
                </c:pt>
                <c:pt idx="180">
                  <c:v>44825</c:v>
                </c:pt>
                <c:pt idx="181">
                  <c:v>44826</c:v>
                </c:pt>
                <c:pt idx="182">
                  <c:v>44827</c:v>
                </c:pt>
                <c:pt idx="183">
                  <c:v>44830</c:v>
                </c:pt>
                <c:pt idx="184">
                  <c:v>44831</c:v>
                </c:pt>
                <c:pt idx="185">
                  <c:v>44832</c:v>
                </c:pt>
                <c:pt idx="186">
                  <c:v>44833</c:v>
                </c:pt>
                <c:pt idx="187">
                  <c:v>44834</c:v>
                </c:pt>
                <c:pt idx="188">
                  <c:v>44837</c:v>
                </c:pt>
                <c:pt idx="189">
                  <c:v>44838</c:v>
                </c:pt>
                <c:pt idx="190">
                  <c:v>44839</c:v>
                </c:pt>
                <c:pt idx="191">
                  <c:v>44840</c:v>
                </c:pt>
                <c:pt idx="192">
                  <c:v>44841</c:v>
                </c:pt>
                <c:pt idx="193">
                  <c:v>44844</c:v>
                </c:pt>
                <c:pt idx="194">
                  <c:v>44845</c:v>
                </c:pt>
                <c:pt idx="195">
                  <c:v>44846</c:v>
                </c:pt>
                <c:pt idx="196">
                  <c:v>44847</c:v>
                </c:pt>
                <c:pt idx="197">
                  <c:v>44848</c:v>
                </c:pt>
                <c:pt idx="198">
                  <c:v>44851</c:v>
                </c:pt>
                <c:pt idx="199">
                  <c:v>44852</c:v>
                </c:pt>
                <c:pt idx="200">
                  <c:v>44853</c:v>
                </c:pt>
                <c:pt idx="201">
                  <c:v>44854</c:v>
                </c:pt>
                <c:pt idx="202">
                  <c:v>44855</c:v>
                </c:pt>
                <c:pt idx="203">
                  <c:v>44858</c:v>
                </c:pt>
                <c:pt idx="204">
                  <c:v>44859</c:v>
                </c:pt>
                <c:pt idx="205">
                  <c:v>44860</c:v>
                </c:pt>
                <c:pt idx="206">
                  <c:v>44861</c:v>
                </c:pt>
                <c:pt idx="207">
                  <c:v>44862</c:v>
                </c:pt>
                <c:pt idx="208">
                  <c:v>44865</c:v>
                </c:pt>
                <c:pt idx="209">
                  <c:v>44866</c:v>
                </c:pt>
                <c:pt idx="210">
                  <c:v>44867</c:v>
                </c:pt>
                <c:pt idx="211">
                  <c:v>44868</c:v>
                </c:pt>
                <c:pt idx="212">
                  <c:v>44869</c:v>
                </c:pt>
                <c:pt idx="213">
                  <c:v>44872</c:v>
                </c:pt>
                <c:pt idx="214">
                  <c:v>44873</c:v>
                </c:pt>
                <c:pt idx="215">
                  <c:v>44874</c:v>
                </c:pt>
                <c:pt idx="216">
                  <c:v>44875</c:v>
                </c:pt>
                <c:pt idx="217">
                  <c:v>44876</c:v>
                </c:pt>
                <c:pt idx="218">
                  <c:v>44879</c:v>
                </c:pt>
                <c:pt idx="219">
                  <c:v>44880</c:v>
                </c:pt>
                <c:pt idx="220">
                  <c:v>44881</c:v>
                </c:pt>
                <c:pt idx="221">
                  <c:v>44882</c:v>
                </c:pt>
                <c:pt idx="222">
                  <c:v>44883</c:v>
                </c:pt>
                <c:pt idx="223">
                  <c:v>44886</c:v>
                </c:pt>
                <c:pt idx="224">
                  <c:v>44887</c:v>
                </c:pt>
                <c:pt idx="225">
                  <c:v>44888</c:v>
                </c:pt>
                <c:pt idx="226">
                  <c:v>44890</c:v>
                </c:pt>
                <c:pt idx="227">
                  <c:v>44893</c:v>
                </c:pt>
                <c:pt idx="228">
                  <c:v>44894</c:v>
                </c:pt>
                <c:pt idx="229">
                  <c:v>44895</c:v>
                </c:pt>
                <c:pt idx="230">
                  <c:v>44896</c:v>
                </c:pt>
                <c:pt idx="231">
                  <c:v>44897</c:v>
                </c:pt>
                <c:pt idx="232">
                  <c:v>44900</c:v>
                </c:pt>
                <c:pt idx="233">
                  <c:v>44901</c:v>
                </c:pt>
                <c:pt idx="234">
                  <c:v>44902</c:v>
                </c:pt>
                <c:pt idx="235">
                  <c:v>44903</c:v>
                </c:pt>
                <c:pt idx="236">
                  <c:v>44904</c:v>
                </c:pt>
                <c:pt idx="237">
                  <c:v>44907</c:v>
                </c:pt>
                <c:pt idx="238">
                  <c:v>44908</c:v>
                </c:pt>
                <c:pt idx="239">
                  <c:v>44909</c:v>
                </c:pt>
                <c:pt idx="240">
                  <c:v>44910</c:v>
                </c:pt>
                <c:pt idx="241">
                  <c:v>44911</c:v>
                </c:pt>
                <c:pt idx="242">
                  <c:v>44914</c:v>
                </c:pt>
                <c:pt idx="243">
                  <c:v>44915</c:v>
                </c:pt>
                <c:pt idx="244">
                  <c:v>44916</c:v>
                </c:pt>
                <c:pt idx="245">
                  <c:v>44917</c:v>
                </c:pt>
                <c:pt idx="246">
                  <c:v>44918</c:v>
                </c:pt>
                <c:pt idx="247">
                  <c:v>44922</c:v>
                </c:pt>
                <c:pt idx="248">
                  <c:v>44923</c:v>
                </c:pt>
                <c:pt idx="249">
                  <c:v>44924</c:v>
                </c:pt>
                <c:pt idx="250">
                  <c:v>44925</c:v>
                </c:pt>
              </c:numCache>
            </c:numRef>
          </c:cat>
          <c:val>
            <c:numRef>
              <c:f>oilWtiChart!$B$3:$B$253</c:f>
              <c:numCache>
                <c:formatCode>_-* #,##0.0_-;\-* #,##0.0_-;_-* "-"??_-;_-@_-</c:formatCode>
                <c:ptCount val="251"/>
                <c:pt idx="0">
                  <c:v>75.989999999999995</c:v>
                </c:pt>
                <c:pt idx="1">
                  <c:v>77</c:v>
                </c:pt>
                <c:pt idx="2">
                  <c:v>77.83</c:v>
                </c:pt>
                <c:pt idx="3">
                  <c:v>79.47</c:v>
                </c:pt>
                <c:pt idx="4">
                  <c:v>79</c:v>
                </c:pt>
                <c:pt idx="5">
                  <c:v>78.11</c:v>
                </c:pt>
                <c:pt idx="6">
                  <c:v>81.17</c:v>
                </c:pt>
                <c:pt idx="7">
                  <c:v>82.51</c:v>
                </c:pt>
                <c:pt idx="8">
                  <c:v>81.97</c:v>
                </c:pt>
                <c:pt idx="9">
                  <c:v>83.82</c:v>
                </c:pt>
                <c:pt idx="10">
                  <c:v>85.42</c:v>
                </c:pt>
                <c:pt idx="11">
                  <c:v>86.84</c:v>
                </c:pt>
                <c:pt idx="12">
                  <c:v>86.29</c:v>
                </c:pt>
                <c:pt idx="13">
                  <c:v>85.16</c:v>
                </c:pt>
                <c:pt idx="14">
                  <c:v>84.48</c:v>
                </c:pt>
                <c:pt idx="15">
                  <c:v>86.61</c:v>
                </c:pt>
                <c:pt idx="16">
                  <c:v>88.33</c:v>
                </c:pt>
                <c:pt idx="17">
                  <c:v>87.61</c:v>
                </c:pt>
                <c:pt idx="18">
                  <c:v>87.67</c:v>
                </c:pt>
                <c:pt idx="19">
                  <c:v>89.16</c:v>
                </c:pt>
                <c:pt idx="20">
                  <c:v>88.22</c:v>
                </c:pt>
                <c:pt idx="21">
                  <c:v>88.16</c:v>
                </c:pt>
                <c:pt idx="22">
                  <c:v>90.17</c:v>
                </c:pt>
                <c:pt idx="23">
                  <c:v>92.27</c:v>
                </c:pt>
                <c:pt idx="24">
                  <c:v>91.25</c:v>
                </c:pt>
                <c:pt idx="25">
                  <c:v>89.32</c:v>
                </c:pt>
                <c:pt idx="26">
                  <c:v>89.57</c:v>
                </c:pt>
                <c:pt idx="27">
                  <c:v>89.83</c:v>
                </c:pt>
                <c:pt idx="28">
                  <c:v>93.1</c:v>
                </c:pt>
                <c:pt idx="29">
                  <c:v>95.52</c:v>
                </c:pt>
                <c:pt idx="30">
                  <c:v>92.07</c:v>
                </c:pt>
                <c:pt idx="31">
                  <c:v>93.83</c:v>
                </c:pt>
                <c:pt idx="32">
                  <c:v>91.78</c:v>
                </c:pt>
                <c:pt idx="33">
                  <c:v>91.26</c:v>
                </c:pt>
                <c:pt idx="34">
                  <c:v>92.11</c:v>
                </c:pt>
                <c:pt idx="35">
                  <c:v>92.14</c:v>
                </c:pt>
                <c:pt idx="36">
                  <c:v>92.77</c:v>
                </c:pt>
                <c:pt idx="37">
                  <c:v>91.68</c:v>
                </c:pt>
                <c:pt idx="38">
                  <c:v>96.13</c:v>
                </c:pt>
                <c:pt idx="39">
                  <c:v>103.66</c:v>
                </c:pt>
                <c:pt idx="40">
                  <c:v>110.74</c:v>
                </c:pt>
                <c:pt idx="41">
                  <c:v>107.69</c:v>
                </c:pt>
                <c:pt idx="42">
                  <c:v>115.77</c:v>
                </c:pt>
                <c:pt idx="43">
                  <c:v>119.26</c:v>
                </c:pt>
                <c:pt idx="44">
                  <c:v>123.64</c:v>
                </c:pt>
                <c:pt idx="45">
                  <c:v>108.81</c:v>
                </c:pt>
                <c:pt idx="46">
                  <c:v>105.93</c:v>
                </c:pt>
                <c:pt idx="47">
                  <c:v>109.31</c:v>
                </c:pt>
                <c:pt idx="48">
                  <c:v>103.22</c:v>
                </c:pt>
                <c:pt idx="49">
                  <c:v>96.42</c:v>
                </c:pt>
                <c:pt idx="50">
                  <c:v>94.85</c:v>
                </c:pt>
                <c:pt idx="51">
                  <c:v>102.97</c:v>
                </c:pt>
                <c:pt idx="52">
                  <c:v>104.69</c:v>
                </c:pt>
                <c:pt idx="53">
                  <c:v>112.14</c:v>
                </c:pt>
                <c:pt idx="54">
                  <c:v>111.03</c:v>
                </c:pt>
                <c:pt idx="55">
                  <c:v>114.89</c:v>
                </c:pt>
                <c:pt idx="56">
                  <c:v>114.2</c:v>
                </c:pt>
                <c:pt idx="57">
                  <c:v>116.2</c:v>
                </c:pt>
                <c:pt idx="58">
                  <c:v>107.55</c:v>
                </c:pt>
                <c:pt idx="59">
                  <c:v>104.25</c:v>
                </c:pt>
                <c:pt idx="60">
                  <c:v>107.81</c:v>
                </c:pt>
                <c:pt idx="61">
                  <c:v>100.53</c:v>
                </c:pt>
                <c:pt idx="62">
                  <c:v>99.32</c:v>
                </c:pt>
                <c:pt idx="63">
                  <c:v>103.29</c:v>
                </c:pt>
                <c:pt idx="64">
                  <c:v>101.98</c:v>
                </c:pt>
                <c:pt idx="65">
                  <c:v>96.39</c:v>
                </c:pt>
                <c:pt idx="66">
                  <c:v>96.05</c:v>
                </c:pt>
                <c:pt idx="67">
                  <c:v>98.35</c:v>
                </c:pt>
                <c:pt idx="68">
                  <c:v>94.22</c:v>
                </c:pt>
                <c:pt idx="69">
                  <c:v>100.52</c:v>
                </c:pt>
                <c:pt idx="70">
                  <c:v>104.26</c:v>
                </c:pt>
                <c:pt idx="71">
                  <c:v>106.84</c:v>
                </c:pt>
                <c:pt idx="72">
                  <c:v>108.24</c:v>
                </c:pt>
                <c:pt idx="73">
                  <c:v>102.54</c:v>
                </c:pt>
                <c:pt idx="74">
                  <c:v>102.56</c:v>
                </c:pt>
                <c:pt idx="75">
                  <c:v>103.89</c:v>
                </c:pt>
                <c:pt idx="76">
                  <c:v>102.86</c:v>
                </c:pt>
                <c:pt idx="77">
                  <c:v>99.6</c:v>
                </c:pt>
                <c:pt idx="78">
                  <c:v>102.62</c:v>
                </c:pt>
                <c:pt idx="79">
                  <c:v>101.96</c:v>
                </c:pt>
                <c:pt idx="80">
                  <c:v>105.47</c:v>
                </c:pt>
                <c:pt idx="81">
                  <c:v>104.59</c:v>
                </c:pt>
                <c:pt idx="82">
                  <c:v>105.18</c:v>
                </c:pt>
                <c:pt idx="83">
                  <c:v>102.53</c:v>
                </c:pt>
                <c:pt idx="84">
                  <c:v>107.84</c:v>
                </c:pt>
                <c:pt idx="85">
                  <c:v>108.17</c:v>
                </c:pt>
                <c:pt idx="86">
                  <c:v>109.72</c:v>
                </c:pt>
                <c:pt idx="87">
                  <c:v>103.08</c:v>
                </c:pt>
                <c:pt idx="88">
                  <c:v>99.74</c:v>
                </c:pt>
                <c:pt idx="89">
                  <c:v>105.5</c:v>
                </c:pt>
                <c:pt idx="90">
                  <c:v>106.15</c:v>
                </c:pt>
                <c:pt idx="91">
                  <c:v>110.52</c:v>
                </c:pt>
                <c:pt idx="92">
                  <c:v>114.07</c:v>
                </c:pt>
                <c:pt idx="93">
                  <c:v>112.31</c:v>
                </c:pt>
                <c:pt idx="94">
                  <c:v>109.67</c:v>
                </c:pt>
                <c:pt idx="95">
                  <c:v>112.21</c:v>
                </c:pt>
                <c:pt idx="96">
                  <c:v>112.63</c:v>
                </c:pt>
                <c:pt idx="97">
                  <c:v>110.32</c:v>
                </c:pt>
                <c:pt idx="98">
                  <c:v>112.55</c:v>
                </c:pt>
                <c:pt idx="99">
                  <c:v>112.88</c:v>
                </c:pt>
                <c:pt idx="100">
                  <c:v>116.19</c:v>
                </c:pt>
                <c:pt idx="101">
                  <c:v>114.96</c:v>
                </c:pt>
                <c:pt idx="102">
                  <c:v>114.38</c:v>
                </c:pt>
                <c:pt idx="103">
                  <c:v>115.26</c:v>
                </c:pt>
                <c:pt idx="104">
                  <c:v>116.88</c:v>
                </c:pt>
                <c:pt idx="105">
                  <c:v>118.97</c:v>
                </c:pt>
                <c:pt idx="106">
                  <c:v>118.41</c:v>
                </c:pt>
                <c:pt idx="107">
                  <c:v>119.55</c:v>
                </c:pt>
                <c:pt idx="108">
                  <c:v>121.94</c:v>
                </c:pt>
                <c:pt idx="109">
                  <c:v>121.52</c:v>
                </c:pt>
                <c:pt idx="110">
                  <c:v>120.73</c:v>
                </c:pt>
                <c:pt idx="111">
                  <c:v>120.92</c:v>
                </c:pt>
                <c:pt idx="112">
                  <c:v>118.92</c:v>
                </c:pt>
                <c:pt idx="113">
                  <c:v>115.32</c:v>
                </c:pt>
                <c:pt idx="114">
                  <c:v>117.56</c:v>
                </c:pt>
                <c:pt idx="115">
                  <c:v>109.56</c:v>
                </c:pt>
                <c:pt idx="116">
                  <c:v>110.49</c:v>
                </c:pt>
                <c:pt idx="117">
                  <c:v>106.22</c:v>
                </c:pt>
                <c:pt idx="118">
                  <c:v>105.75</c:v>
                </c:pt>
                <c:pt idx="119">
                  <c:v>109.07</c:v>
                </c:pt>
                <c:pt idx="120">
                  <c:v>111.44</c:v>
                </c:pt>
                <c:pt idx="121">
                  <c:v>113.66</c:v>
                </c:pt>
                <c:pt idx="122">
                  <c:v>111.65</c:v>
                </c:pt>
                <c:pt idx="123">
                  <c:v>107.76</c:v>
                </c:pt>
                <c:pt idx="124">
                  <c:v>110.3</c:v>
                </c:pt>
                <c:pt idx="125">
                  <c:v>101.55</c:v>
                </c:pt>
                <c:pt idx="126">
                  <c:v>100.31</c:v>
                </c:pt>
                <c:pt idx="127">
                  <c:v>104.62</c:v>
                </c:pt>
                <c:pt idx="128">
                  <c:v>106.78</c:v>
                </c:pt>
                <c:pt idx="129">
                  <c:v>106.09</c:v>
                </c:pt>
                <c:pt idx="130">
                  <c:v>97.69</c:v>
                </c:pt>
                <c:pt idx="131">
                  <c:v>98.44</c:v>
                </c:pt>
                <c:pt idx="132">
                  <c:v>97.79</c:v>
                </c:pt>
                <c:pt idx="133">
                  <c:v>99.59</c:v>
                </c:pt>
                <c:pt idx="134">
                  <c:v>104.48</c:v>
                </c:pt>
                <c:pt idx="135">
                  <c:v>106.12</c:v>
                </c:pt>
                <c:pt idx="136">
                  <c:v>104.45</c:v>
                </c:pt>
                <c:pt idx="137">
                  <c:v>98.44</c:v>
                </c:pt>
                <c:pt idx="138">
                  <c:v>97.71</c:v>
                </c:pt>
                <c:pt idx="139">
                  <c:v>99.83</c:v>
                </c:pt>
                <c:pt idx="140">
                  <c:v>97.74</c:v>
                </c:pt>
                <c:pt idx="141">
                  <c:v>100.03</c:v>
                </c:pt>
                <c:pt idx="142">
                  <c:v>99.11</c:v>
                </c:pt>
                <c:pt idx="143">
                  <c:v>101.31</c:v>
                </c:pt>
                <c:pt idx="144">
                  <c:v>96.59</c:v>
                </c:pt>
                <c:pt idx="145">
                  <c:v>97.14</c:v>
                </c:pt>
                <c:pt idx="146">
                  <c:v>93.25</c:v>
                </c:pt>
                <c:pt idx="147">
                  <c:v>91.29</c:v>
                </c:pt>
                <c:pt idx="148">
                  <c:v>91.77</c:v>
                </c:pt>
                <c:pt idx="149">
                  <c:v>93.52</c:v>
                </c:pt>
                <c:pt idx="150">
                  <c:v>93.18</c:v>
                </c:pt>
                <c:pt idx="151">
                  <c:v>94.68</c:v>
                </c:pt>
                <c:pt idx="152">
                  <c:v>97.02</c:v>
                </c:pt>
                <c:pt idx="153">
                  <c:v>94.86</c:v>
                </c:pt>
                <c:pt idx="154">
                  <c:v>92.24</c:v>
                </c:pt>
                <c:pt idx="155">
                  <c:v>89.23</c:v>
                </c:pt>
                <c:pt idx="156">
                  <c:v>90.85</c:v>
                </c:pt>
                <c:pt idx="157">
                  <c:v>93.2</c:v>
                </c:pt>
                <c:pt idx="158">
                  <c:v>93.55</c:v>
                </c:pt>
                <c:pt idx="159">
                  <c:v>93.42</c:v>
                </c:pt>
                <c:pt idx="160">
                  <c:v>96.46</c:v>
                </c:pt>
                <c:pt idx="161">
                  <c:v>95.52</c:v>
                </c:pt>
                <c:pt idx="162">
                  <c:v>93.33</c:v>
                </c:pt>
                <c:pt idx="163">
                  <c:v>93.63</c:v>
                </c:pt>
                <c:pt idx="164">
                  <c:v>97.4</c:v>
                </c:pt>
                <c:pt idx="165">
                  <c:v>92.08</c:v>
                </c:pt>
                <c:pt idx="166">
                  <c:v>90.09</c:v>
                </c:pt>
                <c:pt idx="167">
                  <c:v>87.09</c:v>
                </c:pt>
                <c:pt idx="168">
                  <c:v>87.29</c:v>
                </c:pt>
                <c:pt idx="169">
                  <c:v>87.35</c:v>
                </c:pt>
                <c:pt idx="170">
                  <c:v>82.5</c:v>
                </c:pt>
                <c:pt idx="171">
                  <c:v>84.04</c:v>
                </c:pt>
                <c:pt idx="172">
                  <c:v>87.27</c:v>
                </c:pt>
                <c:pt idx="173">
                  <c:v>88.18</c:v>
                </c:pt>
                <c:pt idx="174">
                  <c:v>87.84</c:v>
                </c:pt>
                <c:pt idx="175">
                  <c:v>88.88</c:v>
                </c:pt>
                <c:pt idx="176">
                  <c:v>85.72</c:v>
                </c:pt>
                <c:pt idx="177">
                  <c:v>85.57</c:v>
                </c:pt>
                <c:pt idx="178">
                  <c:v>86.15</c:v>
                </c:pt>
                <c:pt idx="179">
                  <c:v>84.69</c:v>
                </c:pt>
                <c:pt idx="180">
                  <c:v>83.38</c:v>
                </c:pt>
                <c:pt idx="181">
                  <c:v>84.02</c:v>
                </c:pt>
                <c:pt idx="182">
                  <c:v>79.069999999999993</c:v>
                </c:pt>
                <c:pt idx="183">
                  <c:v>77.17</c:v>
                </c:pt>
                <c:pt idx="184">
                  <c:v>78.91</c:v>
                </c:pt>
                <c:pt idx="185">
                  <c:v>82.61</c:v>
                </c:pt>
                <c:pt idx="186">
                  <c:v>81.78</c:v>
                </c:pt>
                <c:pt idx="187">
                  <c:v>79.91</c:v>
                </c:pt>
                <c:pt idx="188">
                  <c:v>84.05</c:v>
                </c:pt>
                <c:pt idx="189">
                  <c:v>86.87</c:v>
                </c:pt>
                <c:pt idx="190">
                  <c:v>88.22</c:v>
                </c:pt>
                <c:pt idx="191">
                  <c:v>88.9</c:v>
                </c:pt>
                <c:pt idx="192">
                  <c:v>93.07</c:v>
                </c:pt>
                <c:pt idx="193">
                  <c:v>91.6</c:v>
                </c:pt>
                <c:pt idx="194">
                  <c:v>89.75</c:v>
                </c:pt>
                <c:pt idx="195">
                  <c:v>87.83</c:v>
                </c:pt>
                <c:pt idx="196">
                  <c:v>89.59</c:v>
                </c:pt>
                <c:pt idx="197">
                  <c:v>86.1</c:v>
                </c:pt>
                <c:pt idx="198">
                  <c:v>86</c:v>
                </c:pt>
                <c:pt idx="199">
                  <c:v>83.29</c:v>
                </c:pt>
                <c:pt idx="200">
                  <c:v>86</c:v>
                </c:pt>
                <c:pt idx="201">
                  <c:v>86.02</c:v>
                </c:pt>
                <c:pt idx="202">
                  <c:v>85.47</c:v>
                </c:pt>
                <c:pt idx="203">
                  <c:v>86.12</c:v>
                </c:pt>
                <c:pt idx="204">
                  <c:v>86.93</c:v>
                </c:pt>
                <c:pt idx="205">
                  <c:v>89.39</c:v>
                </c:pt>
                <c:pt idx="206">
                  <c:v>89.06</c:v>
                </c:pt>
                <c:pt idx="207">
                  <c:v>87.85</c:v>
                </c:pt>
                <c:pt idx="208">
                  <c:v>86.54</c:v>
                </c:pt>
                <c:pt idx="209">
                  <c:v>88.36</c:v>
                </c:pt>
                <c:pt idx="210">
                  <c:v>90.06</c:v>
                </c:pt>
                <c:pt idx="211">
                  <c:v>88.14</c:v>
                </c:pt>
                <c:pt idx="212">
                  <c:v>92.58</c:v>
                </c:pt>
                <c:pt idx="213">
                  <c:v>91.8</c:v>
                </c:pt>
                <c:pt idx="214">
                  <c:v>88.8</c:v>
                </c:pt>
                <c:pt idx="215">
                  <c:v>85.79</c:v>
                </c:pt>
                <c:pt idx="216">
                  <c:v>86.52</c:v>
                </c:pt>
                <c:pt idx="217">
                  <c:v>89.14</c:v>
                </c:pt>
                <c:pt idx="218">
                  <c:v>85.85</c:v>
                </c:pt>
                <c:pt idx="219">
                  <c:v>86.87</c:v>
                </c:pt>
                <c:pt idx="220">
                  <c:v>85.62</c:v>
                </c:pt>
                <c:pt idx="221">
                  <c:v>81.69</c:v>
                </c:pt>
                <c:pt idx="222">
                  <c:v>80.069999999999993</c:v>
                </c:pt>
                <c:pt idx="223">
                  <c:v>79.739999999999995</c:v>
                </c:pt>
                <c:pt idx="224">
                  <c:v>80.83</c:v>
                </c:pt>
                <c:pt idx="225">
                  <c:v>77.930000000000007</c:v>
                </c:pt>
                <c:pt idx="226">
                  <c:v>76.45</c:v>
                </c:pt>
                <c:pt idx="227">
                  <c:v>77.099999999999994</c:v>
                </c:pt>
                <c:pt idx="228">
                  <c:v>77.959999999999994</c:v>
                </c:pt>
                <c:pt idx="229">
                  <c:v>80.48</c:v>
                </c:pt>
                <c:pt idx="230">
                  <c:v>81.06</c:v>
                </c:pt>
                <c:pt idx="231">
                  <c:v>79.86</c:v>
                </c:pt>
                <c:pt idx="232">
                  <c:v>76.83</c:v>
                </c:pt>
                <c:pt idx="233">
                  <c:v>74.209999999999994</c:v>
                </c:pt>
                <c:pt idx="234">
                  <c:v>71.930000000000007</c:v>
                </c:pt>
                <c:pt idx="235">
                  <c:v>71.3</c:v>
                </c:pt>
                <c:pt idx="236">
                  <c:v>71.05</c:v>
                </c:pt>
                <c:pt idx="237">
                  <c:v>72.959999999999994</c:v>
                </c:pt>
                <c:pt idx="238">
                  <c:v>75.44</c:v>
                </c:pt>
                <c:pt idx="239">
                  <c:v>77.14</c:v>
                </c:pt>
                <c:pt idx="240">
                  <c:v>75.89</c:v>
                </c:pt>
                <c:pt idx="241">
                  <c:v>74.19</c:v>
                </c:pt>
                <c:pt idx="242">
                  <c:v>75.05</c:v>
                </c:pt>
                <c:pt idx="243">
                  <c:v>75.92</c:v>
                </c:pt>
                <c:pt idx="244">
                  <c:v>78.17</c:v>
                </c:pt>
                <c:pt idx="245">
                  <c:v>77.680000000000007</c:v>
                </c:pt>
                <c:pt idx="246">
                  <c:v>79.569999999999993</c:v>
                </c:pt>
                <c:pt idx="247">
                  <c:v>79.45</c:v>
                </c:pt>
                <c:pt idx="248">
                  <c:v>78.89</c:v>
                </c:pt>
                <c:pt idx="249">
                  <c:v>78.430000000000007</c:v>
                </c:pt>
                <c:pt idx="250">
                  <c:v>80.16</c:v>
                </c:pt>
              </c:numCache>
            </c:numRef>
          </c:val>
          <c:smooth val="0"/>
          <c:extLst>
            <c:ext xmlns:c16="http://schemas.microsoft.com/office/drawing/2014/chart" uri="{C3380CC4-5D6E-409C-BE32-E72D297353CC}">
              <c16:uniqueId val="{00000006-7EDA-4C41-9F8C-C1F9DD03AF5B}"/>
            </c:ext>
          </c:extLst>
        </c:ser>
        <c:dLbls>
          <c:showLegendKey val="0"/>
          <c:showVal val="0"/>
          <c:showCatName val="0"/>
          <c:showSerName val="0"/>
          <c:showPercent val="0"/>
          <c:showBubbleSize val="0"/>
        </c:dLbls>
        <c:smooth val="0"/>
        <c:axId val="1500902960"/>
        <c:axId val="1500871760"/>
      </c:lineChart>
      <c:dateAx>
        <c:axId val="1500902960"/>
        <c:scaling>
          <c:orientation val="minMax"/>
        </c:scaling>
        <c:delete val="0"/>
        <c:axPos val="b"/>
        <c:numFmt formatCode="mmm\-yy" sourceLinked="0"/>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500871760"/>
        <c:crosses val="autoZero"/>
        <c:auto val="1"/>
        <c:lblOffset val="100"/>
        <c:baseTimeUnit val="days"/>
      </c:dateAx>
      <c:valAx>
        <c:axId val="1500871760"/>
        <c:scaling>
          <c:orientation val="minMax"/>
          <c:max val="125"/>
          <c:min val="40"/>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sz="900" baseline="0"/>
                  <a:t>USD$ por barril</a:t>
                </a:r>
                <a:endParaRPr lang="es-GT" sz="900"/>
              </a:p>
            </c:rich>
          </c:tx>
          <c:overlay val="0"/>
          <c:spPr>
            <a:noFill/>
            <a:ln>
              <a:noFill/>
            </a:ln>
            <a:effectLst/>
          </c:spPr>
        </c:title>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500902960"/>
        <c:crosses val="autoZero"/>
        <c:crossBetween val="between"/>
      </c:valAx>
    </c:plotArea>
    <c:plotVisOnly val="1"/>
    <c:dispBlanksAs val="gap"/>
    <c:showDLblsOverMax val="0"/>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029074074074075"/>
          <c:y val="6.4675925925925928E-2"/>
          <c:w val="0.70500740740740753"/>
          <c:h val="0.75960416666666664"/>
        </c:manualLayout>
      </c:layout>
      <c:lineChart>
        <c:grouping val="standard"/>
        <c:varyColors val="0"/>
        <c:ser>
          <c:idx val="0"/>
          <c:order val="0"/>
          <c:tx>
            <c:strRef>
              <c:f>cornWheatChart!$B$2</c:f>
              <c:strCache>
                <c:ptCount val="1"/>
                <c:pt idx="0">
                  <c:v>Maíz</c:v>
                </c:pt>
              </c:strCache>
            </c:strRef>
          </c:tx>
          <c:spPr>
            <a:ln w="15875">
              <a:solidFill>
                <a:schemeClr val="accent5"/>
              </a:solidFill>
            </a:ln>
          </c:spPr>
          <c:marker>
            <c:symbol val="none"/>
          </c:marker>
          <c:dLbls>
            <c:dLbl>
              <c:idx val="0"/>
              <c:layout>
                <c:manualLayout>
                  <c:x val="-3.7638202775817496E-2"/>
                  <c:y val="4.1164363422522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8C6-4D16-A1C0-876FD7A85DDC}"/>
                </c:ext>
              </c:extLst>
            </c:dLbl>
            <c:dLbl>
              <c:idx val="253"/>
              <c:layout>
                <c:manualLayout>
                  <c:x val="0"/>
                  <c:y val="7.05674801528962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8C6-4D16-A1C0-876FD7A85DDC}"/>
                </c:ext>
              </c:extLst>
            </c:dLbl>
            <c:spPr>
              <a:noFill/>
              <a:ln>
                <a:noFill/>
              </a:ln>
              <a:effectLst/>
            </c:spPr>
            <c:txPr>
              <a:bodyPr wrap="square" lIns="38100" tIns="19050" rIns="38100" bIns="19050" anchor="ctr">
                <a:spAutoFit/>
              </a:bodyPr>
              <a:lstStyle/>
              <a:p>
                <a:pPr>
                  <a:defRPr sz="900" b="1">
                    <a:solidFill>
                      <a:schemeClr val="accent5"/>
                    </a:solidFill>
                  </a:defRPr>
                </a:pPr>
                <a:endParaRPr lang="es-GT"/>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cornWheatChart!$A$3:$A$256</c:f>
              <c:numCache>
                <c:formatCode>mmm\-yy</c:formatCode>
                <c:ptCount val="254"/>
                <c:pt idx="0">
                  <c:v>44564</c:v>
                </c:pt>
                <c:pt idx="1">
                  <c:v>44565</c:v>
                </c:pt>
                <c:pt idx="2">
                  <c:v>44566</c:v>
                </c:pt>
                <c:pt idx="3">
                  <c:v>44567</c:v>
                </c:pt>
                <c:pt idx="4">
                  <c:v>44568</c:v>
                </c:pt>
                <c:pt idx="5">
                  <c:v>44571</c:v>
                </c:pt>
                <c:pt idx="6">
                  <c:v>44572</c:v>
                </c:pt>
                <c:pt idx="7">
                  <c:v>44573</c:v>
                </c:pt>
                <c:pt idx="8">
                  <c:v>44574</c:v>
                </c:pt>
                <c:pt idx="9">
                  <c:v>44575</c:v>
                </c:pt>
                <c:pt idx="10">
                  <c:v>44579</c:v>
                </c:pt>
                <c:pt idx="11">
                  <c:v>44580</c:v>
                </c:pt>
                <c:pt idx="12">
                  <c:v>44581</c:v>
                </c:pt>
                <c:pt idx="13">
                  <c:v>44582</c:v>
                </c:pt>
                <c:pt idx="14">
                  <c:v>44585</c:v>
                </c:pt>
                <c:pt idx="15">
                  <c:v>44586</c:v>
                </c:pt>
                <c:pt idx="16">
                  <c:v>44587</c:v>
                </c:pt>
                <c:pt idx="17">
                  <c:v>44588</c:v>
                </c:pt>
                <c:pt idx="18">
                  <c:v>44589</c:v>
                </c:pt>
                <c:pt idx="19">
                  <c:v>44592</c:v>
                </c:pt>
                <c:pt idx="20">
                  <c:v>44593</c:v>
                </c:pt>
                <c:pt idx="21">
                  <c:v>44594</c:v>
                </c:pt>
                <c:pt idx="22">
                  <c:v>44595</c:v>
                </c:pt>
                <c:pt idx="23">
                  <c:v>44596</c:v>
                </c:pt>
                <c:pt idx="24">
                  <c:v>44599</c:v>
                </c:pt>
                <c:pt idx="25">
                  <c:v>44600</c:v>
                </c:pt>
                <c:pt idx="26">
                  <c:v>44601</c:v>
                </c:pt>
                <c:pt idx="27">
                  <c:v>44602</c:v>
                </c:pt>
                <c:pt idx="28">
                  <c:v>44603</c:v>
                </c:pt>
                <c:pt idx="29">
                  <c:v>44606</c:v>
                </c:pt>
                <c:pt idx="30">
                  <c:v>44607</c:v>
                </c:pt>
                <c:pt idx="31">
                  <c:v>44608</c:v>
                </c:pt>
                <c:pt idx="32">
                  <c:v>44609</c:v>
                </c:pt>
                <c:pt idx="33">
                  <c:v>44610</c:v>
                </c:pt>
                <c:pt idx="34">
                  <c:v>44614</c:v>
                </c:pt>
                <c:pt idx="35">
                  <c:v>44615</c:v>
                </c:pt>
                <c:pt idx="36">
                  <c:v>44616</c:v>
                </c:pt>
                <c:pt idx="37">
                  <c:v>44617</c:v>
                </c:pt>
                <c:pt idx="38">
                  <c:v>44620</c:v>
                </c:pt>
                <c:pt idx="39">
                  <c:v>44621</c:v>
                </c:pt>
                <c:pt idx="40">
                  <c:v>44622</c:v>
                </c:pt>
                <c:pt idx="41">
                  <c:v>44623</c:v>
                </c:pt>
                <c:pt idx="42">
                  <c:v>44624</c:v>
                </c:pt>
                <c:pt idx="43">
                  <c:v>44627</c:v>
                </c:pt>
                <c:pt idx="44">
                  <c:v>44628</c:v>
                </c:pt>
                <c:pt idx="45">
                  <c:v>44629</c:v>
                </c:pt>
                <c:pt idx="46">
                  <c:v>44630</c:v>
                </c:pt>
                <c:pt idx="47">
                  <c:v>44631</c:v>
                </c:pt>
                <c:pt idx="48">
                  <c:v>44634</c:v>
                </c:pt>
                <c:pt idx="49">
                  <c:v>44635</c:v>
                </c:pt>
                <c:pt idx="50">
                  <c:v>44636</c:v>
                </c:pt>
                <c:pt idx="51">
                  <c:v>44637</c:v>
                </c:pt>
                <c:pt idx="52">
                  <c:v>44638</c:v>
                </c:pt>
                <c:pt idx="53">
                  <c:v>44641</c:v>
                </c:pt>
                <c:pt idx="54">
                  <c:v>44642</c:v>
                </c:pt>
                <c:pt idx="55">
                  <c:v>44643</c:v>
                </c:pt>
                <c:pt idx="56">
                  <c:v>44644</c:v>
                </c:pt>
                <c:pt idx="57">
                  <c:v>44645</c:v>
                </c:pt>
                <c:pt idx="58">
                  <c:v>44648</c:v>
                </c:pt>
                <c:pt idx="59">
                  <c:v>44649</c:v>
                </c:pt>
                <c:pt idx="60">
                  <c:v>44650</c:v>
                </c:pt>
                <c:pt idx="61">
                  <c:v>44651</c:v>
                </c:pt>
                <c:pt idx="62">
                  <c:v>44652</c:v>
                </c:pt>
                <c:pt idx="63">
                  <c:v>44655</c:v>
                </c:pt>
                <c:pt idx="64">
                  <c:v>44656</c:v>
                </c:pt>
                <c:pt idx="65">
                  <c:v>44657</c:v>
                </c:pt>
                <c:pt idx="66">
                  <c:v>44658</c:v>
                </c:pt>
                <c:pt idx="67">
                  <c:v>44659</c:v>
                </c:pt>
                <c:pt idx="68">
                  <c:v>44662</c:v>
                </c:pt>
                <c:pt idx="69">
                  <c:v>44663</c:v>
                </c:pt>
                <c:pt idx="70">
                  <c:v>44664</c:v>
                </c:pt>
                <c:pt idx="71">
                  <c:v>44665</c:v>
                </c:pt>
                <c:pt idx="72">
                  <c:v>44666</c:v>
                </c:pt>
                <c:pt idx="73">
                  <c:v>44669</c:v>
                </c:pt>
                <c:pt idx="74">
                  <c:v>44670</c:v>
                </c:pt>
                <c:pt idx="75">
                  <c:v>44671</c:v>
                </c:pt>
                <c:pt idx="76">
                  <c:v>44672</c:v>
                </c:pt>
                <c:pt idx="77">
                  <c:v>44673</c:v>
                </c:pt>
                <c:pt idx="78">
                  <c:v>44676</c:v>
                </c:pt>
                <c:pt idx="79">
                  <c:v>44677</c:v>
                </c:pt>
                <c:pt idx="80">
                  <c:v>44678</c:v>
                </c:pt>
                <c:pt idx="81">
                  <c:v>44679</c:v>
                </c:pt>
                <c:pt idx="82">
                  <c:v>44680</c:v>
                </c:pt>
                <c:pt idx="83">
                  <c:v>44683</c:v>
                </c:pt>
                <c:pt idx="84">
                  <c:v>44684</c:v>
                </c:pt>
                <c:pt idx="85">
                  <c:v>44685</c:v>
                </c:pt>
                <c:pt idx="86">
                  <c:v>44686</c:v>
                </c:pt>
                <c:pt idx="87">
                  <c:v>44687</c:v>
                </c:pt>
                <c:pt idx="88">
                  <c:v>44690</c:v>
                </c:pt>
                <c:pt idx="89">
                  <c:v>44691</c:v>
                </c:pt>
                <c:pt idx="90">
                  <c:v>44692</c:v>
                </c:pt>
                <c:pt idx="91">
                  <c:v>44693</c:v>
                </c:pt>
                <c:pt idx="92">
                  <c:v>44694</c:v>
                </c:pt>
                <c:pt idx="93">
                  <c:v>44697</c:v>
                </c:pt>
                <c:pt idx="94">
                  <c:v>44698</c:v>
                </c:pt>
                <c:pt idx="95">
                  <c:v>44699</c:v>
                </c:pt>
                <c:pt idx="96">
                  <c:v>44700</c:v>
                </c:pt>
                <c:pt idx="97">
                  <c:v>44701</c:v>
                </c:pt>
                <c:pt idx="98">
                  <c:v>44704</c:v>
                </c:pt>
                <c:pt idx="99">
                  <c:v>44705</c:v>
                </c:pt>
                <c:pt idx="100">
                  <c:v>44706</c:v>
                </c:pt>
                <c:pt idx="101">
                  <c:v>44707</c:v>
                </c:pt>
                <c:pt idx="102">
                  <c:v>44708</c:v>
                </c:pt>
                <c:pt idx="103">
                  <c:v>44711</c:v>
                </c:pt>
                <c:pt idx="104">
                  <c:v>44712</c:v>
                </c:pt>
                <c:pt idx="105">
                  <c:v>44713</c:v>
                </c:pt>
                <c:pt idx="106">
                  <c:v>44714</c:v>
                </c:pt>
                <c:pt idx="107">
                  <c:v>44715</c:v>
                </c:pt>
                <c:pt idx="108">
                  <c:v>44718</c:v>
                </c:pt>
                <c:pt idx="109">
                  <c:v>44719</c:v>
                </c:pt>
                <c:pt idx="110">
                  <c:v>44720</c:v>
                </c:pt>
                <c:pt idx="111">
                  <c:v>44721</c:v>
                </c:pt>
                <c:pt idx="112">
                  <c:v>44722</c:v>
                </c:pt>
                <c:pt idx="113">
                  <c:v>44725</c:v>
                </c:pt>
                <c:pt idx="114">
                  <c:v>44726</c:v>
                </c:pt>
                <c:pt idx="115">
                  <c:v>44727</c:v>
                </c:pt>
                <c:pt idx="116">
                  <c:v>44728</c:v>
                </c:pt>
                <c:pt idx="117">
                  <c:v>44729</c:v>
                </c:pt>
                <c:pt idx="118">
                  <c:v>44733</c:v>
                </c:pt>
                <c:pt idx="119">
                  <c:v>44734</c:v>
                </c:pt>
                <c:pt idx="120">
                  <c:v>44735</c:v>
                </c:pt>
                <c:pt idx="121">
                  <c:v>44736</c:v>
                </c:pt>
                <c:pt idx="122">
                  <c:v>44739</c:v>
                </c:pt>
                <c:pt idx="123">
                  <c:v>44740</c:v>
                </c:pt>
                <c:pt idx="124">
                  <c:v>44741</c:v>
                </c:pt>
                <c:pt idx="125">
                  <c:v>44742</c:v>
                </c:pt>
                <c:pt idx="126">
                  <c:v>44743</c:v>
                </c:pt>
                <c:pt idx="127">
                  <c:v>44747</c:v>
                </c:pt>
                <c:pt idx="128">
                  <c:v>44748</c:v>
                </c:pt>
                <c:pt idx="129">
                  <c:v>44749</c:v>
                </c:pt>
                <c:pt idx="130">
                  <c:v>44750</c:v>
                </c:pt>
                <c:pt idx="131">
                  <c:v>44753</c:v>
                </c:pt>
                <c:pt idx="132">
                  <c:v>44754</c:v>
                </c:pt>
                <c:pt idx="133">
                  <c:v>44755</c:v>
                </c:pt>
                <c:pt idx="134">
                  <c:v>44756</c:v>
                </c:pt>
                <c:pt idx="135">
                  <c:v>44757</c:v>
                </c:pt>
                <c:pt idx="136">
                  <c:v>44760</c:v>
                </c:pt>
                <c:pt idx="137">
                  <c:v>44761</c:v>
                </c:pt>
                <c:pt idx="138">
                  <c:v>44762</c:v>
                </c:pt>
                <c:pt idx="139">
                  <c:v>44763</c:v>
                </c:pt>
                <c:pt idx="140">
                  <c:v>44764</c:v>
                </c:pt>
                <c:pt idx="141">
                  <c:v>44767</c:v>
                </c:pt>
                <c:pt idx="142">
                  <c:v>44768</c:v>
                </c:pt>
                <c:pt idx="143">
                  <c:v>44769</c:v>
                </c:pt>
                <c:pt idx="144">
                  <c:v>44770</c:v>
                </c:pt>
                <c:pt idx="145">
                  <c:v>44771</c:v>
                </c:pt>
                <c:pt idx="146">
                  <c:v>44774</c:v>
                </c:pt>
                <c:pt idx="147">
                  <c:v>44775</c:v>
                </c:pt>
                <c:pt idx="148">
                  <c:v>44776</c:v>
                </c:pt>
                <c:pt idx="149">
                  <c:v>44777</c:v>
                </c:pt>
                <c:pt idx="150">
                  <c:v>44778</c:v>
                </c:pt>
                <c:pt idx="151">
                  <c:v>44781</c:v>
                </c:pt>
                <c:pt idx="152">
                  <c:v>44782</c:v>
                </c:pt>
                <c:pt idx="153">
                  <c:v>44783</c:v>
                </c:pt>
                <c:pt idx="154">
                  <c:v>44784</c:v>
                </c:pt>
                <c:pt idx="155">
                  <c:v>44785</c:v>
                </c:pt>
                <c:pt idx="156">
                  <c:v>44788</c:v>
                </c:pt>
                <c:pt idx="157">
                  <c:v>44789</c:v>
                </c:pt>
                <c:pt idx="158">
                  <c:v>44790</c:v>
                </c:pt>
                <c:pt idx="159">
                  <c:v>44791</c:v>
                </c:pt>
                <c:pt idx="160">
                  <c:v>44792</c:v>
                </c:pt>
                <c:pt idx="161">
                  <c:v>44795</c:v>
                </c:pt>
                <c:pt idx="162">
                  <c:v>44796</c:v>
                </c:pt>
                <c:pt idx="163">
                  <c:v>44797</c:v>
                </c:pt>
                <c:pt idx="164">
                  <c:v>44798</c:v>
                </c:pt>
                <c:pt idx="165">
                  <c:v>44799</c:v>
                </c:pt>
                <c:pt idx="166">
                  <c:v>44802</c:v>
                </c:pt>
                <c:pt idx="167">
                  <c:v>44803</c:v>
                </c:pt>
                <c:pt idx="168">
                  <c:v>44804</c:v>
                </c:pt>
                <c:pt idx="169">
                  <c:v>44805</c:v>
                </c:pt>
                <c:pt idx="170">
                  <c:v>44806</c:v>
                </c:pt>
                <c:pt idx="171">
                  <c:v>44809</c:v>
                </c:pt>
                <c:pt idx="172">
                  <c:v>44810</c:v>
                </c:pt>
                <c:pt idx="173">
                  <c:v>44811</c:v>
                </c:pt>
                <c:pt idx="174">
                  <c:v>44812</c:v>
                </c:pt>
                <c:pt idx="175">
                  <c:v>44813</c:v>
                </c:pt>
                <c:pt idx="176">
                  <c:v>44816</c:v>
                </c:pt>
                <c:pt idx="177">
                  <c:v>44817</c:v>
                </c:pt>
                <c:pt idx="178">
                  <c:v>44818</c:v>
                </c:pt>
                <c:pt idx="179">
                  <c:v>44819</c:v>
                </c:pt>
                <c:pt idx="180">
                  <c:v>44820</c:v>
                </c:pt>
                <c:pt idx="181">
                  <c:v>44823</c:v>
                </c:pt>
                <c:pt idx="182">
                  <c:v>44824</c:v>
                </c:pt>
                <c:pt idx="183">
                  <c:v>44825</c:v>
                </c:pt>
                <c:pt idx="184">
                  <c:v>44826</c:v>
                </c:pt>
                <c:pt idx="185">
                  <c:v>44827</c:v>
                </c:pt>
                <c:pt idx="186">
                  <c:v>44830</c:v>
                </c:pt>
                <c:pt idx="187">
                  <c:v>44831</c:v>
                </c:pt>
                <c:pt idx="188">
                  <c:v>44832</c:v>
                </c:pt>
                <c:pt idx="189">
                  <c:v>44833</c:v>
                </c:pt>
                <c:pt idx="190">
                  <c:v>44834</c:v>
                </c:pt>
                <c:pt idx="191">
                  <c:v>44837</c:v>
                </c:pt>
                <c:pt idx="192">
                  <c:v>44838</c:v>
                </c:pt>
                <c:pt idx="193">
                  <c:v>44839</c:v>
                </c:pt>
                <c:pt idx="194">
                  <c:v>44840</c:v>
                </c:pt>
                <c:pt idx="195">
                  <c:v>44841</c:v>
                </c:pt>
                <c:pt idx="196">
                  <c:v>44844</c:v>
                </c:pt>
                <c:pt idx="197">
                  <c:v>44845</c:v>
                </c:pt>
                <c:pt idx="198">
                  <c:v>44846</c:v>
                </c:pt>
                <c:pt idx="199">
                  <c:v>44847</c:v>
                </c:pt>
                <c:pt idx="200">
                  <c:v>44848</c:v>
                </c:pt>
                <c:pt idx="201">
                  <c:v>44851</c:v>
                </c:pt>
                <c:pt idx="202">
                  <c:v>44852</c:v>
                </c:pt>
                <c:pt idx="203">
                  <c:v>44853</c:v>
                </c:pt>
                <c:pt idx="204">
                  <c:v>44854</c:v>
                </c:pt>
                <c:pt idx="205">
                  <c:v>44855</c:v>
                </c:pt>
                <c:pt idx="206">
                  <c:v>44858</c:v>
                </c:pt>
                <c:pt idx="207">
                  <c:v>44859</c:v>
                </c:pt>
                <c:pt idx="208">
                  <c:v>44860</c:v>
                </c:pt>
                <c:pt idx="209">
                  <c:v>44861</c:v>
                </c:pt>
                <c:pt idx="210">
                  <c:v>44862</c:v>
                </c:pt>
                <c:pt idx="211">
                  <c:v>44865</c:v>
                </c:pt>
                <c:pt idx="212">
                  <c:v>44866</c:v>
                </c:pt>
                <c:pt idx="213">
                  <c:v>44867</c:v>
                </c:pt>
                <c:pt idx="214">
                  <c:v>44868</c:v>
                </c:pt>
                <c:pt idx="215">
                  <c:v>44869</c:v>
                </c:pt>
                <c:pt idx="216">
                  <c:v>44872</c:v>
                </c:pt>
                <c:pt idx="217">
                  <c:v>44873</c:v>
                </c:pt>
                <c:pt idx="218">
                  <c:v>44874</c:v>
                </c:pt>
                <c:pt idx="219">
                  <c:v>44875</c:v>
                </c:pt>
                <c:pt idx="220">
                  <c:v>44876</c:v>
                </c:pt>
                <c:pt idx="221">
                  <c:v>44879</c:v>
                </c:pt>
                <c:pt idx="222">
                  <c:v>44880</c:v>
                </c:pt>
                <c:pt idx="223">
                  <c:v>44881</c:v>
                </c:pt>
                <c:pt idx="224">
                  <c:v>44882</c:v>
                </c:pt>
                <c:pt idx="225">
                  <c:v>44883</c:v>
                </c:pt>
                <c:pt idx="226">
                  <c:v>44886</c:v>
                </c:pt>
                <c:pt idx="227">
                  <c:v>44887</c:v>
                </c:pt>
                <c:pt idx="228">
                  <c:v>44888</c:v>
                </c:pt>
                <c:pt idx="229">
                  <c:v>44890</c:v>
                </c:pt>
                <c:pt idx="230">
                  <c:v>44893</c:v>
                </c:pt>
                <c:pt idx="231">
                  <c:v>44894</c:v>
                </c:pt>
                <c:pt idx="232">
                  <c:v>44895</c:v>
                </c:pt>
                <c:pt idx="233">
                  <c:v>44896</c:v>
                </c:pt>
                <c:pt idx="234">
                  <c:v>44897</c:v>
                </c:pt>
                <c:pt idx="235">
                  <c:v>44900</c:v>
                </c:pt>
                <c:pt idx="236">
                  <c:v>44901</c:v>
                </c:pt>
                <c:pt idx="237">
                  <c:v>44902</c:v>
                </c:pt>
                <c:pt idx="238">
                  <c:v>44903</c:v>
                </c:pt>
                <c:pt idx="239">
                  <c:v>44904</c:v>
                </c:pt>
                <c:pt idx="240">
                  <c:v>44907</c:v>
                </c:pt>
                <c:pt idx="241">
                  <c:v>44908</c:v>
                </c:pt>
                <c:pt idx="242">
                  <c:v>44909</c:v>
                </c:pt>
                <c:pt idx="243">
                  <c:v>44910</c:v>
                </c:pt>
                <c:pt idx="244">
                  <c:v>44911</c:v>
                </c:pt>
                <c:pt idx="245">
                  <c:v>44914</c:v>
                </c:pt>
                <c:pt idx="246">
                  <c:v>44915</c:v>
                </c:pt>
                <c:pt idx="247">
                  <c:v>44916</c:v>
                </c:pt>
                <c:pt idx="248">
                  <c:v>44917</c:v>
                </c:pt>
                <c:pt idx="249">
                  <c:v>44918</c:v>
                </c:pt>
                <c:pt idx="250">
                  <c:v>44922</c:v>
                </c:pt>
                <c:pt idx="251">
                  <c:v>44923</c:v>
                </c:pt>
                <c:pt idx="252">
                  <c:v>44924</c:v>
                </c:pt>
                <c:pt idx="253">
                  <c:v>44925</c:v>
                </c:pt>
              </c:numCache>
            </c:numRef>
          </c:cat>
          <c:val>
            <c:numRef>
              <c:f>cornWheatChart!$B$3:$B$256</c:f>
              <c:numCache>
                <c:formatCode>0.0</c:formatCode>
                <c:ptCount val="254"/>
                <c:pt idx="0">
                  <c:v>589.25</c:v>
                </c:pt>
                <c:pt idx="1">
                  <c:v>609.5</c:v>
                </c:pt>
                <c:pt idx="2">
                  <c:v>602.25</c:v>
                </c:pt>
                <c:pt idx="3">
                  <c:v>603.75</c:v>
                </c:pt>
                <c:pt idx="4">
                  <c:v>606.75</c:v>
                </c:pt>
                <c:pt idx="5">
                  <c:v>599.75</c:v>
                </c:pt>
                <c:pt idx="6">
                  <c:v>601</c:v>
                </c:pt>
                <c:pt idx="7">
                  <c:v>599</c:v>
                </c:pt>
                <c:pt idx="8">
                  <c:v>587.5</c:v>
                </c:pt>
                <c:pt idx="9">
                  <c:v>596.25</c:v>
                </c:pt>
                <c:pt idx="10">
                  <c:v>599.5</c:v>
                </c:pt>
                <c:pt idx="11">
                  <c:v>610.5</c:v>
                </c:pt>
                <c:pt idx="12">
                  <c:v>611</c:v>
                </c:pt>
                <c:pt idx="13">
                  <c:v>616.25</c:v>
                </c:pt>
                <c:pt idx="14">
                  <c:v>621</c:v>
                </c:pt>
                <c:pt idx="15">
                  <c:v>620</c:v>
                </c:pt>
                <c:pt idx="16">
                  <c:v>627</c:v>
                </c:pt>
                <c:pt idx="17">
                  <c:v>625.25</c:v>
                </c:pt>
                <c:pt idx="18">
                  <c:v>636</c:v>
                </c:pt>
                <c:pt idx="19">
                  <c:v>626</c:v>
                </c:pt>
                <c:pt idx="20">
                  <c:v>634.75</c:v>
                </c:pt>
                <c:pt idx="21">
                  <c:v>622.5</c:v>
                </c:pt>
                <c:pt idx="22">
                  <c:v>616.75</c:v>
                </c:pt>
                <c:pt idx="23">
                  <c:v>620.5</c:v>
                </c:pt>
                <c:pt idx="24">
                  <c:v>635.25</c:v>
                </c:pt>
                <c:pt idx="25">
                  <c:v>632.25</c:v>
                </c:pt>
                <c:pt idx="26">
                  <c:v>646.75</c:v>
                </c:pt>
                <c:pt idx="27">
                  <c:v>641.75</c:v>
                </c:pt>
                <c:pt idx="28">
                  <c:v>651</c:v>
                </c:pt>
                <c:pt idx="29">
                  <c:v>655.75</c:v>
                </c:pt>
                <c:pt idx="30">
                  <c:v>638</c:v>
                </c:pt>
                <c:pt idx="31">
                  <c:v>647</c:v>
                </c:pt>
                <c:pt idx="32">
                  <c:v>650</c:v>
                </c:pt>
                <c:pt idx="33">
                  <c:v>654.25</c:v>
                </c:pt>
                <c:pt idx="34">
                  <c:v>674.75</c:v>
                </c:pt>
                <c:pt idx="35">
                  <c:v>683.75</c:v>
                </c:pt>
                <c:pt idx="36">
                  <c:v>695</c:v>
                </c:pt>
                <c:pt idx="37">
                  <c:v>659.5</c:v>
                </c:pt>
                <c:pt idx="38">
                  <c:v>697.5</c:v>
                </c:pt>
                <c:pt idx="39">
                  <c:v>739.75</c:v>
                </c:pt>
                <c:pt idx="40">
                  <c:v>739</c:v>
                </c:pt>
                <c:pt idx="41">
                  <c:v>751.25</c:v>
                </c:pt>
                <c:pt idx="42">
                  <c:v>756.5</c:v>
                </c:pt>
                <c:pt idx="43">
                  <c:v>749.25</c:v>
                </c:pt>
                <c:pt idx="44">
                  <c:v>754.5</c:v>
                </c:pt>
                <c:pt idx="45">
                  <c:v>735</c:v>
                </c:pt>
                <c:pt idx="46">
                  <c:v>757.75</c:v>
                </c:pt>
                <c:pt idx="47">
                  <c:v>764.5</c:v>
                </c:pt>
                <c:pt idx="48">
                  <c:v>728.25</c:v>
                </c:pt>
                <c:pt idx="49">
                  <c:v>758</c:v>
                </c:pt>
                <c:pt idx="50">
                  <c:v>730</c:v>
                </c:pt>
                <c:pt idx="51">
                  <c:v>754.5</c:v>
                </c:pt>
                <c:pt idx="52">
                  <c:v>741.75</c:v>
                </c:pt>
                <c:pt idx="53">
                  <c:v>756.25</c:v>
                </c:pt>
                <c:pt idx="54">
                  <c:v>753</c:v>
                </c:pt>
                <c:pt idx="55">
                  <c:v>757.75</c:v>
                </c:pt>
                <c:pt idx="56">
                  <c:v>748.25</c:v>
                </c:pt>
                <c:pt idx="57">
                  <c:v>754</c:v>
                </c:pt>
                <c:pt idx="58">
                  <c:v>748.5</c:v>
                </c:pt>
                <c:pt idx="59">
                  <c:v>726.25</c:v>
                </c:pt>
                <c:pt idx="60">
                  <c:v>738</c:v>
                </c:pt>
                <c:pt idx="61">
                  <c:v>748.75</c:v>
                </c:pt>
                <c:pt idx="62">
                  <c:v>735</c:v>
                </c:pt>
                <c:pt idx="63">
                  <c:v>750.5</c:v>
                </c:pt>
                <c:pt idx="64">
                  <c:v>759.75</c:v>
                </c:pt>
                <c:pt idx="65">
                  <c:v>756.5</c:v>
                </c:pt>
                <c:pt idx="66">
                  <c:v>757.75</c:v>
                </c:pt>
                <c:pt idx="67">
                  <c:v>768.75</c:v>
                </c:pt>
                <c:pt idx="68">
                  <c:v>764.5</c:v>
                </c:pt>
                <c:pt idx="69">
                  <c:v>776.25</c:v>
                </c:pt>
                <c:pt idx="70">
                  <c:v>783.5</c:v>
                </c:pt>
                <c:pt idx="71">
                  <c:v>790.25</c:v>
                </c:pt>
                <c:pt idx="72">
                  <c:v>791</c:v>
                </c:pt>
                <c:pt idx="73">
                  <c:v>813.25</c:v>
                </c:pt>
                <c:pt idx="74">
                  <c:v>804</c:v>
                </c:pt>
                <c:pt idx="75">
                  <c:v>815.75</c:v>
                </c:pt>
                <c:pt idx="76">
                  <c:v>799.25</c:v>
                </c:pt>
                <c:pt idx="77">
                  <c:v>793</c:v>
                </c:pt>
                <c:pt idx="78">
                  <c:v>800.25</c:v>
                </c:pt>
                <c:pt idx="79">
                  <c:v>803.25</c:v>
                </c:pt>
                <c:pt idx="80">
                  <c:v>815.5</c:v>
                </c:pt>
                <c:pt idx="81">
                  <c:v>816</c:v>
                </c:pt>
                <c:pt idx="82">
                  <c:v>818.25</c:v>
                </c:pt>
                <c:pt idx="83">
                  <c:v>813</c:v>
                </c:pt>
                <c:pt idx="84">
                  <c:v>800.75</c:v>
                </c:pt>
                <c:pt idx="85">
                  <c:v>798.5</c:v>
                </c:pt>
                <c:pt idx="86">
                  <c:v>803.75</c:v>
                </c:pt>
                <c:pt idx="87">
                  <c:v>792.25</c:v>
                </c:pt>
                <c:pt idx="88">
                  <c:v>784.5</c:v>
                </c:pt>
                <c:pt idx="89">
                  <c:v>786.5</c:v>
                </c:pt>
                <c:pt idx="90">
                  <c:v>802.25</c:v>
                </c:pt>
                <c:pt idx="91">
                  <c:v>813.5</c:v>
                </c:pt>
                <c:pt idx="92">
                  <c:v>794.5</c:v>
                </c:pt>
                <c:pt idx="93">
                  <c:v>809.5</c:v>
                </c:pt>
                <c:pt idx="94">
                  <c:v>800.75</c:v>
                </c:pt>
                <c:pt idx="95">
                  <c:v>781.5</c:v>
                </c:pt>
                <c:pt idx="96">
                  <c:v>783.25</c:v>
                </c:pt>
                <c:pt idx="97">
                  <c:v>778.75</c:v>
                </c:pt>
                <c:pt idx="98">
                  <c:v>786.25</c:v>
                </c:pt>
                <c:pt idx="99">
                  <c:v>771.75</c:v>
                </c:pt>
                <c:pt idx="100">
                  <c:v>772.25</c:v>
                </c:pt>
                <c:pt idx="101">
                  <c:v>765</c:v>
                </c:pt>
                <c:pt idx="102">
                  <c:v>777.25</c:v>
                </c:pt>
                <c:pt idx="103">
                  <c:v>775.62</c:v>
                </c:pt>
                <c:pt idx="104">
                  <c:v>753.5</c:v>
                </c:pt>
                <c:pt idx="105">
                  <c:v>731.25</c:v>
                </c:pt>
                <c:pt idx="106">
                  <c:v>730.25</c:v>
                </c:pt>
                <c:pt idx="107">
                  <c:v>727</c:v>
                </c:pt>
                <c:pt idx="108">
                  <c:v>742.5</c:v>
                </c:pt>
                <c:pt idx="109">
                  <c:v>757</c:v>
                </c:pt>
                <c:pt idx="110">
                  <c:v>764.5</c:v>
                </c:pt>
                <c:pt idx="111">
                  <c:v>773</c:v>
                </c:pt>
                <c:pt idx="112">
                  <c:v>773.25</c:v>
                </c:pt>
                <c:pt idx="113">
                  <c:v>769.25</c:v>
                </c:pt>
                <c:pt idx="114">
                  <c:v>768.25</c:v>
                </c:pt>
                <c:pt idx="115">
                  <c:v>774</c:v>
                </c:pt>
                <c:pt idx="116">
                  <c:v>788.25</c:v>
                </c:pt>
                <c:pt idx="117">
                  <c:v>784.5</c:v>
                </c:pt>
                <c:pt idx="118">
                  <c:v>760.75</c:v>
                </c:pt>
                <c:pt idx="119">
                  <c:v>768</c:v>
                </c:pt>
                <c:pt idx="120">
                  <c:v>746.75</c:v>
                </c:pt>
                <c:pt idx="121">
                  <c:v>750.25</c:v>
                </c:pt>
                <c:pt idx="122">
                  <c:v>744.25</c:v>
                </c:pt>
                <c:pt idx="123">
                  <c:v>759.5</c:v>
                </c:pt>
                <c:pt idx="124">
                  <c:v>770.25</c:v>
                </c:pt>
                <c:pt idx="125">
                  <c:v>743.75</c:v>
                </c:pt>
                <c:pt idx="126">
                  <c:v>754.5</c:v>
                </c:pt>
                <c:pt idx="127">
                  <c:v>736</c:v>
                </c:pt>
                <c:pt idx="128">
                  <c:v>744.25</c:v>
                </c:pt>
                <c:pt idx="129">
                  <c:v>747</c:v>
                </c:pt>
                <c:pt idx="130">
                  <c:v>778.25</c:v>
                </c:pt>
                <c:pt idx="131">
                  <c:v>781.25</c:v>
                </c:pt>
                <c:pt idx="132">
                  <c:v>732.75</c:v>
                </c:pt>
                <c:pt idx="133">
                  <c:v>740</c:v>
                </c:pt>
                <c:pt idx="134">
                  <c:v>695</c:v>
                </c:pt>
                <c:pt idx="135">
                  <c:v>604.25</c:v>
                </c:pt>
                <c:pt idx="136">
                  <c:v>612.25</c:v>
                </c:pt>
                <c:pt idx="137">
                  <c:v>596.75</c:v>
                </c:pt>
                <c:pt idx="138">
                  <c:v>592.25</c:v>
                </c:pt>
                <c:pt idx="139">
                  <c:v>575.75</c:v>
                </c:pt>
                <c:pt idx="140">
                  <c:v>564.25</c:v>
                </c:pt>
                <c:pt idx="141">
                  <c:v>580</c:v>
                </c:pt>
                <c:pt idx="142">
                  <c:v>597</c:v>
                </c:pt>
                <c:pt idx="143">
                  <c:v>600.25</c:v>
                </c:pt>
                <c:pt idx="144">
                  <c:v>615</c:v>
                </c:pt>
                <c:pt idx="145">
                  <c:v>616.25</c:v>
                </c:pt>
                <c:pt idx="146">
                  <c:v>607</c:v>
                </c:pt>
                <c:pt idx="147">
                  <c:v>591.25</c:v>
                </c:pt>
                <c:pt idx="148">
                  <c:v>591.5</c:v>
                </c:pt>
                <c:pt idx="149">
                  <c:v>602.25</c:v>
                </c:pt>
                <c:pt idx="150">
                  <c:v>610.25</c:v>
                </c:pt>
                <c:pt idx="151">
                  <c:v>608.5</c:v>
                </c:pt>
                <c:pt idx="152">
                  <c:v>615.5</c:v>
                </c:pt>
                <c:pt idx="153">
                  <c:v>621.25</c:v>
                </c:pt>
                <c:pt idx="154">
                  <c:v>629.25</c:v>
                </c:pt>
                <c:pt idx="155">
                  <c:v>639.75</c:v>
                </c:pt>
                <c:pt idx="156">
                  <c:v>626.75</c:v>
                </c:pt>
                <c:pt idx="157">
                  <c:v>611</c:v>
                </c:pt>
                <c:pt idx="158">
                  <c:v>615</c:v>
                </c:pt>
                <c:pt idx="159">
                  <c:v>619.75</c:v>
                </c:pt>
                <c:pt idx="160">
                  <c:v>626</c:v>
                </c:pt>
                <c:pt idx="161">
                  <c:v>633.5</c:v>
                </c:pt>
                <c:pt idx="162">
                  <c:v>660</c:v>
                </c:pt>
                <c:pt idx="163">
                  <c:v>665.75</c:v>
                </c:pt>
                <c:pt idx="164">
                  <c:v>657.5</c:v>
                </c:pt>
                <c:pt idx="165">
                  <c:v>668.75</c:v>
                </c:pt>
                <c:pt idx="166">
                  <c:v>683.75</c:v>
                </c:pt>
                <c:pt idx="167">
                  <c:v>679.75</c:v>
                </c:pt>
                <c:pt idx="168">
                  <c:v>673.75</c:v>
                </c:pt>
                <c:pt idx="169">
                  <c:v>658.25</c:v>
                </c:pt>
                <c:pt idx="170">
                  <c:v>669</c:v>
                </c:pt>
                <c:pt idx="171">
                  <c:v>667.38</c:v>
                </c:pt>
                <c:pt idx="172">
                  <c:v>680.75</c:v>
                </c:pt>
                <c:pt idx="173">
                  <c:v>676.75</c:v>
                </c:pt>
                <c:pt idx="174">
                  <c:v>668.5</c:v>
                </c:pt>
                <c:pt idx="175">
                  <c:v>698.5</c:v>
                </c:pt>
                <c:pt idx="176">
                  <c:v>712.25</c:v>
                </c:pt>
                <c:pt idx="177">
                  <c:v>709</c:v>
                </c:pt>
                <c:pt idx="178">
                  <c:v>709</c:v>
                </c:pt>
                <c:pt idx="179">
                  <c:v>677.5</c:v>
                </c:pt>
                <c:pt idx="180">
                  <c:v>677.25</c:v>
                </c:pt>
                <c:pt idx="181">
                  <c:v>678.25</c:v>
                </c:pt>
                <c:pt idx="182">
                  <c:v>692</c:v>
                </c:pt>
                <c:pt idx="183">
                  <c:v>685.5</c:v>
                </c:pt>
                <c:pt idx="184">
                  <c:v>688.25</c:v>
                </c:pt>
                <c:pt idx="185">
                  <c:v>676.75</c:v>
                </c:pt>
                <c:pt idx="186">
                  <c:v>666.25</c:v>
                </c:pt>
                <c:pt idx="187">
                  <c:v>667.5</c:v>
                </c:pt>
                <c:pt idx="188">
                  <c:v>670.5</c:v>
                </c:pt>
                <c:pt idx="189">
                  <c:v>669.5</c:v>
                </c:pt>
                <c:pt idx="190">
                  <c:v>677.5</c:v>
                </c:pt>
                <c:pt idx="191">
                  <c:v>680.75</c:v>
                </c:pt>
                <c:pt idx="192">
                  <c:v>683</c:v>
                </c:pt>
                <c:pt idx="193">
                  <c:v>684</c:v>
                </c:pt>
                <c:pt idx="194">
                  <c:v>675.5</c:v>
                </c:pt>
                <c:pt idx="195">
                  <c:v>683.25</c:v>
                </c:pt>
                <c:pt idx="196">
                  <c:v>698.25</c:v>
                </c:pt>
                <c:pt idx="197">
                  <c:v>693</c:v>
                </c:pt>
                <c:pt idx="198">
                  <c:v>693</c:v>
                </c:pt>
                <c:pt idx="199">
                  <c:v>697.75</c:v>
                </c:pt>
                <c:pt idx="200">
                  <c:v>689.75</c:v>
                </c:pt>
                <c:pt idx="201">
                  <c:v>683.5</c:v>
                </c:pt>
                <c:pt idx="202">
                  <c:v>681</c:v>
                </c:pt>
                <c:pt idx="203">
                  <c:v>678.25</c:v>
                </c:pt>
                <c:pt idx="204">
                  <c:v>684</c:v>
                </c:pt>
                <c:pt idx="205">
                  <c:v>684.25</c:v>
                </c:pt>
                <c:pt idx="206">
                  <c:v>681.5</c:v>
                </c:pt>
                <c:pt idx="207">
                  <c:v>686.25</c:v>
                </c:pt>
                <c:pt idx="208">
                  <c:v>685</c:v>
                </c:pt>
                <c:pt idx="209">
                  <c:v>682.25</c:v>
                </c:pt>
                <c:pt idx="210">
                  <c:v>680.75</c:v>
                </c:pt>
                <c:pt idx="211">
                  <c:v>691.5</c:v>
                </c:pt>
                <c:pt idx="212">
                  <c:v>697.75</c:v>
                </c:pt>
                <c:pt idx="213">
                  <c:v>687.5</c:v>
                </c:pt>
                <c:pt idx="214">
                  <c:v>679.25</c:v>
                </c:pt>
                <c:pt idx="215">
                  <c:v>681</c:v>
                </c:pt>
                <c:pt idx="216">
                  <c:v>675.75</c:v>
                </c:pt>
                <c:pt idx="217">
                  <c:v>667.5</c:v>
                </c:pt>
                <c:pt idx="218">
                  <c:v>664.5</c:v>
                </c:pt>
                <c:pt idx="219">
                  <c:v>653.25</c:v>
                </c:pt>
                <c:pt idx="220">
                  <c:v>658</c:v>
                </c:pt>
                <c:pt idx="221">
                  <c:v>657.25</c:v>
                </c:pt>
                <c:pt idx="222">
                  <c:v>666.75</c:v>
                </c:pt>
                <c:pt idx="223">
                  <c:v>665.25</c:v>
                </c:pt>
                <c:pt idx="224">
                  <c:v>667.5</c:v>
                </c:pt>
                <c:pt idx="225">
                  <c:v>667.75</c:v>
                </c:pt>
                <c:pt idx="226">
                  <c:v>659.5</c:v>
                </c:pt>
                <c:pt idx="227">
                  <c:v>656.75</c:v>
                </c:pt>
                <c:pt idx="228">
                  <c:v>663.25</c:v>
                </c:pt>
                <c:pt idx="229">
                  <c:v>668</c:v>
                </c:pt>
                <c:pt idx="230">
                  <c:v>668.75</c:v>
                </c:pt>
                <c:pt idx="231">
                  <c:v>665.75</c:v>
                </c:pt>
                <c:pt idx="232">
                  <c:v>662</c:v>
                </c:pt>
                <c:pt idx="233">
                  <c:v>650</c:v>
                </c:pt>
                <c:pt idx="234">
                  <c:v>635</c:v>
                </c:pt>
                <c:pt idx="235">
                  <c:v>628.75</c:v>
                </c:pt>
                <c:pt idx="236">
                  <c:v>625.5</c:v>
                </c:pt>
                <c:pt idx="237">
                  <c:v>627.75</c:v>
                </c:pt>
                <c:pt idx="238">
                  <c:v>632</c:v>
                </c:pt>
                <c:pt idx="239">
                  <c:v>634.75</c:v>
                </c:pt>
                <c:pt idx="240">
                  <c:v>641.25</c:v>
                </c:pt>
                <c:pt idx="241">
                  <c:v>643.75</c:v>
                </c:pt>
                <c:pt idx="242">
                  <c:v>639</c:v>
                </c:pt>
                <c:pt idx="243">
                  <c:v>653.5</c:v>
                </c:pt>
                <c:pt idx="244">
                  <c:v>653</c:v>
                </c:pt>
                <c:pt idx="245">
                  <c:v>647.25</c:v>
                </c:pt>
                <c:pt idx="246">
                  <c:v>652</c:v>
                </c:pt>
                <c:pt idx="247">
                  <c:v>662.25</c:v>
                </c:pt>
                <c:pt idx="248">
                  <c:v>660.5</c:v>
                </c:pt>
                <c:pt idx="249">
                  <c:v>666.25</c:v>
                </c:pt>
                <c:pt idx="250">
                  <c:v>674.75</c:v>
                </c:pt>
                <c:pt idx="251">
                  <c:v>682.75</c:v>
                </c:pt>
                <c:pt idx="252">
                  <c:v>679.5</c:v>
                </c:pt>
                <c:pt idx="253">
                  <c:v>678.5</c:v>
                </c:pt>
              </c:numCache>
            </c:numRef>
          </c:val>
          <c:smooth val="0"/>
          <c:extLst>
            <c:ext xmlns:c16="http://schemas.microsoft.com/office/drawing/2014/chart" uri="{C3380CC4-5D6E-409C-BE32-E72D297353CC}">
              <c16:uniqueId val="{00000002-B8C6-4D16-A1C0-876FD7A85DDC}"/>
            </c:ext>
          </c:extLst>
        </c:ser>
        <c:ser>
          <c:idx val="1"/>
          <c:order val="1"/>
          <c:tx>
            <c:strRef>
              <c:f>cornWheatChart!$C$2</c:f>
              <c:strCache>
                <c:ptCount val="1"/>
                <c:pt idx="0">
                  <c:v>Trigo</c:v>
                </c:pt>
              </c:strCache>
            </c:strRef>
          </c:tx>
          <c:spPr>
            <a:ln w="15875">
              <a:solidFill>
                <a:srgbClr val="002060"/>
              </a:solidFill>
            </a:ln>
          </c:spPr>
          <c:marker>
            <c:symbol val="none"/>
          </c:marker>
          <c:dLbls>
            <c:dLbl>
              <c:idx val="0"/>
              <c:layout>
                <c:manualLayout>
                  <c:x val="-5.1752528816749022E-2"/>
                  <c:y val="-9.408997353719499E-2"/>
                </c:manualLayout>
              </c:layout>
              <c:spPr>
                <a:noFill/>
                <a:ln>
                  <a:noFill/>
                </a:ln>
                <a:effectLst/>
              </c:spPr>
              <c:txPr>
                <a:bodyPr wrap="square" lIns="38100" tIns="19050" rIns="38100" bIns="19050" anchor="ctr">
                  <a:spAutoFit/>
                </a:bodyPr>
                <a:lstStyle/>
                <a:p>
                  <a:pPr>
                    <a:defRPr sz="900" b="1">
                      <a:solidFill>
                        <a:srgbClr val="002060"/>
                      </a:solidFill>
                    </a:defRPr>
                  </a:pPr>
                  <a:endParaRPr lang="es-G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8C6-4D16-A1C0-876FD7A85DDC}"/>
                </c:ext>
              </c:extLst>
            </c:dLbl>
            <c:dLbl>
              <c:idx val="253"/>
              <c:layout>
                <c:manualLayout>
                  <c:x val="-4.7047753469771818E-3"/>
                  <c:y val="-7.6448103498970896E-2"/>
                </c:manualLayout>
              </c:layout>
              <c:spPr>
                <a:noFill/>
                <a:ln>
                  <a:noFill/>
                </a:ln>
                <a:effectLst/>
              </c:spPr>
              <c:txPr>
                <a:bodyPr wrap="square" lIns="38100" tIns="19050" rIns="38100" bIns="19050" anchor="ctr">
                  <a:spAutoFit/>
                </a:bodyPr>
                <a:lstStyle/>
                <a:p>
                  <a:pPr>
                    <a:defRPr sz="900" b="1">
                      <a:solidFill>
                        <a:srgbClr val="002060"/>
                      </a:solidFill>
                    </a:defRPr>
                  </a:pPr>
                  <a:endParaRPr lang="es-G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8C6-4D16-A1C0-876FD7A85DDC}"/>
                </c:ext>
              </c:extLst>
            </c:dLbl>
            <c:spPr>
              <a:noFill/>
              <a:ln>
                <a:noFill/>
              </a:ln>
              <a:effectLst/>
            </c:spPr>
            <c:txPr>
              <a:bodyPr wrap="square" lIns="38100" tIns="19050" rIns="38100" bIns="19050" anchor="ctr">
                <a:spAutoFit/>
              </a:bodyPr>
              <a:lstStyle/>
              <a:p>
                <a:pPr>
                  <a:defRPr sz="900"/>
                </a:pPr>
                <a:endParaRPr lang="es-GT"/>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cornWheatChart!$A$3:$A$256</c:f>
              <c:numCache>
                <c:formatCode>mmm\-yy</c:formatCode>
                <c:ptCount val="254"/>
                <c:pt idx="0">
                  <c:v>44564</c:v>
                </c:pt>
                <c:pt idx="1">
                  <c:v>44565</c:v>
                </c:pt>
                <c:pt idx="2">
                  <c:v>44566</c:v>
                </c:pt>
                <c:pt idx="3">
                  <c:v>44567</c:v>
                </c:pt>
                <c:pt idx="4">
                  <c:v>44568</c:v>
                </c:pt>
                <c:pt idx="5">
                  <c:v>44571</c:v>
                </c:pt>
                <c:pt idx="6">
                  <c:v>44572</c:v>
                </c:pt>
                <c:pt idx="7">
                  <c:v>44573</c:v>
                </c:pt>
                <c:pt idx="8">
                  <c:v>44574</c:v>
                </c:pt>
                <c:pt idx="9">
                  <c:v>44575</c:v>
                </c:pt>
                <c:pt idx="10">
                  <c:v>44579</c:v>
                </c:pt>
                <c:pt idx="11">
                  <c:v>44580</c:v>
                </c:pt>
                <c:pt idx="12">
                  <c:v>44581</c:v>
                </c:pt>
                <c:pt idx="13">
                  <c:v>44582</c:v>
                </c:pt>
                <c:pt idx="14">
                  <c:v>44585</c:v>
                </c:pt>
                <c:pt idx="15">
                  <c:v>44586</c:v>
                </c:pt>
                <c:pt idx="16">
                  <c:v>44587</c:v>
                </c:pt>
                <c:pt idx="17">
                  <c:v>44588</c:v>
                </c:pt>
                <c:pt idx="18">
                  <c:v>44589</c:v>
                </c:pt>
                <c:pt idx="19">
                  <c:v>44592</c:v>
                </c:pt>
                <c:pt idx="20">
                  <c:v>44593</c:v>
                </c:pt>
                <c:pt idx="21">
                  <c:v>44594</c:v>
                </c:pt>
                <c:pt idx="22">
                  <c:v>44595</c:v>
                </c:pt>
                <c:pt idx="23">
                  <c:v>44596</c:v>
                </c:pt>
                <c:pt idx="24">
                  <c:v>44599</c:v>
                </c:pt>
                <c:pt idx="25">
                  <c:v>44600</c:v>
                </c:pt>
                <c:pt idx="26">
                  <c:v>44601</c:v>
                </c:pt>
                <c:pt idx="27">
                  <c:v>44602</c:v>
                </c:pt>
                <c:pt idx="28">
                  <c:v>44603</c:v>
                </c:pt>
                <c:pt idx="29">
                  <c:v>44606</c:v>
                </c:pt>
                <c:pt idx="30">
                  <c:v>44607</c:v>
                </c:pt>
                <c:pt idx="31">
                  <c:v>44608</c:v>
                </c:pt>
                <c:pt idx="32">
                  <c:v>44609</c:v>
                </c:pt>
                <c:pt idx="33">
                  <c:v>44610</c:v>
                </c:pt>
                <c:pt idx="34">
                  <c:v>44614</c:v>
                </c:pt>
                <c:pt idx="35">
                  <c:v>44615</c:v>
                </c:pt>
                <c:pt idx="36">
                  <c:v>44616</c:v>
                </c:pt>
                <c:pt idx="37">
                  <c:v>44617</c:v>
                </c:pt>
                <c:pt idx="38">
                  <c:v>44620</c:v>
                </c:pt>
                <c:pt idx="39">
                  <c:v>44621</c:v>
                </c:pt>
                <c:pt idx="40">
                  <c:v>44622</c:v>
                </c:pt>
                <c:pt idx="41">
                  <c:v>44623</c:v>
                </c:pt>
                <c:pt idx="42">
                  <c:v>44624</c:v>
                </c:pt>
                <c:pt idx="43">
                  <c:v>44627</c:v>
                </c:pt>
                <c:pt idx="44">
                  <c:v>44628</c:v>
                </c:pt>
                <c:pt idx="45">
                  <c:v>44629</c:v>
                </c:pt>
                <c:pt idx="46">
                  <c:v>44630</c:v>
                </c:pt>
                <c:pt idx="47">
                  <c:v>44631</c:v>
                </c:pt>
                <c:pt idx="48">
                  <c:v>44634</c:v>
                </c:pt>
                <c:pt idx="49">
                  <c:v>44635</c:v>
                </c:pt>
                <c:pt idx="50">
                  <c:v>44636</c:v>
                </c:pt>
                <c:pt idx="51">
                  <c:v>44637</c:v>
                </c:pt>
                <c:pt idx="52">
                  <c:v>44638</c:v>
                </c:pt>
                <c:pt idx="53">
                  <c:v>44641</c:v>
                </c:pt>
                <c:pt idx="54">
                  <c:v>44642</c:v>
                </c:pt>
                <c:pt idx="55">
                  <c:v>44643</c:v>
                </c:pt>
                <c:pt idx="56">
                  <c:v>44644</c:v>
                </c:pt>
                <c:pt idx="57">
                  <c:v>44645</c:v>
                </c:pt>
                <c:pt idx="58">
                  <c:v>44648</c:v>
                </c:pt>
                <c:pt idx="59">
                  <c:v>44649</c:v>
                </c:pt>
                <c:pt idx="60">
                  <c:v>44650</c:v>
                </c:pt>
                <c:pt idx="61">
                  <c:v>44651</c:v>
                </c:pt>
                <c:pt idx="62">
                  <c:v>44652</c:v>
                </c:pt>
                <c:pt idx="63">
                  <c:v>44655</c:v>
                </c:pt>
                <c:pt idx="64">
                  <c:v>44656</c:v>
                </c:pt>
                <c:pt idx="65">
                  <c:v>44657</c:v>
                </c:pt>
                <c:pt idx="66">
                  <c:v>44658</c:v>
                </c:pt>
                <c:pt idx="67">
                  <c:v>44659</c:v>
                </c:pt>
                <c:pt idx="68">
                  <c:v>44662</c:v>
                </c:pt>
                <c:pt idx="69">
                  <c:v>44663</c:v>
                </c:pt>
                <c:pt idx="70">
                  <c:v>44664</c:v>
                </c:pt>
                <c:pt idx="71">
                  <c:v>44665</c:v>
                </c:pt>
                <c:pt idx="72">
                  <c:v>44666</c:v>
                </c:pt>
                <c:pt idx="73">
                  <c:v>44669</c:v>
                </c:pt>
                <c:pt idx="74">
                  <c:v>44670</c:v>
                </c:pt>
                <c:pt idx="75">
                  <c:v>44671</c:v>
                </c:pt>
                <c:pt idx="76">
                  <c:v>44672</c:v>
                </c:pt>
                <c:pt idx="77">
                  <c:v>44673</c:v>
                </c:pt>
                <c:pt idx="78">
                  <c:v>44676</c:v>
                </c:pt>
                <c:pt idx="79">
                  <c:v>44677</c:v>
                </c:pt>
                <c:pt idx="80">
                  <c:v>44678</c:v>
                </c:pt>
                <c:pt idx="81">
                  <c:v>44679</c:v>
                </c:pt>
                <c:pt idx="82">
                  <c:v>44680</c:v>
                </c:pt>
                <c:pt idx="83">
                  <c:v>44683</c:v>
                </c:pt>
                <c:pt idx="84">
                  <c:v>44684</c:v>
                </c:pt>
                <c:pt idx="85">
                  <c:v>44685</c:v>
                </c:pt>
                <c:pt idx="86">
                  <c:v>44686</c:v>
                </c:pt>
                <c:pt idx="87">
                  <c:v>44687</c:v>
                </c:pt>
                <c:pt idx="88">
                  <c:v>44690</c:v>
                </c:pt>
                <c:pt idx="89">
                  <c:v>44691</c:v>
                </c:pt>
                <c:pt idx="90">
                  <c:v>44692</c:v>
                </c:pt>
                <c:pt idx="91">
                  <c:v>44693</c:v>
                </c:pt>
                <c:pt idx="92">
                  <c:v>44694</c:v>
                </c:pt>
                <c:pt idx="93">
                  <c:v>44697</c:v>
                </c:pt>
                <c:pt idx="94">
                  <c:v>44698</c:v>
                </c:pt>
                <c:pt idx="95">
                  <c:v>44699</c:v>
                </c:pt>
                <c:pt idx="96">
                  <c:v>44700</c:v>
                </c:pt>
                <c:pt idx="97">
                  <c:v>44701</c:v>
                </c:pt>
                <c:pt idx="98">
                  <c:v>44704</c:v>
                </c:pt>
                <c:pt idx="99">
                  <c:v>44705</c:v>
                </c:pt>
                <c:pt idx="100">
                  <c:v>44706</c:v>
                </c:pt>
                <c:pt idx="101">
                  <c:v>44707</c:v>
                </c:pt>
                <c:pt idx="102">
                  <c:v>44708</c:v>
                </c:pt>
                <c:pt idx="103">
                  <c:v>44711</c:v>
                </c:pt>
                <c:pt idx="104">
                  <c:v>44712</c:v>
                </c:pt>
                <c:pt idx="105">
                  <c:v>44713</c:v>
                </c:pt>
                <c:pt idx="106">
                  <c:v>44714</c:v>
                </c:pt>
                <c:pt idx="107">
                  <c:v>44715</c:v>
                </c:pt>
                <c:pt idx="108">
                  <c:v>44718</c:v>
                </c:pt>
                <c:pt idx="109">
                  <c:v>44719</c:v>
                </c:pt>
                <c:pt idx="110">
                  <c:v>44720</c:v>
                </c:pt>
                <c:pt idx="111">
                  <c:v>44721</c:v>
                </c:pt>
                <c:pt idx="112">
                  <c:v>44722</c:v>
                </c:pt>
                <c:pt idx="113">
                  <c:v>44725</c:v>
                </c:pt>
                <c:pt idx="114">
                  <c:v>44726</c:v>
                </c:pt>
                <c:pt idx="115">
                  <c:v>44727</c:v>
                </c:pt>
                <c:pt idx="116">
                  <c:v>44728</c:v>
                </c:pt>
                <c:pt idx="117">
                  <c:v>44729</c:v>
                </c:pt>
                <c:pt idx="118">
                  <c:v>44733</c:v>
                </c:pt>
                <c:pt idx="119">
                  <c:v>44734</c:v>
                </c:pt>
                <c:pt idx="120">
                  <c:v>44735</c:v>
                </c:pt>
                <c:pt idx="121">
                  <c:v>44736</c:v>
                </c:pt>
                <c:pt idx="122">
                  <c:v>44739</c:v>
                </c:pt>
                <c:pt idx="123">
                  <c:v>44740</c:v>
                </c:pt>
                <c:pt idx="124">
                  <c:v>44741</c:v>
                </c:pt>
                <c:pt idx="125">
                  <c:v>44742</c:v>
                </c:pt>
                <c:pt idx="126">
                  <c:v>44743</c:v>
                </c:pt>
                <c:pt idx="127">
                  <c:v>44747</c:v>
                </c:pt>
                <c:pt idx="128">
                  <c:v>44748</c:v>
                </c:pt>
                <c:pt idx="129">
                  <c:v>44749</c:v>
                </c:pt>
                <c:pt idx="130">
                  <c:v>44750</c:v>
                </c:pt>
                <c:pt idx="131">
                  <c:v>44753</c:v>
                </c:pt>
                <c:pt idx="132">
                  <c:v>44754</c:v>
                </c:pt>
                <c:pt idx="133">
                  <c:v>44755</c:v>
                </c:pt>
                <c:pt idx="134">
                  <c:v>44756</c:v>
                </c:pt>
                <c:pt idx="135">
                  <c:v>44757</c:v>
                </c:pt>
                <c:pt idx="136">
                  <c:v>44760</c:v>
                </c:pt>
                <c:pt idx="137">
                  <c:v>44761</c:v>
                </c:pt>
                <c:pt idx="138">
                  <c:v>44762</c:v>
                </c:pt>
                <c:pt idx="139">
                  <c:v>44763</c:v>
                </c:pt>
                <c:pt idx="140">
                  <c:v>44764</c:v>
                </c:pt>
                <c:pt idx="141">
                  <c:v>44767</c:v>
                </c:pt>
                <c:pt idx="142">
                  <c:v>44768</c:v>
                </c:pt>
                <c:pt idx="143">
                  <c:v>44769</c:v>
                </c:pt>
                <c:pt idx="144">
                  <c:v>44770</c:v>
                </c:pt>
                <c:pt idx="145">
                  <c:v>44771</c:v>
                </c:pt>
                <c:pt idx="146">
                  <c:v>44774</c:v>
                </c:pt>
                <c:pt idx="147">
                  <c:v>44775</c:v>
                </c:pt>
                <c:pt idx="148">
                  <c:v>44776</c:v>
                </c:pt>
                <c:pt idx="149">
                  <c:v>44777</c:v>
                </c:pt>
                <c:pt idx="150">
                  <c:v>44778</c:v>
                </c:pt>
                <c:pt idx="151">
                  <c:v>44781</c:v>
                </c:pt>
                <c:pt idx="152">
                  <c:v>44782</c:v>
                </c:pt>
                <c:pt idx="153">
                  <c:v>44783</c:v>
                </c:pt>
                <c:pt idx="154">
                  <c:v>44784</c:v>
                </c:pt>
                <c:pt idx="155">
                  <c:v>44785</c:v>
                </c:pt>
                <c:pt idx="156">
                  <c:v>44788</c:v>
                </c:pt>
                <c:pt idx="157">
                  <c:v>44789</c:v>
                </c:pt>
                <c:pt idx="158">
                  <c:v>44790</c:v>
                </c:pt>
                <c:pt idx="159">
                  <c:v>44791</c:v>
                </c:pt>
                <c:pt idx="160">
                  <c:v>44792</c:v>
                </c:pt>
                <c:pt idx="161">
                  <c:v>44795</c:v>
                </c:pt>
                <c:pt idx="162">
                  <c:v>44796</c:v>
                </c:pt>
                <c:pt idx="163">
                  <c:v>44797</c:v>
                </c:pt>
                <c:pt idx="164">
                  <c:v>44798</c:v>
                </c:pt>
                <c:pt idx="165">
                  <c:v>44799</c:v>
                </c:pt>
                <c:pt idx="166">
                  <c:v>44802</c:v>
                </c:pt>
                <c:pt idx="167">
                  <c:v>44803</c:v>
                </c:pt>
                <c:pt idx="168">
                  <c:v>44804</c:v>
                </c:pt>
                <c:pt idx="169">
                  <c:v>44805</c:v>
                </c:pt>
                <c:pt idx="170">
                  <c:v>44806</c:v>
                </c:pt>
                <c:pt idx="171">
                  <c:v>44809</c:v>
                </c:pt>
                <c:pt idx="172">
                  <c:v>44810</c:v>
                </c:pt>
                <c:pt idx="173">
                  <c:v>44811</c:v>
                </c:pt>
                <c:pt idx="174">
                  <c:v>44812</c:v>
                </c:pt>
                <c:pt idx="175">
                  <c:v>44813</c:v>
                </c:pt>
                <c:pt idx="176">
                  <c:v>44816</c:v>
                </c:pt>
                <c:pt idx="177">
                  <c:v>44817</c:v>
                </c:pt>
                <c:pt idx="178">
                  <c:v>44818</c:v>
                </c:pt>
                <c:pt idx="179">
                  <c:v>44819</c:v>
                </c:pt>
                <c:pt idx="180">
                  <c:v>44820</c:v>
                </c:pt>
                <c:pt idx="181">
                  <c:v>44823</c:v>
                </c:pt>
                <c:pt idx="182">
                  <c:v>44824</c:v>
                </c:pt>
                <c:pt idx="183">
                  <c:v>44825</c:v>
                </c:pt>
                <c:pt idx="184">
                  <c:v>44826</c:v>
                </c:pt>
                <c:pt idx="185">
                  <c:v>44827</c:v>
                </c:pt>
                <c:pt idx="186">
                  <c:v>44830</c:v>
                </c:pt>
                <c:pt idx="187">
                  <c:v>44831</c:v>
                </c:pt>
                <c:pt idx="188">
                  <c:v>44832</c:v>
                </c:pt>
                <c:pt idx="189">
                  <c:v>44833</c:v>
                </c:pt>
                <c:pt idx="190">
                  <c:v>44834</c:v>
                </c:pt>
                <c:pt idx="191">
                  <c:v>44837</c:v>
                </c:pt>
                <c:pt idx="192">
                  <c:v>44838</c:v>
                </c:pt>
                <c:pt idx="193">
                  <c:v>44839</c:v>
                </c:pt>
                <c:pt idx="194">
                  <c:v>44840</c:v>
                </c:pt>
                <c:pt idx="195">
                  <c:v>44841</c:v>
                </c:pt>
                <c:pt idx="196">
                  <c:v>44844</c:v>
                </c:pt>
                <c:pt idx="197">
                  <c:v>44845</c:v>
                </c:pt>
                <c:pt idx="198">
                  <c:v>44846</c:v>
                </c:pt>
                <c:pt idx="199">
                  <c:v>44847</c:v>
                </c:pt>
                <c:pt idx="200">
                  <c:v>44848</c:v>
                </c:pt>
                <c:pt idx="201">
                  <c:v>44851</c:v>
                </c:pt>
                <c:pt idx="202">
                  <c:v>44852</c:v>
                </c:pt>
                <c:pt idx="203">
                  <c:v>44853</c:v>
                </c:pt>
                <c:pt idx="204">
                  <c:v>44854</c:v>
                </c:pt>
                <c:pt idx="205">
                  <c:v>44855</c:v>
                </c:pt>
                <c:pt idx="206">
                  <c:v>44858</c:v>
                </c:pt>
                <c:pt idx="207">
                  <c:v>44859</c:v>
                </c:pt>
                <c:pt idx="208">
                  <c:v>44860</c:v>
                </c:pt>
                <c:pt idx="209">
                  <c:v>44861</c:v>
                </c:pt>
                <c:pt idx="210">
                  <c:v>44862</c:v>
                </c:pt>
                <c:pt idx="211">
                  <c:v>44865</c:v>
                </c:pt>
                <c:pt idx="212">
                  <c:v>44866</c:v>
                </c:pt>
                <c:pt idx="213">
                  <c:v>44867</c:v>
                </c:pt>
                <c:pt idx="214">
                  <c:v>44868</c:v>
                </c:pt>
                <c:pt idx="215">
                  <c:v>44869</c:v>
                </c:pt>
                <c:pt idx="216">
                  <c:v>44872</c:v>
                </c:pt>
                <c:pt idx="217">
                  <c:v>44873</c:v>
                </c:pt>
                <c:pt idx="218">
                  <c:v>44874</c:v>
                </c:pt>
                <c:pt idx="219">
                  <c:v>44875</c:v>
                </c:pt>
                <c:pt idx="220">
                  <c:v>44876</c:v>
                </c:pt>
                <c:pt idx="221">
                  <c:v>44879</c:v>
                </c:pt>
                <c:pt idx="222">
                  <c:v>44880</c:v>
                </c:pt>
                <c:pt idx="223">
                  <c:v>44881</c:v>
                </c:pt>
                <c:pt idx="224">
                  <c:v>44882</c:v>
                </c:pt>
                <c:pt idx="225">
                  <c:v>44883</c:v>
                </c:pt>
                <c:pt idx="226">
                  <c:v>44886</c:v>
                </c:pt>
                <c:pt idx="227">
                  <c:v>44887</c:v>
                </c:pt>
                <c:pt idx="228">
                  <c:v>44888</c:v>
                </c:pt>
                <c:pt idx="229">
                  <c:v>44890</c:v>
                </c:pt>
                <c:pt idx="230">
                  <c:v>44893</c:v>
                </c:pt>
                <c:pt idx="231">
                  <c:v>44894</c:v>
                </c:pt>
                <c:pt idx="232">
                  <c:v>44895</c:v>
                </c:pt>
                <c:pt idx="233">
                  <c:v>44896</c:v>
                </c:pt>
                <c:pt idx="234">
                  <c:v>44897</c:v>
                </c:pt>
                <c:pt idx="235">
                  <c:v>44900</c:v>
                </c:pt>
                <c:pt idx="236">
                  <c:v>44901</c:v>
                </c:pt>
                <c:pt idx="237">
                  <c:v>44902</c:v>
                </c:pt>
                <c:pt idx="238">
                  <c:v>44903</c:v>
                </c:pt>
                <c:pt idx="239">
                  <c:v>44904</c:v>
                </c:pt>
                <c:pt idx="240">
                  <c:v>44907</c:v>
                </c:pt>
                <c:pt idx="241">
                  <c:v>44908</c:v>
                </c:pt>
                <c:pt idx="242">
                  <c:v>44909</c:v>
                </c:pt>
                <c:pt idx="243">
                  <c:v>44910</c:v>
                </c:pt>
                <c:pt idx="244">
                  <c:v>44911</c:v>
                </c:pt>
                <c:pt idx="245">
                  <c:v>44914</c:v>
                </c:pt>
                <c:pt idx="246">
                  <c:v>44915</c:v>
                </c:pt>
                <c:pt idx="247">
                  <c:v>44916</c:v>
                </c:pt>
                <c:pt idx="248">
                  <c:v>44917</c:v>
                </c:pt>
                <c:pt idx="249">
                  <c:v>44918</c:v>
                </c:pt>
                <c:pt idx="250">
                  <c:v>44922</c:v>
                </c:pt>
                <c:pt idx="251">
                  <c:v>44923</c:v>
                </c:pt>
                <c:pt idx="252">
                  <c:v>44924</c:v>
                </c:pt>
                <c:pt idx="253">
                  <c:v>44925</c:v>
                </c:pt>
              </c:numCache>
            </c:numRef>
          </c:cat>
          <c:val>
            <c:numRef>
              <c:f>cornWheatChart!$C$3:$C$256</c:f>
              <c:numCache>
                <c:formatCode>0.0</c:formatCode>
                <c:ptCount val="254"/>
                <c:pt idx="0">
                  <c:v>758</c:v>
                </c:pt>
                <c:pt idx="1">
                  <c:v>770</c:v>
                </c:pt>
                <c:pt idx="2">
                  <c:v>760.75</c:v>
                </c:pt>
                <c:pt idx="3">
                  <c:v>746</c:v>
                </c:pt>
                <c:pt idx="4">
                  <c:v>758.5</c:v>
                </c:pt>
                <c:pt idx="5">
                  <c:v>762</c:v>
                </c:pt>
                <c:pt idx="6">
                  <c:v>770.25</c:v>
                </c:pt>
                <c:pt idx="7">
                  <c:v>757.75</c:v>
                </c:pt>
                <c:pt idx="8">
                  <c:v>746.75</c:v>
                </c:pt>
                <c:pt idx="9">
                  <c:v>741.5</c:v>
                </c:pt>
                <c:pt idx="10">
                  <c:v>769</c:v>
                </c:pt>
                <c:pt idx="11">
                  <c:v>796.5</c:v>
                </c:pt>
                <c:pt idx="12">
                  <c:v>790.25</c:v>
                </c:pt>
                <c:pt idx="13">
                  <c:v>780</c:v>
                </c:pt>
                <c:pt idx="14">
                  <c:v>800.5</c:v>
                </c:pt>
                <c:pt idx="15">
                  <c:v>818</c:v>
                </c:pt>
                <c:pt idx="16">
                  <c:v>795</c:v>
                </c:pt>
                <c:pt idx="17">
                  <c:v>777</c:v>
                </c:pt>
                <c:pt idx="18">
                  <c:v>786.25</c:v>
                </c:pt>
                <c:pt idx="19">
                  <c:v>761.25</c:v>
                </c:pt>
                <c:pt idx="20">
                  <c:v>769</c:v>
                </c:pt>
                <c:pt idx="21">
                  <c:v>755</c:v>
                </c:pt>
                <c:pt idx="22">
                  <c:v>751.75</c:v>
                </c:pt>
                <c:pt idx="23">
                  <c:v>763.25</c:v>
                </c:pt>
                <c:pt idx="24">
                  <c:v>768.75</c:v>
                </c:pt>
                <c:pt idx="25">
                  <c:v>778.75</c:v>
                </c:pt>
                <c:pt idx="26">
                  <c:v>785</c:v>
                </c:pt>
                <c:pt idx="27">
                  <c:v>771.5</c:v>
                </c:pt>
                <c:pt idx="28">
                  <c:v>797.75</c:v>
                </c:pt>
                <c:pt idx="29">
                  <c:v>799.25</c:v>
                </c:pt>
                <c:pt idx="30">
                  <c:v>779.75</c:v>
                </c:pt>
                <c:pt idx="31">
                  <c:v>780.5</c:v>
                </c:pt>
                <c:pt idx="32">
                  <c:v>798</c:v>
                </c:pt>
                <c:pt idx="33">
                  <c:v>797</c:v>
                </c:pt>
                <c:pt idx="34">
                  <c:v>844.25</c:v>
                </c:pt>
                <c:pt idx="35">
                  <c:v>876</c:v>
                </c:pt>
                <c:pt idx="36">
                  <c:v>926</c:v>
                </c:pt>
                <c:pt idx="37">
                  <c:v>843</c:v>
                </c:pt>
                <c:pt idx="38">
                  <c:v>928</c:v>
                </c:pt>
                <c:pt idx="39">
                  <c:v>1001.75</c:v>
                </c:pt>
                <c:pt idx="40">
                  <c:v>1058.5</c:v>
                </c:pt>
                <c:pt idx="41">
                  <c:v>1289</c:v>
                </c:pt>
                <c:pt idx="42">
                  <c:v>1348</c:v>
                </c:pt>
                <c:pt idx="43">
                  <c:v>1425.25</c:v>
                </c:pt>
                <c:pt idx="44">
                  <c:v>1273</c:v>
                </c:pt>
                <c:pt idx="45">
                  <c:v>1199.5</c:v>
                </c:pt>
                <c:pt idx="46">
                  <c:v>1073.75</c:v>
                </c:pt>
                <c:pt idx="47">
                  <c:v>1090</c:v>
                </c:pt>
                <c:pt idx="48">
                  <c:v>1099.75</c:v>
                </c:pt>
                <c:pt idx="49">
                  <c:v>1154.25</c:v>
                </c:pt>
                <c:pt idx="50">
                  <c:v>1069.25</c:v>
                </c:pt>
                <c:pt idx="51">
                  <c:v>1098</c:v>
                </c:pt>
                <c:pt idx="52">
                  <c:v>1063.75</c:v>
                </c:pt>
                <c:pt idx="53">
                  <c:v>1119.25</c:v>
                </c:pt>
                <c:pt idx="54">
                  <c:v>1118.25</c:v>
                </c:pt>
                <c:pt idx="55">
                  <c:v>1105.75</c:v>
                </c:pt>
                <c:pt idx="56">
                  <c:v>1085.75</c:v>
                </c:pt>
                <c:pt idx="57">
                  <c:v>1102.25</c:v>
                </c:pt>
                <c:pt idx="58">
                  <c:v>1057</c:v>
                </c:pt>
                <c:pt idx="59">
                  <c:v>1014.25</c:v>
                </c:pt>
                <c:pt idx="60">
                  <c:v>1027.25</c:v>
                </c:pt>
                <c:pt idx="61">
                  <c:v>1006</c:v>
                </c:pt>
                <c:pt idx="62">
                  <c:v>984.5</c:v>
                </c:pt>
                <c:pt idx="63">
                  <c:v>1010.25</c:v>
                </c:pt>
                <c:pt idx="64">
                  <c:v>1045.25</c:v>
                </c:pt>
                <c:pt idx="65">
                  <c:v>1041.1199999999999</c:v>
                </c:pt>
                <c:pt idx="66">
                  <c:v>1020</c:v>
                </c:pt>
                <c:pt idx="67">
                  <c:v>1051.5</c:v>
                </c:pt>
                <c:pt idx="68">
                  <c:v>1081.25</c:v>
                </c:pt>
                <c:pt idx="69">
                  <c:v>1103.75</c:v>
                </c:pt>
                <c:pt idx="70">
                  <c:v>1113.5</c:v>
                </c:pt>
                <c:pt idx="71">
                  <c:v>1096.5</c:v>
                </c:pt>
                <c:pt idx="72">
                  <c:v>1095.75</c:v>
                </c:pt>
                <c:pt idx="73">
                  <c:v>1120.5</c:v>
                </c:pt>
                <c:pt idx="74">
                  <c:v>1099</c:v>
                </c:pt>
                <c:pt idx="75">
                  <c:v>1088</c:v>
                </c:pt>
                <c:pt idx="76">
                  <c:v>1068</c:v>
                </c:pt>
                <c:pt idx="77">
                  <c:v>1065.5</c:v>
                </c:pt>
                <c:pt idx="78">
                  <c:v>1082.1199999999999</c:v>
                </c:pt>
                <c:pt idx="79">
                  <c:v>1095</c:v>
                </c:pt>
                <c:pt idx="80">
                  <c:v>1091.25</c:v>
                </c:pt>
                <c:pt idx="81">
                  <c:v>1085.75</c:v>
                </c:pt>
                <c:pt idx="82">
                  <c:v>1055.75</c:v>
                </c:pt>
                <c:pt idx="83">
                  <c:v>1054.3800000000001</c:v>
                </c:pt>
                <c:pt idx="84">
                  <c:v>1047</c:v>
                </c:pt>
                <c:pt idx="85">
                  <c:v>1076.5</c:v>
                </c:pt>
                <c:pt idx="86">
                  <c:v>1106.5</c:v>
                </c:pt>
                <c:pt idx="87">
                  <c:v>1108.5</c:v>
                </c:pt>
                <c:pt idx="88">
                  <c:v>1092.75</c:v>
                </c:pt>
                <c:pt idx="89">
                  <c:v>1083.25</c:v>
                </c:pt>
                <c:pt idx="90">
                  <c:v>1108.75</c:v>
                </c:pt>
                <c:pt idx="91">
                  <c:v>1174.5</c:v>
                </c:pt>
                <c:pt idx="92">
                  <c:v>1167.25</c:v>
                </c:pt>
                <c:pt idx="93">
                  <c:v>1247.5</c:v>
                </c:pt>
                <c:pt idx="94">
                  <c:v>1277.5</c:v>
                </c:pt>
                <c:pt idx="95">
                  <c:v>1230.75</c:v>
                </c:pt>
                <c:pt idx="96">
                  <c:v>1200.5</c:v>
                </c:pt>
                <c:pt idx="97">
                  <c:v>1168.75</c:v>
                </c:pt>
                <c:pt idx="98">
                  <c:v>1190</c:v>
                </c:pt>
                <c:pt idx="99">
                  <c:v>1154.75</c:v>
                </c:pt>
                <c:pt idx="100">
                  <c:v>1148.25</c:v>
                </c:pt>
                <c:pt idx="101">
                  <c:v>1143.25</c:v>
                </c:pt>
                <c:pt idx="102">
                  <c:v>1157.5</c:v>
                </c:pt>
                <c:pt idx="103">
                  <c:v>1155.3800000000001</c:v>
                </c:pt>
                <c:pt idx="104">
                  <c:v>1087.5</c:v>
                </c:pt>
                <c:pt idx="105">
                  <c:v>1041.25</c:v>
                </c:pt>
                <c:pt idx="106">
                  <c:v>1058.25</c:v>
                </c:pt>
                <c:pt idx="107">
                  <c:v>1040</c:v>
                </c:pt>
                <c:pt idx="108">
                  <c:v>1093</c:v>
                </c:pt>
                <c:pt idx="109">
                  <c:v>1071.75</c:v>
                </c:pt>
                <c:pt idx="110">
                  <c:v>1074.75</c:v>
                </c:pt>
                <c:pt idx="111">
                  <c:v>1071.25</c:v>
                </c:pt>
                <c:pt idx="112">
                  <c:v>1070.75</c:v>
                </c:pt>
                <c:pt idx="113">
                  <c:v>1071</c:v>
                </c:pt>
                <c:pt idx="114">
                  <c:v>1050.25</c:v>
                </c:pt>
                <c:pt idx="115">
                  <c:v>1050</c:v>
                </c:pt>
                <c:pt idx="116">
                  <c:v>1078.25</c:v>
                </c:pt>
                <c:pt idx="117">
                  <c:v>1034.25</c:v>
                </c:pt>
                <c:pt idx="118">
                  <c:v>975.25</c:v>
                </c:pt>
                <c:pt idx="119">
                  <c:v>976.5</c:v>
                </c:pt>
                <c:pt idx="120">
                  <c:v>937.25</c:v>
                </c:pt>
                <c:pt idx="121">
                  <c:v>923.75</c:v>
                </c:pt>
                <c:pt idx="122">
                  <c:v>917.5</c:v>
                </c:pt>
                <c:pt idx="123">
                  <c:v>936</c:v>
                </c:pt>
                <c:pt idx="124">
                  <c:v>930</c:v>
                </c:pt>
                <c:pt idx="125">
                  <c:v>884</c:v>
                </c:pt>
                <c:pt idx="126">
                  <c:v>846</c:v>
                </c:pt>
                <c:pt idx="127">
                  <c:v>807</c:v>
                </c:pt>
                <c:pt idx="128">
                  <c:v>804.5</c:v>
                </c:pt>
                <c:pt idx="129">
                  <c:v>836.5</c:v>
                </c:pt>
                <c:pt idx="130">
                  <c:v>891.5</c:v>
                </c:pt>
                <c:pt idx="131">
                  <c:v>843.75</c:v>
                </c:pt>
                <c:pt idx="132">
                  <c:v>801.5</c:v>
                </c:pt>
                <c:pt idx="133">
                  <c:v>798.25</c:v>
                </c:pt>
                <c:pt idx="134">
                  <c:v>794.25</c:v>
                </c:pt>
                <c:pt idx="135">
                  <c:v>776.75</c:v>
                </c:pt>
                <c:pt idx="136">
                  <c:v>812.75</c:v>
                </c:pt>
                <c:pt idx="137">
                  <c:v>812.25</c:v>
                </c:pt>
                <c:pt idx="138">
                  <c:v>819.5</c:v>
                </c:pt>
                <c:pt idx="139">
                  <c:v>806.25</c:v>
                </c:pt>
                <c:pt idx="140">
                  <c:v>759</c:v>
                </c:pt>
                <c:pt idx="141">
                  <c:v>770</c:v>
                </c:pt>
                <c:pt idx="142">
                  <c:v>803.75</c:v>
                </c:pt>
                <c:pt idx="143">
                  <c:v>790.25</c:v>
                </c:pt>
                <c:pt idx="144">
                  <c:v>817</c:v>
                </c:pt>
                <c:pt idx="145">
                  <c:v>807.75</c:v>
                </c:pt>
                <c:pt idx="146">
                  <c:v>800.25</c:v>
                </c:pt>
                <c:pt idx="147">
                  <c:v>774.75</c:v>
                </c:pt>
                <c:pt idx="148">
                  <c:v>763.75</c:v>
                </c:pt>
                <c:pt idx="149">
                  <c:v>782.5</c:v>
                </c:pt>
                <c:pt idx="150">
                  <c:v>775.75</c:v>
                </c:pt>
                <c:pt idx="151">
                  <c:v>779.75</c:v>
                </c:pt>
                <c:pt idx="152">
                  <c:v>781.5</c:v>
                </c:pt>
                <c:pt idx="153">
                  <c:v>799.75</c:v>
                </c:pt>
                <c:pt idx="154">
                  <c:v>810.75</c:v>
                </c:pt>
                <c:pt idx="155">
                  <c:v>806</c:v>
                </c:pt>
                <c:pt idx="156">
                  <c:v>800.75</c:v>
                </c:pt>
                <c:pt idx="157">
                  <c:v>786</c:v>
                </c:pt>
                <c:pt idx="158">
                  <c:v>763.25</c:v>
                </c:pt>
                <c:pt idx="159">
                  <c:v>731.5</c:v>
                </c:pt>
                <c:pt idx="160">
                  <c:v>753.25</c:v>
                </c:pt>
                <c:pt idx="161">
                  <c:v>770.5</c:v>
                </c:pt>
                <c:pt idx="162">
                  <c:v>782.75</c:v>
                </c:pt>
                <c:pt idx="163">
                  <c:v>795</c:v>
                </c:pt>
                <c:pt idx="164">
                  <c:v>769.75</c:v>
                </c:pt>
                <c:pt idx="165">
                  <c:v>784.75</c:v>
                </c:pt>
                <c:pt idx="166">
                  <c:v>842.75</c:v>
                </c:pt>
                <c:pt idx="167">
                  <c:v>820.25</c:v>
                </c:pt>
                <c:pt idx="168">
                  <c:v>831.5</c:v>
                </c:pt>
                <c:pt idx="169">
                  <c:v>797.75</c:v>
                </c:pt>
                <c:pt idx="170">
                  <c:v>811</c:v>
                </c:pt>
                <c:pt idx="171">
                  <c:v>812.25</c:v>
                </c:pt>
                <c:pt idx="172">
                  <c:v>817</c:v>
                </c:pt>
                <c:pt idx="173">
                  <c:v>844.25</c:v>
                </c:pt>
                <c:pt idx="174">
                  <c:v>829</c:v>
                </c:pt>
                <c:pt idx="175">
                  <c:v>869.5</c:v>
                </c:pt>
                <c:pt idx="176">
                  <c:v>858.75</c:v>
                </c:pt>
                <c:pt idx="177">
                  <c:v>842.75</c:v>
                </c:pt>
                <c:pt idx="178">
                  <c:v>853.75</c:v>
                </c:pt>
                <c:pt idx="179">
                  <c:v>845</c:v>
                </c:pt>
                <c:pt idx="180">
                  <c:v>859.75</c:v>
                </c:pt>
                <c:pt idx="181">
                  <c:v>830.5</c:v>
                </c:pt>
                <c:pt idx="182">
                  <c:v>893.75</c:v>
                </c:pt>
                <c:pt idx="183">
                  <c:v>903.75</c:v>
                </c:pt>
                <c:pt idx="184">
                  <c:v>910.75</c:v>
                </c:pt>
                <c:pt idx="185">
                  <c:v>880.5</c:v>
                </c:pt>
                <c:pt idx="186">
                  <c:v>858</c:v>
                </c:pt>
                <c:pt idx="187">
                  <c:v>871.5</c:v>
                </c:pt>
                <c:pt idx="188">
                  <c:v>903.25</c:v>
                </c:pt>
                <c:pt idx="189">
                  <c:v>896.25</c:v>
                </c:pt>
                <c:pt idx="190">
                  <c:v>921.5</c:v>
                </c:pt>
                <c:pt idx="191">
                  <c:v>912</c:v>
                </c:pt>
                <c:pt idx="192">
                  <c:v>903</c:v>
                </c:pt>
                <c:pt idx="193">
                  <c:v>902</c:v>
                </c:pt>
                <c:pt idx="194">
                  <c:v>879</c:v>
                </c:pt>
                <c:pt idx="195">
                  <c:v>880.25</c:v>
                </c:pt>
                <c:pt idx="196">
                  <c:v>938</c:v>
                </c:pt>
                <c:pt idx="197">
                  <c:v>901</c:v>
                </c:pt>
                <c:pt idx="198">
                  <c:v>882.25</c:v>
                </c:pt>
                <c:pt idx="199">
                  <c:v>892.25</c:v>
                </c:pt>
                <c:pt idx="200">
                  <c:v>859.75</c:v>
                </c:pt>
                <c:pt idx="201">
                  <c:v>861</c:v>
                </c:pt>
                <c:pt idx="202">
                  <c:v>849.5</c:v>
                </c:pt>
                <c:pt idx="203">
                  <c:v>841.25</c:v>
                </c:pt>
                <c:pt idx="204">
                  <c:v>849.25</c:v>
                </c:pt>
                <c:pt idx="205">
                  <c:v>850.75</c:v>
                </c:pt>
                <c:pt idx="206">
                  <c:v>838.75</c:v>
                </c:pt>
                <c:pt idx="207">
                  <c:v>834.75</c:v>
                </c:pt>
                <c:pt idx="208">
                  <c:v>840.5</c:v>
                </c:pt>
                <c:pt idx="209">
                  <c:v>838.5</c:v>
                </c:pt>
                <c:pt idx="210">
                  <c:v>829.25</c:v>
                </c:pt>
                <c:pt idx="211">
                  <c:v>882.25</c:v>
                </c:pt>
                <c:pt idx="212">
                  <c:v>902.5</c:v>
                </c:pt>
                <c:pt idx="213">
                  <c:v>846</c:v>
                </c:pt>
                <c:pt idx="214">
                  <c:v>840.5</c:v>
                </c:pt>
                <c:pt idx="215">
                  <c:v>847.75</c:v>
                </c:pt>
                <c:pt idx="216">
                  <c:v>845.75</c:v>
                </c:pt>
                <c:pt idx="217">
                  <c:v>827.75</c:v>
                </c:pt>
                <c:pt idx="218">
                  <c:v>806.5</c:v>
                </c:pt>
                <c:pt idx="219">
                  <c:v>803.5</c:v>
                </c:pt>
                <c:pt idx="220">
                  <c:v>813.75</c:v>
                </c:pt>
                <c:pt idx="221">
                  <c:v>818.5</c:v>
                </c:pt>
                <c:pt idx="222">
                  <c:v>828.25</c:v>
                </c:pt>
                <c:pt idx="223">
                  <c:v>817.5</c:v>
                </c:pt>
                <c:pt idx="224">
                  <c:v>806.75</c:v>
                </c:pt>
                <c:pt idx="225">
                  <c:v>803.25</c:v>
                </c:pt>
                <c:pt idx="226">
                  <c:v>799.25</c:v>
                </c:pt>
                <c:pt idx="227">
                  <c:v>810.5</c:v>
                </c:pt>
                <c:pt idx="228">
                  <c:v>813.5</c:v>
                </c:pt>
                <c:pt idx="229">
                  <c:v>797</c:v>
                </c:pt>
                <c:pt idx="230">
                  <c:v>780.75</c:v>
                </c:pt>
                <c:pt idx="231">
                  <c:v>781.5</c:v>
                </c:pt>
                <c:pt idx="232">
                  <c:v>795.5</c:v>
                </c:pt>
                <c:pt idx="233">
                  <c:v>783</c:v>
                </c:pt>
                <c:pt idx="234">
                  <c:v>737.25</c:v>
                </c:pt>
                <c:pt idx="235">
                  <c:v>715.5</c:v>
                </c:pt>
                <c:pt idx="236">
                  <c:v>705.5</c:v>
                </c:pt>
                <c:pt idx="237">
                  <c:v>727</c:v>
                </c:pt>
                <c:pt idx="238">
                  <c:v>724.25</c:v>
                </c:pt>
                <c:pt idx="239">
                  <c:v>712.75</c:v>
                </c:pt>
                <c:pt idx="240">
                  <c:v>733</c:v>
                </c:pt>
                <c:pt idx="241">
                  <c:v>728.75</c:v>
                </c:pt>
                <c:pt idx="242">
                  <c:v>728.25</c:v>
                </c:pt>
                <c:pt idx="243">
                  <c:v>757.25</c:v>
                </c:pt>
                <c:pt idx="244">
                  <c:v>753.5</c:v>
                </c:pt>
                <c:pt idx="245">
                  <c:v>748.5</c:v>
                </c:pt>
                <c:pt idx="246">
                  <c:v>750.5</c:v>
                </c:pt>
                <c:pt idx="247">
                  <c:v>767.75</c:v>
                </c:pt>
                <c:pt idx="248">
                  <c:v>762.25</c:v>
                </c:pt>
                <c:pt idx="249">
                  <c:v>776</c:v>
                </c:pt>
                <c:pt idx="250">
                  <c:v>774.5</c:v>
                </c:pt>
                <c:pt idx="251">
                  <c:v>785.5</c:v>
                </c:pt>
                <c:pt idx="252">
                  <c:v>774</c:v>
                </c:pt>
                <c:pt idx="253">
                  <c:v>792</c:v>
                </c:pt>
              </c:numCache>
            </c:numRef>
          </c:val>
          <c:smooth val="0"/>
          <c:extLst>
            <c:ext xmlns:c16="http://schemas.microsoft.com/office/drawing/2014/chart" uri="{C3380CC4-5D6E-409C-BE32-E72D297353CC}">
              <c16:uniqueId val="{00000005-B8C6-4D16-A1C0-876FD7A85DDC}"/>
            </c:ext>
          </c:extLst>
        </c:ser>
        <c:dLbls>
          <c:showLegendKey val="0"/>
          <c:showVal val="0"/>
          <c:showCatName val="0"/>
          <c:showSerName val="0"/>
          <c:showPercent val="0"/>
          <c:showBubbleSize val="0"/>
        </c:dLbls>
        <c:smooth val="0"/>
        <c:axId val="1500902960"/>
        <c:axId val="1500871760"/>
      </c:lineChart>
      <c:dateAx>
        <c:axId val="1500902960"/>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500871760"/>
        <c:crosses val="autoZero"/>
        <c:auto val="1"/>
        <c:lblOffset val="100"/>
        <c:baseTimeUnit val="days"/>
      </c:dateAx>
      <c:valAx>
        <c:axId val="1500871760"/>
        <c:scaling>
          <c:orientation val="minMax"/>
          <c:min val="300"/>
        </c:scaling>
        <c:delete val="0"/>
        <c:axPos val="l"/>
        <c:title>
          <c:tx>
            <c:rich>
              <a:bodyPr/>
              <a:lstStyle/>
              <a:p>
                <a:pPr>
                  <a:defRPr sz="900" b="0"/>
                </a:pPr>
                <a:r>
                  <a:rPr lang="es-GT" sz="900" b="0"/>
                  <a:t>$cts/bushel</a:t>
                </a:r>
              </a:p>
            </c:rich>
          </c:tx>
          <c:overlay val="0"/>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500902960"/>
        <c:crosses val="autoZero"/>
        <c:crossBetween val="between"/>
      </c:valAx>
    </c:plotArea>
    <c:legend>
      <c:legendPos val="r"/>
      <c:layout>
        <c:manualLayout>
          <c:xMode val="edge"/>
          <c:yMode val="edge"/>
          <c:x val="0.20404351361513826"/>
          <c:y val="4.3803698310131107E-4"/>
          <c:w val="0.47610888888888891"/>
          <c:h val="0.14656944444444445"/>
        </c:manualLayout>
      </c:layout>
      <c:overlay val="0"/>
    </c:legend>
    <c:plotVisOnly val="1"/>
    <c:dispBlanksAs val="gap"/>
    <c:showDLblsOverMax val="0"/>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703819444444444"/>
          <c:y val="6.3842138845015328E-2"/>
          <c:w val="0.74455381944444465"/>
          <c:h val="0.77615278787209108"/>
        </c:manualLayout>
      </c:layout>
      <c:barChart>
        <c:barDir val="col"/>
        <c:grouping val="clustered"/>
        <c:varyColors val="0"/>
        <c:ser>
          <c:idx val="1"/>
          <c:order val="0"/>
          <c:tx>
            <c:strRef>
              <c:f>demChart!$B$2</c:f>
              <c:strCache>
                <c:ptCount val="1"/>
                <c:pt idx="0">
                  <c:v>IMAE TC</c:v>
                </c:pt>
              </c:strCache>
            </c:strRef>
          </c:tx>
          <c:spPr>
            <a:solidFill>
              <a:schemeClr val="accent5">
                <a:lumMod val="60000"/>
                <a:lumOff val="40000"/>
              </a:schemeClr>
            </a:solidFill>
            <a:ln>
              <a:solidFill>
                <a:schemeClr val="tx2"/>
              </a:solidFill>
            </a:ln>
            <a:effectLst/>
          </c:spPr>
          <c:invertIfNegative val="0"/>
          <c:dLbls>
            <c:dLbl>
              <c:idx val="46"/>
              <c:layout>
                <c:manualLayout>
                  <c:x val="3.293342742884027E-2"/>
                  <c:y val="8.2328726845045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0DF-43AC-BBD7-C68A3D35388D}"/>
                </c:ext>
              </c:extLst>
            </c:dLbl>
            <c:spPr>
              <a:noFill/>
              <a:ln>
                <a:noFill/>
              </a:ln>
              <a:effectLst/>
            </c:spPr>
            <c:txPr>
              <a:bodyPr/>
              <a:lstStyle/>
              <a:p>
                <a:pPr>
                  <a:defRPr b="1">
                    <a:solidFill>
                      <a:schemeClr val="accent5">
                        <a:lumMod val="75000"/>
                      </a:schemeClr>
                    </a:solidFill>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ext>
            </c:extLst>
          </c:dLbls>
          <c:cat>
            <c:numRef>
              <c:f>demChart!$A$3:$A$49</c:f>
              <c:numCache>
                <c:formatCode>mmm\-yy</c:formatCode>
                <c:ptCount val="47"/>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pt idx="15">
                  <c:v>43922</c:v>
                </c:pt>
                <c:pt idx="16">
                  <c:v>43952</c:v>
                </c:pt>
                <c:pt idx="17">
                  <c:v>43983</c:v>
                </c:pt>
                <c:pt idx="18">
                  <c:v>44013</c:v>
                </c:pt>
                <c:pt idx="19">
                  <c:v>44044</c:v>
                </c:pt>
                <c:pt idx="20">
                  <c:v>44075</c:v>
                </c:pt>
                <c:pt idx="21">
                  <c:v>44105</c:v>
                </c:pt>
                <c:pt idx="22">
                  <c:v>44136</c:v>
                </c:pt>
                <c:pt idx="23">
                  <c:v>44166</c:v>
                </c:pt>
                <c:pt idx="24">
                  <c:v>44197</c:v>
                </c:pt>
                <c:pt idx="25">
                  <c:v>44228</c:v>
                </c:pt>
                <c:pt idx="26">
                  <c:v>44256</c:v>
                </c:pt>
                <c:pt idx="27">
                  <c:v>44287</c:v>
                </c:pt>
                <c:pt idx="28">
                  <c:v>44317</c:v>
                </c:pt>
                <c:pt idx="29">
                  <c:v>44348</c:v>
                </c:pt>
                <c:pt idx="30">
                  <c:v>44378</c:v>
                </c:pt>
                <c:pt idx="31">
                  <c:v>44409</c:v>
                </c:pt>
                <c:pt idx="32">
                  <c:v>44440</c:v>
                </c:pt>
                <c:pt idx="33">
                  <c:v>44470</c:v>
                </c:pt>
                <c:pt idx="34">
                  <c:v>44501</c:v>
                </c:pt>
                <c:pt idx="35">
                  <c:v>44531</c:v>
                </c:pt>
                <c:pt idx="36">
                  <c:v>44562</c:v>
                </c:pt>
                <c:pt idx="37">
                  <c:v>44593</c:v>
                </c:pt>
                <c:pt idx="38">
                  <c:v>44621</c:v>
                </c:pt>
                <c:pt idx="39">
                  <c:v>44652</c:v>
                </c:pt>
                <c:pt idx="40">
                  <c:v>44682</c:v>
                </c:pt>
                <c:pt idx="41">
                  <c:v>44713</c:v>
                </c:pt>
                <c:pt idx="42">
                  <c:v>44743</c:v>
                </c:pt>
                <c:pt idx="43">
                  <c:v>44774</c:v>
                </c:pt>
                <c:pt idx="44">
                  <c:v>44805</c:v>
                </c:pt>
                <c:pt idx="45">
                  <c:v>44835</c:v>
                </c:pt>
                <c:pt idx="46">
                  <c:v>44866</c:v>
                </c:pt>
              </c:numCache>
            </c:numRef>
          </c:cat>
          <c:val>
            <c:numRef>
              <c:f>demChart!$B$3:$B$49</c:f>
              <c:numCache>
                <c:formatCode>_-* #,##0.0_-;\-* #,##0.0_-;_-* "-"??_-;_-@_-</c:formatCode>
                <c:ptCount val="47"/>
                <c:pt idx="0">
                  <c:v>3.53</c:v>
                </c:pt>
                <c:pt idx="1">
                  <c:v>3.71</c:v>
                </c:pt>
                <c:pt idx="2">
                  <c:v>3.85</c:v>
                </c:pt>
                <c:pt idx="3">
                  <c:v>3.93</c:v>
                </c:pt>
                <c:pt idx="4">
                  <c:v>3.92</c:v>
                </c:pt>
                <c:pt idx="5">
                  <c:v>3.92</c:v>
                </c:pt>
                <c:pt idx="6">
                  <c:v>3.85</c:v>
                </c:pt>
                <c:pt idx="7">
                  <c:v>3.82</c:v>
                </c:pt>
                <c:pt idx="8">
                  <c:v>4.07</c:v>
                </c:pt>
                <c:pt idx="9">
                  <c:v>4.4800000000000004</c:v>
                </c:pt>
                <c:pt idx="10">
                  <c:v>4.58</c:v>
                </c:pt>
                <c:pt idx="11">
                  <c:v>3.83</c:v>
                </c:pt>
                <c:pt idx="12">
                  <c:v>1.96</c:v>
                </c:pt>
                <c:pt idx="13">
                  <c:v>-0.87</c:v>
                </c:pt>
                <c:pt idx="14">
                  <c:v>-4.0199999999999996</c:v>
                </c:pt>
                <c:pt idx="15">
                  <c:v>-6.43</c:v>
                </c:pt>
                <c:pt idx="16">
                  <c:v>-7.29</c:v>
                </c:pt>
                <c:pt idx="17">
                  <c:v>-6.37</c:v>
                </c:pt>
                <c:pt idx="18">
                  <c:v>-4.13</c:v>
                </c:pt>
                <c:pt idx="19">
                  <c:v>-1.61</c:v>
                </c:pt>
                <c:pt idx="20">
                  <c:v>0.24</c:v>
                </c:pt>
                <c:pt idx="21">
                  <c:v>1.17</c:v>
                </c:pt>
                <c:pt idx="22">
                  <c:v>1.6</c:v>
                </c:pt>
                <c:pt idx="23">
                  <c:v>2.27</c:v>
                </c:pt>
                <c:pt idx="24">
                  <c:v>3.77</c:v>
                </c:pt>
                <c:pt idx="25">
                  <c:v>6.34</c:v>
                </c:pt>
                <c:pt idx="26">
                  <c:v>9.6</c:v>
                </c:pt>
                <c:pt idx="27">
                  <c:v>12.52</c:v>
                </c:pt>
                <c:pt idx="28">
                  <c:v>13.92</c:v>
                </c:pt>
                <c:pt idx="29">
                  <c:v>13.14</c:v>
                </c:pt>
                <c:pt idx="30">
                  <c:v>10.89</c:v>
                </c:pt>
                <c:pt idx="31">
                  <c:v>8.23</c:v>
                </c:pt>
                <c:pt idx="32">
                  <c:v>6.25</c:v>
                </c:pt>
                <c:pt idx="33">
                  <c:v>5.13</c:v>
                </c:pt>
                <c:pt idx="34">
                  <c:v>4.83</c:v>
                </c:pt>
                <c:pt idx="35">
                  <c:v>4.72</c:v>
                </c:pt>
                <c:pt idx="36">
                  <c:v>4.76</c:v>
                </c:pt>
                <c:pt idx="37">
                  <c:v>4.68</c:v>
                </c:pt>
                <c:pt idx="38">
                  <c:v>4.5</c:v>
                </c:pt>
                <c:pt idx="39">
                  <c:v>4.2</c:v>
                </c:pt>
                <c:pt idx="40">
                  <c:v>3.9</c:v>
                </c:pt>
                <c:pt idx="41">
                  <c:v>3.76</c:v>
                </c:pt>
                <c:pt idx="42">
                  <c:v>3.61</c:v>
                </c:pt>
                <c:pt idx="43">
                  <c:v>3.63</c:v>
                </c:pt>
                <c:pt idx="44">
                  <c:v>3.64</c:v>
                </c:pt>
                <c:pt idx="45">
                  <c:v>3.73</c:v>
                </c:pt>
                <c:pt idx="46">
                  <c:v>3.78</c:v>
                </c:pt>
              </c:numCache>
            </c:numRef>
          </c:val>
          <c:extLst>
            <c:ext xmlns:c16="http://schemas.microsoft.com/office/drawing/2014/chart" uri="{C3380CC4-5D6E-409C-BE32-E72D297353CC}">
              <c16:uniqueId val="{00000001-10DF-43AC-BBD7-C68A3D35388D}"/>
            </c:ext>
          </c:extLst>
        </c:ser>
        <c:dLbls>
          <c:showLegendKey val="0"/>
          <c:showVal val="0"/>
          <c:showCatName val="0"/>
          <c:showSerName val="0"/>
          <c:showPercent val="0"/>
          <c:showBubbleSize val="0"/>
        </c:dLbls>
        <c:gapWidth val="150"/>
        <c:axId val="817510143"/>
        <c:axId val="817513887"/>
      </c:barChart>
      <c:lineChart>
        <c:grouping val="standard"/>
        <c:varyColors val="0"/>
        <c:ser>
          <c:idx val="0"/>
          <c:order val="1"/>
          <c:tx>
            <c:strRef>
              <c:f>demChart!$C$2</c:f>
              <c:strCache>
                <c:ptCount val="1"/>
                <c:pt idx="0">
                  <c:v>IMAE</c:v>
                </c:pt>
              </c:strCache>
            </c:strRef>
          </c:tx>
          <c:spPr>
            <a:ln w="28575" cap="rnd">
              <a:solidFill>
                <a:srgbClr val="002060"/>
              </a:solidFill>
              <a:round/>
            </a:ln>
            <a:effectLst/>
          </c:spPr>
          <c:marker>
            <c:symbol val="none"/>
          </c:marker>
          <c:dLbls>
            <c:dLbl>
              <c:idx val="46"/>
              <c:layout>
                <c:manualLayout>
                  <c:x val="0"/>
                  <c:y val="-5.8806233460746836E-2"/>
                </c:manualLayout>
              </c:layout>
              <c:spPr>
                <a:noFill/>
                <a:ln>
                  <a:noFill/>
                </a:ln>
                <a:effectLst/>
              </c:spPr>
              <c:txPr>
                <a:bodyPr wrap="square" lIns="38100" tIns="19050" rIns="38100" bIns="19050" anchor="ctr">
                  <a:spAutoFit/>
                </a:bodyPr>
                <a:lstStyle/>
                <a:p>
                  <a:pPr>
                    <a:defRPr b="1">
                      <a:solidFill>
                        <a:srgbClr val="002060"/>
                      </a:solidFill>
                      <a:latin typeface="Times New Roman" panose="02020603050405020304" pitchFamily="18" charset="0"/>
                      <a:cs typeface="Times New Roman" panose="02020603050405020304" pitchFamily="18" charset="0"/>
                    </a:defRPr>
                  </a:pPr>
                  <a:endParaRPr lang="es-G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0DF-43AC-BBD7-C68A3D35388D}"/>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numRef>
              <c:f>demChart!$A$3:$A$49</c:f>
              <c:numCache>
                <c:formatCode>mmm\-yy</c:formatCode>
                <c:ptCount val="47"/>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pt idx="15">
                  <c:v>43922</c:v>
                </c:pt>
                <c:pt idx="16">
                  <c:v>43952</c:v>
                </c:pt>
                <c:pt idx="17">
                  <c:v>43983</c:v>
                </c:pt>
                <c:pt idx="18">
                  <c:v>44013</c:v>
                </c:pt>
                <c:pt idx="19">
                  <c:v>44044</c:v>
                </c:pt>
                <c:pt idx="20">
                  <c:v>44075</c:v>
                </c:pt>
                <c:pt idx="21">
                  <c:v>44105</c:v>
                </c:pt>
                <c:pt idx="22">
                  <c:v>44136</c:v>
                </c:pt>
                <c:pt idx="23">
                  <c:v>44166</c:v>
                </c:pt>
                <c:pt idx="24">
                  <c:v>44197</c:v>
                </c:pt>
                <c:pt idx="25">
                  <c:v>44228</c:v>
                </c:pt>
                <c:pt idx="26">
                  <c:v>44256</c:v>
                </c:pt>
                <c:pt idx="27">
                  <c:v>44287</c:v>
                </c:pt>
                <c:pt idx="28">
                  <c:v>44317</c:v>
                </c:pt>
                <c:pt idx="29">
                  <c:v>44348</c:v>
                </c:pt>
                <c:pt idx="30">
                  <c:v>44378</c:v>
                </c:pt>
                <c:pt idx="31">
                  <c:v>44409</c:v>
                </c:pt>
                <c:pt idx="32">
                  <c:v>44440</c:v>
                </c:pt>
                <c:pt idx="33">
                  <c:v>44470</c:v>
                </c:pt>
                <c:pt idx="34">
                  <c:v>44501</c:v>
                </c:pt>
                <c:pt idx="35">
                  <c:v>44531</c:v>
                </c:pt>
                <c:pt idx="36">
                  <c:v>44562</c:v>
                </c:pt>
                <c:pt idx="37">
                  <c:v>44593</c:v>
                </c:pt>
                <c:pt idx="38">
                  <c:v>44621</c:v>
                </c:pt>
                <c:pt idx="39">
                  <c:v>44652</c:v>
                </c:pt>
                <c:pt idx="40">
                  <c:v>44682</c:v>
                </c:pt>
                <c:pt idx="41">
                  <c:v>44713</c:v>
                </c:pt>
                <c:pt idx="42">
                  <c:v>44743</c:v>
                </c:pt>
                <c:pt idx="43">
                  <c:v>44774</c:v>
                </c:pt>
                <c:pt idx="44">
                  <c:v>44805</c:v>
                </c:pt>
                <c:pt idx="45">
                  <c:v>44835</c:v>
                </c:pt>
                <c:pt idx="46">
                  <c:v>44866</c:v>
                </c:pt>
              </c:numCache>
            </c:numRef>
          </c:cat>
          <c:val>
            <c:numRef>
              <c:f>demChart!$C$3:$C$49</c:f>
              <c:numCache>
                <c:formatCode>_-* #,##0.0_-;\-* #,##0.0_-;_-* "-"??_-;_-@_-</c:formatCode>
                <c:ptCount val="47"/>
                <c:pt idx="0">
                  <c:v>3.67</c:v>
                </c:pt>
                <c:pt idx="1">
                  <c:v>4.2300000000000004</c:v>
                </c:pt>
                <c:pt idx="2">
                  <c:v>3.52</c:v>
                </c:pt>
                <c:pt idx="3">
                  <c:v>3.66</c:v>
                </c:pt>
                <c:pt idx="4">
                  <c:v>4.18</c:v>
                </c:pt>
                <c:pt idx="5">
                  <c:v>3.52</c:v>
                </c:pt>
                <c:pt idx="6">
                  <c:v>3.97</c:v>
                </c:pt>
                <c:pt idx="7">
                  <c:v>3.3</c:v>
                </c:pt>
                <c:pt idx="8">
                  <c:v>4.6500000000000004</c:v>
                </c:pt>
                <c:pt idx="9">
                  <c:v>4.25</c:v>
                </c:pt>
                <c:pt idx="10">
                  <c:v>4.88</c:v>
                </c:pt>
                <c:pt idx="11">
                  <c:v>4.2</c:v>
                </c:pt>
                <c:pt idx="12">
                  <c:v>4.05</c:v>
                </c:pt>
                <c:pt idx="13">
                  <c:v>2.2400000000000002</c:v>
                </c:pt>
                <c:pt idx="14">
                  <c:v>-3.71</c:v>
                </c:pt>
                <c:pt idx="15">
                  <c:v>-9.06</c:v>
                </c:pt>
                <c:pt idx="16">
                  <c:v>-9.85</c:v>
                </c:pt>
                <c:pt idx="17">
                  <c:v>-7.39</c:v>
                </c:pt>
                <c:pt idx="18">
                  <c:v>-3.6</c:v>
                </c:pt>
                <c:pt idx="19">
                  <c:v>-1.1000000000000001</c:v>
                </c:pt>
                <c:pt idx="20">
                  <c:v>0.78</c:v>
                </c:pt>
                <c:pt idx="21">
                  <c:v>1.79</c:v>
                </c:pt>
                <c:pt idx="22">
                  <c:v>0.88</c:v>
                </c:pt>
                <c:pt idx="23">
                  <c:v>3.52</c:v>
                </c:pt>
                <c:pt idx="24">
                  <c:v>1.47</c:v>
                </c:pt>
                <c:pt idx="25">
                  <c:v>2.4700000000000002</c:v>
                </c:pt>
                <c:pt idx="26">
                  <c:v>9.81</c:v>
                </c:pt>
                <c:pt idx="27">
                  <c:v>15.37</c:v>
                </c:pt>
                <c:pt idx="28">
                  <c:v>16.61</c:v>
                </c:pt>
                <c:pt idx="29">
                  <c:v>14.3</c:v>
                </c:pt>
                <c:pt idx="30">
                  <c:v>10.71</c:v>
                </c:pt>
                <c:pt idx="31">
                  <c:v>7.88</c:v>
                </c:pt>
                <c:pt idx="32">
                  <c:v>5.81</c:v>
                </c:pt>
                <c:pt idx="33">
                  <c:v>4.3099999999999996</c:v>
                </c:pt>
                <c:pt idx="34">
                  <c:v>5.66</c:v>
                </c:pt>
                <c:pt idx="35">
                  <c:v>4.26</c:v>
                </c:pt>
                <c:pt idx="36">
                  <c:v>4.76</c:v>
                </c:pt>
                <c:pt idx="37">
                  <c:v>4.3499999999999996</c:v>
                </c:pt>
                <c:pt idx="38">
                  <c:v>4.38</c:v>
                </c:pt>
                <c:pt idx="39">
                  <c:v>4.2699999999999996</c:v>
                </c:pt>
                <c:pt idx="40">
                  <c:v>4.29</c:v>
                </c:pt>
                <c:pt idx="41">
                  <c:v>3.69</c:v>
                </c:pt>
                <c:pt idx="42">
                  <c:v>3.02</c:v>
                </c:pt>
                <c:pt idx="43">
                  <c:v>4.46</c:v>
                </c:pt>
                <c:pt idx="44">
                  <c:v>3.83</c:v>
                </c:pt>
                <c:pt idx="45">
                  <c:v>3.72</c:v>
                </c:pt>
                <c:pt idx="46">
                  <c:v>3.78</c:v>
                </c:pt>
              </c:numCache>
            </c:numRef>
          </c:val>
          <c:smooth val="0"/>
          <c:extLst>
            <c:ext xmlns:c16="http://schemas.microsoft.com/office/drawing/2014/chart" uri="{C3380CC4-5D6E-409C-BE32-E72D297353CC}">
              <c16:uniqueId val="{00000003-10DF-43AC-BBD7-C68A3D35388D}"/>
            </c:ext>
          </c:extLst>
        </c:ser>
        <c:dLbls>
          <c:showLegendKey val="0"/>
          <c:showVal val="0"/>
          <c:showCatName val="0"/>
          <c:showSerName val="0"/>
          <c:showPercent val="0"/>
          <c:showBubbleSize val="0"/>
        </c:dLbls>
        <c:marker val="1"/>
        <c:smooth val="0"/>
        <c:axId val="817510143"/>
        <c:axId val="817513887"/>
      </c:lineChart>
      <c:dateAx>
        <c:axId val="817510143"/>
        <c:scaling>
          <c:orientation val="minMax"/>
          <c:min val="43525"/>
        </c:scaling>
        <c:delete val="0"/>
        <c:axPos val="b"/>
        <c:numFmt formatCode="mmm\-yy" sourceLinked="1"/>
        <c:majorTickMark val="out"/>
        <c:minorTickMark val="none"/>
        <c:tickLblPos val="low"/>
        <c:spPr>
          <a:noFill/>
          <a:ln w="9525" cap="flat" cmpd="sng" algn="ctr">
            <a:solidFill>
              <a:schemeClr val="tx1">
                <a:lumMod val="15000"/>
                <a:lumOff val="85000"/>
              </a:schemeClr>
            </a:solidFill>
            <a:round/>
          </a:ln>
          <a:effectLst/>
        </c:spPr>
        <c:txPr>
          <a:bodyPr rot="-60000000" vert="horz"/>
          <a:lstStyle/>
          <a:p>
            <a:pPr>
              <a:defRPr sz="800"/>
            </a:pPr>
            <a:endParaRPr lang="es-GT"/>
          </a:p>
        </c:txPr>
        <c:crossAx val="817513887"/>
        <c:crosses val="autoZero"/>
        <c:auto val="1"/>
        <c:lblOffset val="100"/>
        <c:baseTimeUnit val="months"/>
      </c:dateAx>
      <c:valAx>
        <c:axId val="817513887"/>
        <c:scaling>
          <c:orientation val="minMax"/>
        </c:scaling>
        <c:delete val="0"/>
        <c:axPos val="l"/>
        <c:title>
          <c:tx>
            <c:rich>
              <a:bodyPr rot="-5400000" vert="horz"/>
              <a:lstStyle/>
              <a:p>
                <a:pPr>
                  <a:defRPr sz="900" b="0"/>
                </a:pPr>
                <a:r>
                  <a:rPr lang="es-GT" sz="900" b="0"/>
                  <a:t>Variación interanual (%)</a:t>
                </a:r>
              </a:p>
            </c:rich>
          </c:tx>
          <c:overlay val="0"/>
          <c:spPr>
            <a:noFill/>
            <a:ln>
              <a:noFill/>
            </a:ln>
            <a:effectLst/>
          </c:spPr>
        </c:title>
        <c:numFmt formatCode="_-* #,##0.0_-;\-* #,##0.0_-;_-* &quot;-&quot;??_-;_-@_-" sourceLinked="1"/>
        <c:majorTickMark val="none"/>
        <c:minorTickMark val="none"/>
        <c:tickLblPos val="nextTo"/>
        <c:spPr>
          <a:noFill/>
          <a:ln>
            <a:noFill/>
          </a:ln>
          <a:effectLst/>
        </c:spPr>
        <c:txPr>
          <a:bodyPr rot="-60000000" vert="horz"/>
          <a:lstStyle/>
          <a:p>
            <a:pPr>
              <a:defRPr sz="700"/>
            </a:pPr>
            <a:endParaRPr lang="es-GT"/>
          </a:p>
        </c:txPr>
        <c:crossAx val="817510143"/>
        <c:crosses val="autoZero"/>
        <c:crossBetween val="between"/>
      </c:valAx>
    </c:plotArea>
    <c:legend>
      <c:legendPos val="r"/>
      <c:layout>
        <c:manualLayout>
          <c:xMode val="edge"/>
          <c:yMode val="edge"/>
          <c:x val="0.1617197991394336"/>
          <c:y val="3.8802853259925869E-3"/>
          <c:w val="0.51020609181473953"/>
          <c:h val="0.13968378915881619"/>
        </c:manualLayout>
      </c:layout>
      <c:overlay val="0"/>
      <c:spPr>
        <a:noFill/>
        <a:ln>
          <a:noFill/>
        </a:ln>
        <a:effectLst/>
      </c:spPr>
      <c:txPr>
        <a:bodyPr rot="0" vert="horz"/>
        <a:lstStyle/>
        <a:p>
          <a:pPr>
            <a:defRPr sz="900"/>
          </a:pPr>
          <a:endParaRPr lang="es-GT"/>
        </a:p>
      </c:txPr>
    </c:legend>
    <c:plotVisOnly val="1"/>
    <c:dispBlanksAs val="gap"/>
    <c:showDLblsOverMax val="0"/>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551962962962963"/>
          <c:y val="5.6563307378454684E-2"/>
          <c:w val="0.76903259259259271"/>
          <c:h val="0.75843985684665027"/>
        </c:manualLayout>
      </c:layout>
      <c:lineChart>
        <c:grouping val="standard"/>
        <c:varyColors val="0"/>
        <c:ser>
          <c:idx val="0"/>
          <c:order val="0"/>
          <c:tx>
            <c:strRef>
              <c:f>infChart!$B$2</c:f>
              <c:strCache>
                <c:ptCount val="1"/>
                <c:pt idx="0">
                  <c:v>Inflación</c:v>
                </c:pt>
              </c:strCache>
            </c:strRef>
          </c:tx>
          <c:spPr>
            <a:ln w="25400" cap="rnd">
              <a:solidFill>
                <a:srgbClr val="002060"/>
              </a:solidFill>
              <a:round/>
            </a:ln>
            <a:effectLst/>
          </c:spPr>
          <c:marker>
            <c:symbol val="none"/>
          </c:marker>
          <c:dPt>
            <c:idx val="37"/>
            <c:bubble3D val="0"/>
            <c:extLst>
              <c:ext xmlns:c16="http://schemas.microsoft.com/office/drawing/2014/chart" uri="{C3380CC4-5D6E-409C-BE32-E72D297353CC}">
                <c16:uniqueId val="{00000000-A18C-47C4-A512-755601920658}"/>
              </c:ext>
            </c:extLst>
          </c:dPt>
          <c:dLbls>
            <c:dLbl>
              <c:idx val="47"/>
              <c:layout>
                <c:manualLayout>
                  <c:x val="0"/>
                  <c:y val="7.0567480152896211E-2"/>
                </c:manualLayout>
              </c:layout>
              <c:numFmt formatCode="#,##0.00" sourceLinked="0"/>
              <c:spPr>
                <a:noFill/>
                <a:ln>
                  <a:noFill/>
                </a:ln>
                <a:effectLst/>
              </c:spPr>
              <c:txPr>
                <a:bodyPr/>
                <a:lstStyle/>
                <a:p>
                  <a:pPr>
                    <a:defRPr b="1"/>
                  </a:pPr>
                  <a:endParaRPr lang="es-G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18C-47C4-A512-755601920658}"/>
                </c:ext>
              </c:extLst>
            </c:dLbl>
            <c:spPr>
              <a:noFill/>
              <a:ln>
                <a:noFill/>
              </a:ln>
              <a:effectLst/>
            </c:spPr>
            <c:txPr>
              <a:bodyPr/>
              <a:lstStyle/>
              <a:p>
                <a:pPr>
                  <a:defRPr b="1"/>
                </a:pPr>
                <a:endParaRPr lang="es-GT"/>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infChart!$A$3:$A$50</c:f>
              <c:numCache>
                <c:formatCode>mmm\-yy</c:formatCode>
                <c:ptCount val="48"/>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pt idx="15">
                  <c:v>43922</c:v>
                </c:pt>
                <c:pt idx="16">
                  <c:v>43952</c:v>
                </c:pt>
                <c:pt idx="17">
                  <c:v>43983</c:v>
                </c:pt>
                <c:pt idx="18">
                  <c:v>44013</c:v>
                </c:pt>
                <c:pt idx="19">
                  <c:v>44044</c:v>
                </c:pt>
                <c:pt idx="20">
                  <c:v>44075</c:v>
                </c:pt>
                <c:pt idx="21">
                  <c:v>44105</c:v>
                </c:pt>
                <c:pt idx="22">
                  <c:v>44136</c:v>
                </c:pt>
                <c:pt idx="23">
                  <c:v>44166</c:v>
                </c:pt>
                <c:pt idx="24">
                  <c:v>44197</c:v>
                </c:pt>
                <c:pt idx="25">
                  <c:v>44228</c:v>
                </c:pt>
                <c:pt idx="26">
                  <c:v>44256</c:v>
                </c:pt>
                <c:pt idx="27">
                  <c:v>44287</c:v>
                </c:pt>
                <c:pt idx="28">
                  <c:v>44317</c:v>
                </c:pt>
                <c:pt idx="29">
                  <c:v>44348</c:v>
                </c:pt>
                <c:pt idx="30">
                  <c:v>44378</c:v>
                </c:pt>
                <c:pt idx="31">
                  <c:v>44409</c:v>
                </c:pt>
                <c:pt idx="32">
                  <c:v>44440</c:v>
                </c:pt>
                <c:pt idx="33">
                  <c:v>44470</c:v>
                </c:pt>
                <c:pt idx="34">
                  <c:v>44501</c:v>
                </c:pt>
                <c:pt idx="35">
                  <c:v>44531</c:v>
                </c:pt>
                <c:pt idx="36">
                  <c:v>44562</c:v>
                </c:pt>
                <c:pt idx="37">
                  <c:v>44593</c:v>
                </c:pt>
                <c:pt idx="38">
                  <c:v>44621</c:v>
                </c:pt>
                <c:pt idx="39">
                  <c:v>44652</c:v>
                </c:pt>
                <c:pt idx="40">
                  <c:v>44682</c:v>
                </c:pt>
                <c:pt idx="41">
                  <c:v>44713</c:v>
                </c:pt>
                <c:pt idx="42">
                  <c:v>44743</c:v>
                </c:pt>
                <c:pt idx="43">
                  <c:v>44774</c:v>
                </c:pt>
                <c:pt idx="44">
                  <c:v>44805</c:v>
                </c:pt>
                <c:pt idx="45">
                  <c:v>44835</c:v>
                </c:pt>
                <c:pt idx="46">
                  <c:v>44866</c:v>
                </c:pt>
                <c:pt idx="47">
                  <c:v>44896</c:v>
                </c:pt>
              </c:numCache>
            </c:numRef>
          </c:cat>
          <c:val>
            <c:numRef>
              <c:f>infChart!$B$3:$B$50</c:f>
              <c:numCache>
                <c:formatCode>_-* #,##0.0_-;\-* #,##0.0_-;_-* "-"??_-;_-@_-</c:formatCode>
                <c:ptCount val="48"/>
                <c:pt idx="0">
                  <c:v>4.0999999999999996</c:v>
                </c:pt>
                <c:pt idx="1">
                  <c:v>4.46</c:v>
                </c:pt>
                <c:pt idx="2">
                  <c:v>4.17</c:v>
                </c:pt>
                <c:pt idx="3">
                  <c:v>4.75</c:v>
                </c:pt>
                <c:pt idx="4">
                  <c:v>4.54</c:v>
                </c:pt>
                <c:pt idx="5">
                  <c:v>4.8</c:v>
                </c:pt>
                <c:pt idx="6">
                  <c:v>4.37</c:v>
                </c:pt>
                <c:pt idx="7">
                  <c:v>3.01</c:v>
                </c:pt>
                <c:pt idx="8">
                  <c:v>1.8</c:v>
                </c:pt>
                <c:pt idx="9">
                  <c:v>2.17</c:v>
                </c:pt>
                <c:pt idx="10">
                  <c:v>2.92</c:v>
                </c:pt>
                <c:pt idx="11">
                  <c:v>3.41</c:v>
                </c:pt>
                <c:pt idx="12">
                  <c:v>1.78</c:v>
                </c:pt>
                <c:pt idx="13">
                  <c:v>1.24</c:v>
                </c:pt>
                <c:pt idx="14">
                  <c:v>1.77</c:v>
                </c:pt>
                <c:pt idx="15">
                  <c:v>1.88</c:v>
                </c:pt>
                <c:pt idx="16">
                  <c:v>1.8</c:v>
                </c:pt>
                <c:pt idx="17">
                  <c:v>2.39</c:v>
                </c:pt>
                <c:pt idx="18">
                  <c:v>2.88</c:v>
                </c:pt>
                <c:pt idx="19">
                  <c:v>4.1900000000000004</c:v>
                </c:pt>
                <c:pt idx="20">
                  <c:v>4.97</c:v>
                </c:pt>
                <c:pt idx="21">
                  <c:v>5.34</c:v>
                </c:pt>
                <c:pt idx="22">
                  <c:v>5.46</c:v>
                </c:pt>
                <c:pt idx="23">
                  <c:v>4.82</c:v>
                </c:pt>
                <c:pt idx="24">
                  <c:v>5.24</c:v>
                </c:pt>
                <c:pt idx="25">
                  <c:v>6</c:v>
                </c:pt>
                <c:pt idx="26">
                  <c:v>5.84</c:v>
                </c:pt>
                <c:pt idx="27">
                  <c:v>5.2</c:v>
                </c:pt>
                <c:pt idx="28">
                  <c:v>5.17</c:v>
                </c:pt>
                <c:pt idx="29">
                  <c:v>3.9</c:v>
                </c:pt>
                <c:pt idx="30">
                  <c:v>3.8</c:v>
                </c:pt>
                <c:pt idx="31">
                  <c:v>3.6</c:v>
                </c:pt>
                <c:pt idx="32">
                  <c:v>3.7</c:v>
                </c:pt>
                <c:pt idx="33">
                  <c:v>3</c:v>
                </c:pt>
                <c:pt idx="34">
                  <c:v>2.9</c:v>
                </c:pt>
                <c:pt idx="35">
                  <c:v>3.1</c:v>
                </c:pt>
                <c:pt idx="36">
                  <c:v>2.9</c:v>
                </c:pt>
                <c:pt idx="37">
                  <c:v>3</c:v>
                </c:pt>
                <c:pt idx="38">
                  <c:v>4.2</c:v>
                </c:pt>
                <c:pt idx="39">
                  <c:v>4.5999999999999996</c:v>
                </c:pt>
                <c:pt idx="40">
                  <c:v>5.8</c:v>
                </c:pt>
                <c:pt idx="41">
                  <c:v>7.6</c:v>
                </c:pt>
                <c:pt idx="42">
                  <c:v>8.36</c:v>
                </c:pt>
                <c:pt idx="43">
                  <c:v>8.8699999999999992</c:v>
                </c:pt>
                <c:pt idx="44">
                  <c:v>9.0299999999999994</c:v>
                </c:pt>
                <c:pt idx="45">
                  <c:v>9.6999999999999993</c:v>
                </c:pt>
                <c:pt idx="46">
                  <c:v>9.17</c:v>
                </c:pt>
                <c:pt idx="47">
                  <c:v>9.24</c:v>
                </c:pt>
              </c:numCache>
            </c:numRef>
          </c:val>
          <c:smooth val="0"/>
          <c:extLst>
            <c:ext xmlns:c16="http://schemas.microsoft.com/office/drawing/2014/chart" uri="{C3380CC4-5D6E-409C-BE32-E72D297353CC}">
              <c16:uniqueId val="{00000002-A18C-47C4-A512-755601920658}"/>
            </c:ext>
          </c:extLst>
        </c:ser>
        <c:ser>
          <c:idx val="1"/>
          <c:order val="1"/>
          <c:tx>
            <c:strRef>
              <c:f>infChart!$D$2</c:f>
              <c:strCache>
                <c:ptCount val="1"/>
                <c:pt idx="0">
                  <c:v>li</c:v>
                </c:pt>
              </c:strCache>
            </c:strRef>
          </c:tx>
          <c:spPr>
            <a:ln w="22225" cap="rnd">
              <a:solidFill>
                <a:schemeClr val="accent5"/>
              </a:solidFill>
              <a:prstDash val="sysDot"/>
              <a:round/>
            </a:ln>
            <a:effectLst/>
          </c:spPr>
          <c:marker>
            <c:symbol val="none"/>
          </c:marker>
          <c:cat>
            <c:numRef>
              <c:f>infChart!$A$3:$A$50</c:f>
              <c:numCache>
                <c:formatCode>mmm\-yy</c:formatCode>
                <c:ptCount val="48"/>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pt idx="15">
                  <c:v>43922</c:v>
                </c:pt>
                <c:pt idx="16">
                  <c:v>43952</c:v>
                </c:pt>
                <c:pt idx="17">
                  <c:v>43983</c:v>
                </c:pt>
                <c:pt idx="18">
                  <c:v>44013</c:v>
                </c:pt>
                <c:pt idx="19">
                  <c:v>44044</c:v>
                </c:pt>
                <c:pt idx="20">
                  <c:v>44075</c:v>
                </c:pt>
                <c:pt idx="21">
                  <c:v>44105</c:v>
                </c:pt>
                <c:pt idx="22">
                  <c:v>44136</c:v>
                </c:pt>
                <c:pt idx="23">
                  <c:v>44166</c:v>
                </c:pt>
                <c:pt idx="24">
                  <c:v>44197</c:v>
                </c:pt>
                <c:pt idx="25">
                  <c:v>44228</c:v>
                </c:pt>
                <c:pt idx="26">
                  <c:v>44256</c:v>
                </c:pt>
                <c:pt idx="27">
                  <c:v>44287</c:v>
                </c:pt>
                <c:pt idx="28">
                  <c:v>44317</c:v>
                </c:pt>
                <c:pt idx="29">
                  <c:v>44348</c:v>
                </c:pt>
                <c:pt idx="30">
                  <c:v>44378</c:v>
                </c:pt>
                <c:pt idx="31">
                  <c:v>44409</c:v>
                </c:pt>
                <c:pt idx="32">
                  <c:v>44440</c:v>
                </c:pt>
                <c:pt idx="33">
                  <c:v>44470</c:v>
                </c:pt>
                <c:pt idx="34">
                  <c:v>44501</c:v>
                </c:pt>
                <c:pt idx="35">
                  <c:v>44531</c:v>
                </c:pt>
                <c:pt idx="36">
                  <c:v>44562</c:v>
                </c:pt>
                <c:pt idx="37">
                  <c:v>44593</c:v>
                </c:pt>
                <c:pt idx="38">
                  <c:v>44621</c:v>
                </c:pt>
                <c:pt idx="39">
                  <c:v>44652</c:v>
                </c:pt>
                <c:pt idx="40">
                  <c:v>44682</c:v>
                </c:pt>
                <c:pt idx="41">
                  <c:v>44713</c:v>
                </c:pt>
                <c:pt idx="42">
                  <c:v>44743</c:v>
                </c:pt>
                <c:pt idx="43">
                  <c:v>44774</c:v>
                </c:pt>
                <c:pt idx="44">
                  <c:v>44805</c:v>
                </c:pt>
                <c:pt idx="45">
                  <c:v>44835</c:v>
                </c:pt>
                <c:pt idx="46">
                  <c:v>44866</c:v>
                </c:pt>
                <c:pt idx="47">
                  <c:v>44896</c:v>
                </c:pt>
              </c:numCache>
            </c:numRef>
          </c:cat>
          <c:val>
            <c:numRef>
              <c:f>infChart!$D$3:$D$50</c:f>
              <c:numCache>
                <c:formatCode>_-* #,##0.0_-;\-* #,##0.0_-;_-* "-"??_-;_-@_-</c:formatCode>
                <c:ptCount val="48"/>
                <c:pt idx="0">
                  <c:v>3</c:v>
                </c:pt>
                <c:pt idx="1">
                  <c:v>3</c:v>
                </c:pt>
                <c:pt idx="2">
                  <c:v>3</c:v>
                </c:pt>
                <c:pt idx="3">
                  <c:v>3</c:v>
                </c:pt>
                <c:pt idx="4">
                  <c:v>3</c:v>
                </c:pt>
                <c:pt idx="5">
                  <c:v>3</c:v>
                </c:pt>
                <c:pt idx="6">
                  <c:v>3</c:v>
                </c:pt>
                <c:pt idx="7">
                  <c:v>3</c:v>
                </c:pt>
                <c:pt idx="8">
                  <c:v>3</c:v>
                </c:pt>
                <c:pt idx="9">
                  <c:v>3</c:v>
                </c:pt>
                <c:pt idx="10">
                  <c:v>3</c:v>
                </c:pt>
                <c:pt idx="11">
                  <c:v>3</c:v>
                </c:pt>
                <c:pt idx="12">
                  <c:v>3</c:v>
                </c:pt>
                <c:pt idx="13">
                  <c:v>3</c:v>
                </c:pt>
                <c:pt idx="14">
                  <c:v>3</c:v>
                </c:pt>
                <c:pt idx="15">
                  <c:v>3</c:v>
                </c:pt>
                <c:pt idx="16">
                  <c:v>3</c:v>
                </c:pt>
                <c:pt idx="17">
                  <c:v>3</c:v>
                </c:pt>
                <c:pt idx="18">
                  <c:v>3</c:v>
                </c:pt>
                <c:pt idx="19">
                  <c:v>3</c:v>
                </c:pt>
                <c:pt idx="20">
                  <c:v>3</c:v>
                </c:pt>
                <c:pt idx="21">
                  <c:v>3</c:v>
                </c:pt>
                <c:pt idx="22">
                  <c:v>3</c:v>
                </c:pt>
                <c:pt idx="23">
                  <c:v>3</c:v>
                </c:pt>
                <c:pt idx="24">
                  <c:v>3</c:v>
                </c:pt>
                <c:pt idx="25">
                  <c:v>3</c:v>
                </c:pt>
                <c:pt idx="26">
                  <c:v>3</c:v>
                </c:pt>
                <c:pt idx="27">
                  <c:v>3</c:v>
                </c:pt>
                <c:pt idx="28">
                  <c:v>3</c:v>
                </c:pt>
                <c:pt idx="29">
                  <c:v>3</c:v>
                </c:pt>
                <c:pt idx="30">
                  <c:v>3</c:v>
                </c:pt>
                <c:pt idx="31">
                  <c:v>3</c:v>
                </c:pt>
                <c:pt idx="32">
                  <c:v>3</c:v>
                </c:pt>
                <c:pt idx="33">
                  <c:v>3</c:v>
                </c:pt>
                <c:pt idx="34">
                  <c:v>3</c:v>
                </c:pt>
                <c:pt idx="35">
                  <c:v>3</c:v>
                </c:pt>
                <c:pt idx="36">
                  <c:v>3</c:v>
                </c:pt>
                <c:pt idx="37">
                  <c:v>3</c:v>
                </c:pt>
                <c:pt idx="38">
                  <c:v>3</c:v>
                </c:pt>
                <c:pt idx="39">
                  <c:v>3</c:v>
                </c:pt>
                <c:pt idx="40">
                  <c:v>3</c:v>
                </c:pt>
                <c:pt idx="41">
                  <c:v>3</c:v>
                </c:pt>
                <c:pt idx="42">
                  <c:v>3</c:v>
                </c:pt>
                <c:pt idx="43">
                  <c:v>3</c:v>
                </c:pt>
                <c:pt idx="44">
                  <c:v>3</c:v>
                </c:pt>
                <c:pt idx="45">
                  <c:v>3</c:v>
                </c:pt>
                <c:pt idx="46">
                  <c:v>3</c:v>
                </c:pt>
                <c:pt idx="47">
                  <c:v>3</c:v>
                </c:pt>
              </c:numCache>
            </c:numRef>
          </c:val>
          <c:smooth val="0"/>
          <c:extLst>
            <c:ext xmlns:c16="http://schemas.microsoft.com/office/drawing/2014/chart" uri="{C3380CC4-5D6E-409C-BE32-E72D297353CC}">
              <c16:uniqueId val="{00000003-A18C-47C4-A512-755601920658}"/>
            </c:ext>
          </c:extLst>
        </c:ser>
        <c:ser>
          <c:idx val="2"/>
          <c:order val="2"/>
          <c:tx>
            <c:strRef>
              <c:f>infChart!$E$2</c:f>
              <c:strCache>
                <c:ptCount val="1"/>
                <c:pt idx="0">
                  <c:v>ls</c:v>
                </c:pt>
              </c:strCache>
            </c:strRef>
          </c:tx>
          <c:spPr>
            <a:ln w="22225" cap="rnd">
              <a:solidFill>
                <a:schemeClr val="accent5"/>
              </a:solidFill>
              <a:prstDash val="sysDot"/>
              <a:round/>
            </a:ln>
            <a:effectLst/>
          </c:spPr>
          <c:marker>
            <c:symbol val="none"/>
          </c:marker>
          <c:cat>
            <c:numRef>
              <c:f>infChart!$A$3:$A$50</c:f>
              <c:numCache>
                <c:formatCode>mmm\-yy</c:formatCode>
                <c:ptCount val="48"/>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pt idx="15">
                  <c:v>43922</c:v>
                </c:pt>
                <c:pt idx="16">
                  <c:v>43952</c:v>
                </c:pt>
                <c:pt idx="17">
                  <c:v>43983</c:v>
                </c:pt>
                <c:pt idx="18">
                  <c:v>44013</c:v>
                </c:pt>
                <c:pt idx="19">
                  <c:v>44044</c:v>
                </c:pt>
                <c:pt idx="20">
                  <c:v>44075</c:v>
                </c:pt>
                <c:pt idx="21">
                  <c:v>44105</c:v>
                </c:pt>
                <c:pt idx="22">
                  <c:v>44136</c:v>
                </c:pt>
                <c:pt idx="23">
                  <c:v>44166</c:v>
                </c:pt>
                <c:pt idx="24">
                  <c:v>44197</c:v>
                </c:pt>
                <c:pt idx="25">
                  <c:v>44228</c:v>
                </c:pt>
                <c:pt idx="26">
                  <c:v>44256</c:v>
                </c:pt>
                <c:pt idx="27">
                  <c:v>44287</c:v>
                </c:pt>
                <c:pt idx="28">
                  <c:v>44317</c:v>
                </c:pt>
                <c:pt idx="29">
                  <c:v>44348</c:v>
                </c:pt>
                <c:pt idx="30">
                  <c:v>44378</c:v>
                </c:pt>
                <c:pt idx="31">
                  <c:v>44409</c:v>
                </c:pt>
                <c:pt idx="32">
                  <c:v>44440</c:v>
                </c:pt>
                <c:pt idx="33">
                  <c:v>44470</c:v>
                </c:pt>
                <c:pt idx="34">
                  <c:v>44501</c:v>
                </c:pt>
                <c:pt idx="35">
                  <c:v>44531</c:v>
                </c:pt>
                <c:pt idx="36">
                  <c:v>44562</c:v>
                </c:pt>
                <c:pt idx="37">
                  <c:v>44593</c:v>
                </c:pt>
                <c:pt idx="38">
                  <c:v>44621</c:v>
                </c:pt>
                <c:pt idx="39">
                  <c:v>44652</c:v>
                </c:pt>
                <c:pt idx="40">
                  <c:v>44682</c:v>
                </c:pt>
                <c:pt idx="41">
                  <c:v>44713</c:v>
                </c:pt>
                <c:pt idx="42">
                  <c:v>44743</c:v>
                </c:pt>
                <c:pt idx="43">
                  <c:v>44774</c:v>
                </c:pt>
                <c:pt idx="44">
                  <c:v>44805</c:v>
                </c:pt>
                <c:pt idx="45">
                  <c:v>44835</c:v>
                </c:pt>
                <c:pt idx="46">
                  <c:v>44866</c:v>
                </c:pt>
                <c:pt idx="47">
                  <c:v>44896</c:v>
                </c:pt>
              </c:numCache>
            </c:numRef>
          </c:cat>
          <c:val>
            <c:numRef>
              <c:f>infChart!$E$3:$E$50</c:f>
              <c:numCache>
                <c:formatCode>_-* #,##0.0_-;\-* #,##0.0_-;_-* "-"??_-;_-@_-</c:formatCode>
                <c:ptCount val="48"/>
                <c:pt idx="0">
                  <c:v>5</c:v>
                </c:pt>
                <c:pt idx="1">
                  <c:v>5</c:v>
                </c:pt>
                <c:pt idx="2">
                  <c:v>5</c:v>
                </c:pt>
                <c:pt idx="3">
                  <c:v>5</c:v>
                </c:pt>
                <c:pt idx="4">
                  <c:v>5</c:v>
                </c:pt>
                <c:pt idx="5">
                  <c:v>5</c:v>
                </c:pt>
                <c:pt idx="6">
                  <c:v>5</c:v>
                </c:pt>
                <c:pt idx="7">
                  <c:v>5</c:v>
                </c:pt>
                <c:pt idx="8">
                  <c:v>5</c:v>
                </c:pt>
                <c:pt idx="9">
                  <c:v>5</c:v>
                </c:pt>
                <c:pt idx="10">
                  <c:v>5</c:v>
                </c:pt>
                <c:pt idx="11">
                  <c:v>5</c:v>
                </c:pt>
                <c:pt idx="12">
                  <c:v>5</c:v>
                </c:pt>
                <c:pt idx="13">
                  <c:v>5</c:v>
                </c:pt>
                <c:pt idx="14">
                  <c:v>5</c:v>
                </c:pt>
                <c:pt idx="15">
                  <c:v>5</c:v>
                </c:pt>
                <c:pt idx="16">
                  <c:v>5</c:v>
                </c:pt>
                <c:pt idx="17">
                  <c:v>5</c:v>
                </c:pt>
                <c:pt idx="18">
                  <c:v>5</c:v>
                </c:pt>
                <c:pt idx="19">
                  <c:v>5</c:v>
                </c:pt>
                <c:pt idx="20">
                  <c:v>5</c:v>
                </c:pt>
                <c:pt idx="21">
                  <c:v>5</c:v>
                </c:pt>
                <c:pt idx="22">
                  <c:v>5</c:v>
                </c:pt>
                <c:pt idx="23">
                  <c:v>5</c:v>
                </c:pt>
                <c:pt idx="24">
                  <c:v>5</c:v>
                </c:pt>
                <c:pt idx="25">
                  <c:v>5</c:v>
                </c:pt>
                <c:pt idx="26">
                  <c:v>5</c:v>
                </c:pt>
                <c:pt idx="27">
                  <c:v>5</c:v>
                </c:pt>
                <c:pt idx="28">
                  <c:v>5</c:v>
                </c:pt>
                <c:pt idx="29">
                  <c:v>5</c:v>
                </c:pt>
                <c:pt idx="30">
                  <c:v>5</c:v>
                </c:pt>
                <c:pt idx="31">
                  <c:v>5</c:v>
                </c:pt>
                <c:pt idx="32">
                  <c:v>5</c:v>
                </c:pt>
                <c:pt idx="33">
                  <c:v>5</c:v>
                </c:pt>
                <c:pt idx="34">
                  <c:v>5</c:v>
                </c:pt>
                <c:pt idx="35">
                  <c:v>5</c:v>
                </c:pt>
                <c:pt idx="36">
                  <c:v>5</c:v>
                </c:pt>
                <c:pt idx="37">
                  <c:v>5</c:v>
                </c:pt>
                <c:pt idx="38">
                  <c:v>5</c:v>
                </c:pt>
                <c:pt idx="39">
                  <c:v>5</c:v>
                </c:pt>
                <c:pt idx="40">
                  <c:v>5</c:v>
                </c:pt>
                <c:pt idx="41">
                  <c:v>5</c:v>
                </c:pt>
                <c:pt idx="42">
                  <c:v>5</c:v>
                </c:pt>
                <c:pt idx="43">
                  <c:v>5</c:v>
                </c:pt>
                <c:pt idx="44">
                  <c:v>5</c:v>
                </c:pt>
                <c:pt idx="45">
                  <c:v>5</c:v>
                </c:pt>
                <c:pt idx="46">
                  <c:v>5</c:v>
                </c:pt>
                <c:pt idx="47">
                  <c:v>5</c:v>
                </c:pt>
              </c:numCache>
            </c:numRef>
          </c:val>
          <c:smooth val="0"/>
          <c:extLst>
            <c:ext xmlns:c16="http://schemas.microsoft.com/office/drawing/2014/chart" uri="{C3380CC4-5D6E-409C-BE32-E72D297353CC}">
              <c16:uniqueId val="{00000004-A18C-47C4-A512-755601920658}"/>
            </c:ext>
          </c:extLst>
        </c:ser>
        <c:ser>
          <c:idx val="3"/>
          <c:order val="3"/>
          <c:tx>
            <c:strRef>
              <c:f>infChart!$C$2</c:f>
              <c:strCache>
                <c:ptCount val="1"/>
                <c:pt idx="0">
                  <c:v>Meta</c:v>
                </c:pt>
              </c:strCache>
            </c:strRef>
          </c:tx>
          <c:spPr>
            <a:ln w="22225" cap="rnd">
              <a:solidFill>
                <a:schemeClr val="accent5"/>
              </a:solidFill>
              <a:round/>
            </a:ln>
            <a:effectLst/>
          </c:spPr>
          <c:marker>
            <c:symbol val="none"/>
          </c:marker>
          <c:cat>
            <c:numRef>
              <c:f>infChart!$A$3:$A$50</c:f>
              <c:numCache>
                <c:formatCode>mmm\-yy</c:formatCode>
                <c:ptCount val="48"/>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pt idx="15">
                  <c:v>43922</c:v>
                </c:pt>
                <c:pt idx="16">
                  <c:v>43952</c:v>
                </c:pt>
                <c:pt idx="17">
                  <c:v>43983</c:v>
                </c:pt>
                <c:pt idx="18">
                  <c:v>44013</c:v>
                </c:pt>
                <c:pt idx="19">
                  <c:v>44044</c:v>
                </c:pt>
                <c:pt idx="20">
                  <c:v>44075</c:v>
                </c:pt>
                <c:pt idx="21">
                  <c:v>44105</c:v>
                </c:pt>
                <c:pt idx="22">
                  <c:v>44136</c:v>
                </c:pt>
                <c:pt idx="23">
                  <c:v>44166</c:v>
                </c:pt>
                <c:pt idx="24">
                  <c:v>44197</c:v>
                </c:pt>
                <c:pt idx="25">
                  <c:v>44228</c:v>
                </c:pt>
                <c:pt idx="26">
                  <c:v>44256</c:v>
                </c:pt>
                <c:pt idx="27">
                  <c:v>44287</c:v>
                </c:pt>
                <c:pt idx="28">
                  <c:v>44317</c:v>
                </c:pt>
                <c:pt idx="29">
                  <c:v>44348</c:v>
                </c:pt>
                <c:pt idx="30">
                  <c:v>44378</c:v>
                </c:pt>
                <c:pt idx="31">
                  <c:v>44409</c:v>
                </c:pt>
                <c:pt idx="32">
                  <c:v>44440</c:v>
                </c:pt>
                <c:pt idx="33">
                  <c:v>44470</c:v>
                </c:pt>
                <c:pt idx="34">
                  <c:v>44501</c:v>
                </c:pt>
                <c:pt idx="35">
                  <c:v>44531</c:v>
                </c:pt>
                <c:pt idx="36">
                  <c:v>44562</c:v>
                </c:pt>
                <c:pt idx="37">
                  <c:v>44593</c:v>
                </c:pt>
                <c:pt idx="38">
                  <c:v>44621</c:v>
                </c:pt>
                <c:pt idx="39">
                  <c:v>44652</c:v>
                </c:pt>
                <c:pt idx="40">
                  <c:v>44682</c:v>
                </c:pt>
                <c:pt idx="41">
                  <c:v>44713</c:v>
                </c:pt>
                <c:pt idx="42">
                  <c:v>44743</c:v>
                </c:pt>
                <c:pt idx="43">
                  <c:v>44774</c:v>
                </c:pt>
                <c:pt idx="44">
                  <c:v>44805</c:v>
                </c:pt>
                <c:pt idx="45">
                  <c:v>44835</c:v>
                </c:pt>
                <c:pt idx="46">
                  <c:v>44866</c:v>
                </c:pt>
                <c:pt idx="47">
                  <c:v>44896</c:v>
                </c:pt>
              </c:numCache>
            </c:numRef>
          </c:cat>
          <c:val>
            <c:numRef>
              <c:f>infChart!$C$3:$C$50</c:f>
              <c:numCache>
                <c:formatCode>_-* #,##0.0_-;\-* #,##0.0_-;_-* "-"??_-;_-@_-</c:formatCode>
                <c:ptCount val="48"/>
                <c:pt idx="0">
                  <c:v>4</c:v>
                </c:pt>
                <c:pt idx="1">
                  <c:v>4</c:v>
                </c:pt>
                <c:pt idx="2">
                  <c:v>4</c:v>
                </c:pt>
                <c:pt idx="3">
                  <c:v>4</c:v>
                </c:pt>
                <c:pt idx="4">
                  <c:v>4</c:v>
                </c:pt>
                <c:pt idx="5">
                  <c:v>4</c:v>
                </c:pt>
                <c:pt idx="6">
                  <c:v>4</c:v>
                </c:pt>
                <c:pt idx="7">
                  <c:v>4</c:v>
                </c:pt>
                <c:pt idx="8">
                  <c:v>4</c:v>
                </c:pt>
                <c:pt idx="9">
                  <c:v>4</c:v>
                </c:pt>
                <c:pt idx="10">
                  <c:v>4</c:v>
                </c:pt>
                <c:pt idx="11">
                  <c:v>4</c:v>
                </c:pt>
                <c:pt idx="12">
                  <c:v>4</c:v>
                </c:pt>
                <c:pt idx="13">
                  <c:v>4</c:v>
                </c:pt>
                <c:pt idx="14">
                  <c:v>4</c:v>
                </c:pt>
                <c:pt idx="15">
                  <c:v>4</c:v>
                </c:pt>
                <c:pt idx="16">
                  <c:v>4</c:v>
                </c:pt>
                <c:pt idx="17">
                  <c:v>4</c:v>
                </c:pt>
                <c:pt idx="18">
                  <c:v>4</c:v>
                </c:pt>
                <c:pt idx="19">
                  <c:v>4</c:v>
                </c:pt>
                <c:pt idx="20">
                  <c:v>4</c:v>
                </c:pt>
                <c:pt idx="21">
                  <c:v>4</c:v>
                </c:pt>
                <c:pt idx="22">
                  <c:v>4</c:v>
                </c:pt>
                <c:pt idx="23">
                  <c:v>4</c:v>
                </c:pt>
                <c:pt idx="24">
                  <c:v>4</c:v>
                </c:pt>
                <c:pt idx="25">
                  <c:v>4</c:v>
                </c:pt>
                <c:pt idx="26">
                  <c:v>4</c:v>
                </c:pt>
                <c:pt idx="27">
                  <c:v>4</c:v>
                </c:pt>
                <c:pt idx="28">
                  <c:v>4</c:v>
                </c:pt>
                <c:pt idx="29">
                  <c:v>4</c:v>
                </c:pt>
                <c:pt idx="30">
                  <c:v>4</c:v>
                </c:pt>
                <c:pt idx="31">
                  <c:v>4</c:v>
                </c:pt>
                <c:pt idx="32">
                  <c:v>4</c:v>
                </c:pt>
                <c:pt idx="33">
                  <c:v>4</c:v>
                </c:pt>
                <c:pt idx="34">
                  <c:v>4</c:v>
                </c:pt>
                <c:pt idx="35">
                  <c:v>4</c:v>
                </c:pt>
                <c:pt idx="36">
                  <c:v>4</c:v>
                </c:pt>
                <c:pt idx="37">
                  <c:v>4</c:v>
                </c:pt>
                <c:pt idx="38">
                  <c:v>4</c:v>
                </c:pt>
                <c:pt idx="39">
                  <c:v>4</c:v>
                </c:pt>
                <c:pt idx="40">
                  <c:v>4</c:v>
                </c:pt>
                <c:pt idx="41">
                  <c:v>4</c:v>
                </c:pt>
                <c:pt idx="42">
                  <c:v>4</c:v>
                </c:pt>
                <c:pt idx="43">
                  <c:v>4</c:v>
                </c:pt>
                <c:pt idx="44">
                  <c:v>4</c:v>
                </c:pt>
                <c:pt idx="45">
                  <c:v>4</c:v>
                </c:pt>
                <c:pt idx="46">
                  <c:v>4</c:v>
                </c:pt>
                <c:pt idx="47">
                  <c:v>4</c:v>
                </c:pt>
              </c:numCache>
            </c:numRef>
          </c:val>
          <c:smooth val="0"/>
          <c:extLst>
            <c:ext xmlns:c16="http://schemas.microsoft.com/office/drawing/2014/chart" uri="{C3380CC4-5D6E-409C-BE32-E72D297353CC}">
              <c16:uniqueId val="{00000005-A18C-47C4-A512-755601920658}"/>
            </c:ext>
          </c:extLst>
        </c:ser>
        <c:dLbls>
          <c:showLegendKey val="0"/>
          <c:showVal val="0"/>
          <c:showCatName val="0"/>
          <c:showSerName val="0"/>
          <c:showPercent val="0"/>
          <c:showBubbleSize val="0"/>
        </c:dLbls>
        <c:smooth val="0"/>
        <c:axId val="817510143"/>
        <c:axId val="817513887"/>
      </c:lineChart>
      <c:dateAx>
        <c:axId val="817510143"/>
        <c:scaling>
          <c:orientation val="minMax"/>
          <c:min val="43617"/>
        </c:scaling>
        <c:delete val="0"/>
        <c:axPos val="b"/>
        <c:numFmt formatCode="mmm\-yy" sourceLinked="1"/>
        <c:majorTickMark val="out"/>
        <c:minorTickMark val="none"/>
        <c:tickLblPos val="low"/>
        <c:spPr>
          <a:noFill/>
          <a:ln w="9525" cap="flat" cmpd="sng" algn="ctr">
            <a:solidFill>
              <a:schemeClr val="tx1">
                <a:lumMod val="15000"/>
                <a:lumOff val="85000"/>
              </a:schemeClr>
            </a:solidFill>
            <a:round/>
          </a:ln>
          <a:effectLst/>
        </c:spPr>
        <c:txPr>
          <a:bodyPr rot="-60000000" vert="horz"/>
          <a:lstStyle/>
          <a:p>
            <a:pPr>
              <a:defRPr sz="800"/>
            </a:pPr>
            <a:endParaRPr lang="es-GT"/>
          </a:p>
        </c:txPr>
        <c:crossAx val="817513887"/>
        <c:crosses val="autoZero"/>
        <c:auto val="1"/>
        <c:lblOffset val="100"/>
        <c:baseTimeUnit val="months"/>
      </c:dateAx>
      <c:valAx>
        <c:axId val="817513887"/>
        <c:scaling>
          <c:orientation val="minMax"/>
          <c:max val="10"/>
          <c:min val="-2"/>
        </c:scaling>
        <c:delete val="0"/>
        <c:axPos val="l"/>
        <c:title>
          <c:tx>
            <c:rich>
              <a:bodyPr rot="-5400000" vert="horz"/>
              <a:lstStyle/>
              <a:p>
                <a:pPr>
                  <a:defRPr sz="900" b="0"/>
                </a:pPr>
                <a:r>
                  <a:rPr lang="es-GT" sz="900" b="0"/>
                  <a:t>Porcentaje</a:t>
                </a:r>
              </a:p>
            </c:rich>
          </c:tx>
          <c:layout>
            <c:manualLayout>
              <c:xMode val="edge"/>
              <c:yMode val="edge"/>
              <c:x val="7.0503472222222226E-3"/>
              <c:y val="0.30753611111111112"/>
            </c:manualLayout>
          </c:layout>
          <c:overlay val="0"/>
          <c:spPr>
            <a:noFill/>
            <a:ln>
              <a:noFill/>
            </a:ln>
            <a:effectLst/>
          </c:spPr>
        </c:title>
        <c:numFmt formatCode="_-* #,##0.0_-;\-* #,##0.0_-;_-* &quot;-&quot;??_-;_-@_-" sourceLinked="1"/>
        <c:majorTickMark val="none"/>
        <c:minorTickMark val="none"/>
        <c:tickLblPos val="nextTo"/>
        <c:spPr>
          <a:noFill/>
          <a:ln>
            <a:noFill/>
          </a:ln>
          <a:effectLst/>
        </c:spPr>
        <c:txPr>
          <a:bodyPr rot="-60000000" vert="horz"/>
          <a:lstStyle/>
          <a:p>
            <a:pPr>
              <a:defRPr sz="800"/>
            </a:pPr>
            <a:endParaRPr lang="es-GT"/>
          </a:p>
        </c:txPr>
        <c:crossAx val="817510143"/>
        <c:crosses val="autoZero"/>
        <c:crossBetween val="between"/>
      </c:valAx>
    </c:plotArea>
    <c:legend>
      <c:legendPos val="r"/>
      <c:legendEntry>
        <c:idx val="1"/>
        <c:delete val="1"/>
      </c:legendEntry>
      <c:legendEntry>
        <c:idx val="2"/>
        <c:delete val="1"/>
      </c:legendEntry>
      <c:layout>
        <c:manualLayout>
          <c:xMode val="edge"/>
          <c:yMode val="edge"/>
          <c:x val="0.15613183556562205"/>
          <c:y val="2.3077401328990037E-2"/>
          <c:w val="0.36806407407407415"/>
          <c:h val="0.11488811727668201"/>
        </c:manualLayout>
      </c:layout>
      <c:overlay val="0"/>
      <c:spPr>
        <a:noFill/>
        <a:ln>
          <a:noFill/>
        </a:ln>
        <a:effectLst/>
      </c:spPr>
      <c:txPr>
        <a:bodyPr rot="0" vert="horz"/>
        <a:lstStyle/>
        <a:p>
          <a:pPr>
            <a:defRPr sz="900"/>
          </a:pPr>
          <a:endParaRPr lang="es-GT"/>
        </a:p>
      </c:txPr>
    </c:legend>
    <c:plotVisOnly val="1"/>
    <c:dispBlanksAs val="gap"/>
    <c:showDLblsOverMax val="0"/>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658148148148149"/>
          <c:y val="0.15872077362722845"/>
          <c:w val="0.67973185185185181"/>
          <c:h val="0.65927694366430778"/>
        </c:manualLayout>
      </c:layout>
      <c:lineChart>
        <c:grouping val="standard"/>
        <c:varyColors val="0"/>
        <c:ser>
          <c:idx val="0"/>
          <c:order val="0"/>
          <c:tx>
            <c:strRef>
              <c:f>ExpImpChart!$C$2</c:f>
              <c:strCache>
                <c:ptCount val="1"/>
                <c:pt idx="0">
                  <c:v>Importaciones</c:v>
                </c:pt>
              </c:strCache>
            </c:strRef>
          </c:tx>
          <c:spPr>
            <a:ln w="28575" cap="rnd">
              <a:solidFill>
                <a:srgbClr val="002060"/>
              </a:solidFill>
              <a:round/>
            </a:ln>
            <a:effectLst/>
          </c:spPr>
          <c:marker>
            <c:symbol val="none"/>
          </c:marker>
          <c:dLbls>
            <c:dLbl>
              <c:idx val="4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FDE-4E25-8007-A60FC6C54669}"/>
                </c:ext>
              </c:extLst>
            </c:dLbl>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ExpImpChart!$A$3:$A$49</c:f>
              <c:numCache>
                <c:formatCode>mmm\-yy</c:formatCode>
                <c:ptCount val="47"/>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pt idx="15">
                  <c:v>43922</c:v>
                </c:pt>
                <c:pt idx="16">
                  <c:v>43952</c:v>
                </c:pt>
                <c:pt idx="17">
                  <c:v>43983</c:v>
                </c:pt>
                <c:pt idx="18">
                  <c:v>44013</c:v>
                </c:pt>
                <c:pt idx="19">
                  <c:v>44044</c:v>
                </c:pt>
                <c:pt idx="20">
                  <c:v>44075</c:v>
                </c:pt>
                <c:pt idx="21">
                  <c:v>44105</c:v>
                </c:pt>
                <c:pt idx="22">
                  <c:v>44136</c:v>
                </c:pt>
                <c:pt idx="23">
                  <c:v>44166</c:v>
                </c:pt>
                <c:pt idx="24">
                  <c:v>44197</c:v>
                </c:pt>
                <c:pt idx="25">
                  <c:v>44228</c:v>
                </c:pt>
                <c:pt idx="26">
                  <c:v>44256</c:v>
                </c:pt>
                <c:pt idx="27">
                  <c:v>44287</c:v>
                </c:pt>
                <c:pt idx="28">
                  <c:v>44317</c:v>
                </c:pt>
                <c:pt idx="29">
                  <c:v>44348</c:v>
                </c:pt>
                <c:pt idx="30">
                  <c:v>44378</c:v>
                </c:pt>
                <c:pt idx="31">
                  <c:v>44409</c:v>
                </c:pt>
                <c:pt idx="32">
                  <c:v>44440</c:v>
                </c:pt>
                <c:pt idx="33">
                  <c:v>44470</c:v>
                </c:pt>
                <c:pt idx="34">
                  <c:v>44501</c:v>
                </c:pt>
                <c:pt idx="35">
                  <c:v>44531</c:v>
                </c:pt>
                <c:pt idx="36">
                  <c:v>44562</c:v>
                </c:pt>
                <c:pt idx="37">
                  <c:v>44593</c:v>
                </c:pt>
                <c:pt idx="38">
                  <c:v>44621</c:v>
                </c:pt>
                <c:pt idx="39">
                  <c:v>44652</c:v>
                </c:pt>
                <c:pt idx="40">
                  <c:v>44682</c:v>
                </c:pt>
                <c:pt idx="41">
                  <c:v>44713</c:v>
                </c:pt>
                <c:pt idx="42">
                  <c:v>44743</c:v>
                </c:pt>
                <c:pt idx="43">
                  <c:v>44774</c:v>
                </c:pt>
                <c:pt idx="44">
                  <c:v>44805</c:v>
                </c:pt>
                <c:pt idx="45">
                  <c:v>44835</c:v>
                </c:pt>
                <c:pt idx="46">
                  <c:v>44866</c:v>
                </c:pt>
              </c:numCache>
            </c:numRef>
          </c:cat>
          <c:val>
            <c:numRef>
              <c:f>ExpImpChart!$C$3:$C$49</c:f>
              <c:numCache>
                <c:formatCode>_-* #,##0.0_-;\-* #,##0.0_-;_-* "-"??_-;_-@_-</c:formatCode>
                <c:ptCount val="47"/>
                <c:pt idx="0">
                  <c:v>7.6</c:v>
                </c:pt>
                <c:pt idx="1">
                  <c:v>5.0999999999999996</c:v>
                </c:pt>
                <c:pt idx="2">
                  <c:v>6.5</c:v>
                </c:pt>
                <c:pt idx="3">
                  <c:v>4.2</c:v>
                </c:pt>
                <c:pt idx="4">
                  <c:v>1.9</c:v>
                </c:pt>
                <c:pt idx="5">
                  <c:v>0.7</c:v>
                </c:pt>
                <c:pt idx="6">
                  <c:v>1</c:v>
                </c:pt>
                <c:pt idx="7">
                  <c:v>0.8</c:v>
                </c:pt>
                <c:pt idx="8">
                  <c:v>0.7</c:v>
                </c:pt>
                <c:pt idx="9">
                  <c:v>0.8</c:v>
                </c:pt>
                <c:pt idx="10">
                  <c:v>1</c:v>
                </c:pt>
                <c:pt idx="11">
                  <c:v>1.1000000000000001</c:v>
                </c:pt>
                <c:pt idx="12">
                  <c:v>3</c:v>
                </c:pt>
                <c:pt idx="13">
                  <c:v>4</c:v>
                </c:pt>
                <c:pt idx="14">
                  <c:v>-0.7</c:v>
                </c:pt>
                <c:pt idx="15">
                  <c:v>-4.5999999999999996</c:v>
                </c:pt>
                <c:pt idx="16">
                  <c:v>-9.5</c:v>
                </c:pt>
                <c:pt idx="17">
                  <c:v>-10.3</c:v>
                </c:pt>
                <c:pt idx="18">
                  <c:v>-11.1</c:v>
                </c:pt>
                <c:pt idx="19">
                  <c:v>-11.9</c:v>
                </c:pt>
                <c:pt idx="20">
                  <c:v>-11.2</c:v>
                </c:pt>
                <c:pt idx="21">
                  <c:v>-11.1</c:v>
                </c:pt>
                <c:pt idx="22">
                  <c:v>-10.4</c:v>
                </c:pt>
                <c:pt idx="23">
                  <c:v>-8.4</c:v>
                </c:pt>
                <c:pt idx="24">
                  <c:v>-1.9</c:v>
                </c:pt>
                <c:pt idx="25">
                  <c:v>5.9</c:v>
                </c:pt>
                <c:pt idx="26">
                  <c:v>18.5</c:v>
                </c:pt>
                <c:pt idx="27">
                  <c:v>26.1</c:v>
                </c:pt>
                <c:pt idx="28">
                  <c:v>33.200000000000003</c:v>
                </c:pt>
                <c:pt idx="29">
                  <c:v>38.200000000000003</c:v>
                </c:pt>
                <c:pt idx="30">
                  <c:v>41.1</c:v>
                </c:pt>
                <c:pt idx="31">
                  <c:v>43.5</c:v>
                </c:pt>
                <c:pt idx="32">
                  <c:v>44.5</c:v>
                </c:pt>
                <c:pt idx="33">
                  <c:v>45.1</c:v>
                </c:pt>
                <c:pt idx="34">
                  <c:v>46.5</c:v>
                </c:pt>
                <c:pt idx="35">
                  <c:v>46.1</c:v>
                </c:pt>
                <c:pt idx="36">
                  <c:v>47.9</c:v>
                </c:pt>
                <c:pt idx="37">
                  <c:v>41.5</c:v>
                </c:pt>
                <c:pt idx="38">
                  <c:v>38.299999999999997</c:v>
                </c:pt>
                <c:pt idx="39">
                  <c:v>36</c:v>
                </c:pt>
                <c:pt idx="40">
                  <c:v>34.700000000000003</c:v>
                </c:pt>
                <c:pt idx="41">
                  <c:v>34.299999999999997</c:v>
                </c:pt>
                <c:pt idx="42">
                  <c:v>31.9</c:v>
                </c:pt>
                <c:pt idx="43">
                  <c:v>31.1</c:v>
                </c:pt>
                <c:pt idx="44">
                  <c:v>29.5</c:v>
                </c:pt>
                <c:pt idx="45">
                  <c:v>26.5</c:v>
                </c:pt>
                <c:pt idx="46">
                  <c:v>23.46</c:v>
                </c:pt>
              </c:numCache>
            </c:numRef>
          </c:val>
          <c:smooth val="0"/>
          <c:extLst>
            <c:ext xmlns:c16="http://schemas.microsoft.com/office/drawing/2014/chart" uri="{C3380CC4-5D6E-409C-BE32-E72D297353CC}">
              <c16:uniqueId val="{00000001-DFDE-4E25-8007-A60FC6C54669}"/>
            </c:ext>
          </c:extLst>
        </c:ser>
        <c:ser>
          <c:idx val="1"/>
          <c:order val="1"/>
          <c:tx>
            <c:strRef>
              <c:f>ExpImpChart!$B$2</c:f>
              <c:strCache>
                <c:ptCount val="1"/>
                <c:pt idx="0">
                  <c:v>Exportaciones</c:v>
                </c:pt>
              </c:strCache>
            </c:strRef>
          </c:tx>
          <c:spPr>
            <a:ln w="28575" cap="rnd">
              <a:solidFill>
                <a:schemeClr val="accent5"/>
              </a:solidFill>
              <a:round/>
            </a:ln>
            <a:effectLst/>
          </c:spPr>
          <c:marker>
            <c:symbol val="none"/>
          </c:marker>
          <c:dLbls>
            <c:dLbl>
              <c:idx val="46"/>
              <c:layout>
                <c:manualLayout>
                  <c:x val="-9.4095506939545354E-3"/>
                  <c:y val="7.05674801528962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FDE-4E25-8007-A60FC6C54669}"/>
                </c:ext>
              </c:extLst>
            </c:dLbl>
            <c:spPr>
              <a:noFill/>
              <a:ln>
                <a:noFill/>
              </a:ln>
              <a:effectLst/>
            </c:spPr>
            <c:txPr>
              <a:bodyPr rot="0" spcFirstLastPara="1" vertOverflow="ellipsis" vert="horz" wrap="square" anchor="ctr" anchorCtr="1"/>
              <a:lstStyle/>
              <a:p>
                <a:pPr>
                  <a:defRPr sz="900" b="1" i="0" u="none" strike="noStrike" kern="1200" baseline="0">
                    <a:solidFill>
                      <a:schemeClr val="accent5"/>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ExpImpChart!$A$3:$A$49</c:f>
              <c:numCache>
                <c:formatCode>mmm\-yy</c:formatCode>
                <c:ptCount val="47"/>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pt idx="15">
                  <c:v>43922</c:v>
                </c:pt>
                <c:pt idx="16">
                  <c:v>43952</c:v>
                </c:pt>
                <c:pt idx="17">
                  <c:v>43983</c:v>
                </c:pt>
                <c:pt idx="18">
                  <c:v>44013</c:v>
                </c:pt>
                <c:pt idx="19">
                  <c:v>44044</c:v>
                </c:pt>
                <c:pt idx="20">
                  <c:v>44075</c:v>
                </c:pt>
                <c:pt idx="21">
                  <c:v>44105</c:v>
                </c:pt>
                <c:pt idx="22">
                  <c:v>44136</c:v>
                </c:pt>
                <c:pt idx="23">
                  <c:v>44166</c:v>
                </c:pt>
                <c:pt idx="24">
                  <c:v>44197</c:v>
                </c:pt>
                <c:pt idx="25">
                  <c:v>44228</c:v>
                </c:pt>
                <c:pt idx="26">
                  <c:v>44256</c:v>
                </c:pt>
                <c:pt idx="27">
                  <c:v>44287</c:v>
                </c:pt>
                <c:pt idx="28">
                  <c:v>44317</c:v>
                </c:pt>
                <c:pt idx="29">
                  <c:v>44348</c:v>
                </c:pt>
                <c:pt idx="30">
                  <c:v>44378</c:v>
                </c:pt>
                <c:pt idx="31">
                  <c:v>44409</c:v>
                </c:pt>
                <c:pt idx="32">
                  <c:v>44440</c:v>
                </c:pt>
                <c:pt idx="33">
                  <c:v>44470</c:v>
                </c:pt>
                <c:pt idx="34">
                  <c:v>44501</c:v>
                </c:pt>
                <c:pt idx="35">
                  <c:v>44531</c:v>
                </c:pt>
                <c:pt idx="36">
                  <c:v>44562</c:v>
                </c:pt>
                <c:pt idx="37">
                  <c:v>44593</c:v>
                </c:pt>
                <c:pt idx="38">
                  <c:v>44621</c:v>
                </c:pt>
                <c:pt idx="39">
                  <c:v>44652</c:v>
                </c:pt>
                <c:pt idx="40">
                  <c:v>44682</c:v>
                </c:pt>
                <c:pt idx="41">
                  <c:v>44713</c:v>
                </c:pt>
                <c:pt idx="42">
                  <c:v>44743</c:v>
                </c:pt>
                <c:pt idx="43">
                  <c:v>44774</c:v>
                </c:pt>
                <c:pt idx="44">
                  <c:v>44805</c:v>
                </c:pt>
                <c:pt idx="45">
                  <c:v>44835</c:v>
                </c:pt>
                <c:pt idx="46">
                  <c:v>44866</c:v>
                </c:pt>
              </c:numCache>
            </c:numRef>
          </c:cat>
          <c:val>
            <c:numRef>
              <c:f>ExpImpChart!$B$3:$B$49</c:f>
              <c:numCache>
                <c:formatCode>_-* #,##0.0_-;\-* #,##0.0_-;_-* "-"??_-;_-@_-</c:formatCode>
                <c:ptCount val="47"/>
                <c:pt idx="0">
                  <c:v>-2.7</c:v>
                </c:pt>
                <c:pt idx="1">
                  <c:v>-3.2</c:v>
                </c:pt>
                <c:pt idx="2">
                  <c:v>-2</c:v>
                </c:pt>
                <c:pt idx="3">
                  <c:v>-2.2000000000000002</c:v>
                </c:pt>
                <c:pt idx="4">
                  <c:v>-2</c:v>
                </c:pt>
                <c:pt idx="5">
                  <c:v>-0.9</c:v>
                </c:pt>
                <c:pt idx="6">
                  <c:v>-0.5</c:v>
                </c:pt>
                <c:pt idx="7">
                  <c:v>-0.1</c:v>
                </c:pt>
                <c:pt idx="8">
                  <c:v>0.4</c:v>
                </c:pt>
                <c:pt idx="9">
                  <c:v>0.5</c:v>
                </c:pt>
                <c:pt idx="10">
                  <c:v>1.1000000000000001</c:v>
                </c:pt>
                <c:pt idx="11">
                  <c:v>1.8</c:v>
                </c:pt>
                <c:pt idx="12">
                  <c:v>18</c:v>
                </c:pt>
                <c:pt idx="13">
                  <c:v>16.7</c:v>
                </c:pt>
                <c:pt idx="14">
                  <c:v>8.1999999999999993</c:v>
                </c:pt>
                <c:pt idx="15">
                  <c:v>3.8</c:v>
                </c:pt>
                <c:pt idx="16">
                  <c:v>1.6</c:v>
                </c:pt>
                <c:pt idx="17">
                  <c:v>-2</c:v>
                </c:pt>
                <c:pt idx="18">
                  <c:v>-1.9</c:v>
                </c:pt>
                <c:pt idx="19">
                  <c:v>-2.4</c:v>
                </c:pt>
                <c:pt idx="20">
                  <c:v>-2</c:v>
                </c:pt>
                <c:pt idx="21">
                  <c:v>-1.4</c:v>
                </c:pt>
                <c:pt idx="22">
                  <c:v>-1.6</c:v>
                </c:pt>
                <c:pt idx="23">
                  <c:v>-0.6</c:v>
                </c:pt>
                <c:pt idx="24">
                  <c:v>-0.6</c:v>
                </c:pt>
                <c:pt idx="25">
                  <c:v>-0.3</c:v>
                </c:pt>
                <c:pt idx="26">
                  <c:v>7.9</c:v>
                </c:pt>
                <c:pt idx="27">
                  <c:v>12</c:v>
                </c:pt>
                <c:pt idx="28">
                  <c:v>14.1</c:v>
                </c:pt>
                <c:pt idx="29">
                  <c:v>18.899999999999999</c:v>
                </c:pt>
                <c:pt idx="30">
                  <c:v>20.7</c:v>
                </c:pt>
                <c:pt idx="31">
                  <c:v>21.4</c:v>
                </c:pt>
                <c:pt idx="32">
                  <c:v>22.6</c:v>
                </c:pt>
                <c:pt idx="33">
                  <c:v>22.6</c:v>
                </c:pt>
                <c:pt idx="34">
                  <c:v>22.9</c:v>
                </c:pt>
                <c:pt idx="35">
                  <c:v>22.7</c:v>
                </c:pt>
                <c:pt idx="36">
                  <c:v>20.8</c:v>
                </c:pt>
                <c:pt idx="37">
                  <c:v>22.6</c:v>
                </c:pt>
                <c:pt idx="38">
                  <c:v>23.2</c:v>
                </c:pt>
                <c:pt idx="39">
                  <c:v>23.6</c:v>
                </c:pt>
                <c:pt idx="40">
                  <c:v>24.5</c:v>
                </c:pt>
                <c:pt idx="41">
                  <c:v>24.8</c:v>
                </c:pt>
                <c:pt idx="42">
                  <c:v>23.7</c:v>
                </c:pt>
                <c:pt idx="43">
                  <c:v>22.3</c:v>
                </c:pt>
                <c:pt idx="44">
                  <c:v>19.8</c:v>
                </c:pt>
                <c:pt idx="45">
                  <c:v>18.399999999999999</c:v>
                </c:pt>
                <c:pt idx="46">
                  <c:v>17.2</c:v>
                </c:pt>
              </c:numCache>
            </c:numRef>
          </c:val>
          <c:smooth val="0"/>
          <c:extLst>
            <c:ext xmlns:c16="http://schemas.microsoft.com/office/drawing/2014/chart" uri="{C3380CC4-5D6E-409C-BE32-E72D297353CC}">
              <c16:uniqueId val="{00000003-DFDE-4E25-8007-A60FC6C54669}"/>
            </c:ext>
          </c:extLst>
        </c:ser>
        <c:dLbls>
          <c:showLegendKey val="0"/>
          <c:showVal val="0"/>
          <c:showCatName val="0"/>
          <c:showSerName val="0"/>
          <c:showPercent val="0"/>
          <c:showBubbleSize val="0"/>
        </c:dLbls>
        <c:smooth val="0"/>
        <c:axId val="817510143"/>
        <c:axId val="817513887"/>
      </c:lineChart>
      <c:dateAx>
        <c:axId val="817510143"/>
        <c:scaling>
          <c:orientation val="minMax"/>
          <c:min val="43586"/>
        </c:scaling>
        <c:delete val="0"/>
        <c:axPos val="b"/>
        <c:numFmt formatCode="mmm\-yy"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817513887"/>
        <c:crosses val="autoZero"/>
        <c:auto val="1"/>
        <c:lblOffset val="100"/>
        <c:baseTimeUnit val="months"/>
      </c:dateAx>
      <c:valAx>
        <c:axId val="817513887"/>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sz="900"/>
                  <a:t>Tasa de variación  interanual acumulada (%)</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title>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817510143"/>
        <c:crosses val="autoZero"/>
        <c:crossBetween val="between"/>
      </c:valAx>
      <c:spPr>
        <a:noFill/>
        <a:ln>
          <a:noFill/>
        </a:ln>
        <a:effectLst/>
      </c:spPr>
    </c:plotArea>
    <c:legend>
      <c:legendPos val="t"/>
      <c:layout>
        <c:manualLayout>
          <c:xMode val="edge"/>
          <c:yMode val="edge"/>
          <c:x val="0.20102148454753466"/>
          <c:y val="5.6850875192591091E-2"/>
          <c:w val="0.39454059821964238"/>
          <c:h val="0.1616097741673040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187777777777778"/>
          <c:y val="6.4517129629629633E-2"/>
          <c:w val="0.68139407407407415"/>
          <c:h val="0.7533509259259259"/>
        </c:manualLayout>
      </c:layout>
      <c:barChart>
        <c:barDir val="col"/>
        <c:grouping val="clustered"/>
        <c:varyColors val="0"/>
        <c:ser>
          <c:idx val="0"/>
          <c:order val="0"/>
          <c:tx>
            <c:strRef>
              <c:f>RemChart!$B$2</c:f>
              <c:strCache>
                <c:ptCount val="1"/>
                <c:pt idx="0">
                  <c:v>Remesas</c:v>
                </c:pt>
              </c:strCache>
            </c:strRef>
          </c:tx>
          <c:spPr>
            <a:solidFill>
              <a:srgbClr val="002060"/>
            </a:solidFill>
            <a:ln>
              <a:noFill/>
            </a:ln>
            <a:effectLst/>
          </c:spPr>
          <c:invertIfNegative val="0"/>
          <c:dLbls>
            <c:dLbl>
              <c:idx val="47"/>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D6E-43FA-882E-C89ED66AC8A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RemChart!$A$3:$A$50</c:f>
              <c:numCache>
                <c:formatCode>mmm\-yy</c:formatCode>
                <c:ptCount val="48"/>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pt idx="15">
                  <c:v>43922</c:v>
                </c:pt>
                <c:pt idx="16">
                  <c:v>43952</c:v>
                </c:pt>
                <c:pt idx="17">
                  <c:v>43983</c:v>
                </c:pt>
                <c:pt idx="18">
                  <c:v>44013</c:v>
                </c:pt>
                <c:pt idx="19">
                  <c:v>44044</c:v>
                </c:pt>
                <c:pt idx="20">
                  <c:v>44075</c:v>
                </c:pt>
                <c:pt idx="21">
                  <c:v>44105</c:v>
                </c:pt>
                <c:pt idx="22">
                  <c:v>44136</c:v>
                </c:pt>
                <c:pt idx="23">
                  <c:v>44166</c:v>
                </c:pt>
                <c:pt idx="24">
                  <c:v>44197</c:v>
                </c:pt>
                <c:pt idx="25">
                  <c:v>44228</c:v>
                </c:pt>
                <c:pt idx="26">
                  <c:v>44256</c:v>
                </c:pt>
                <c:pt idx="27">
                  <c:v>44287</c:v>
                </c:pt>
                <c:pt idx="28">
                  <c:v>44317</c:v>
                </c:pt>
                <c:pt idx="29">
                  <c:v>44348</c:v>
                </c:pt>
                <c:pt idx="30">
                  <c:v>44378</c:v>
                </c:pt>
                <c:pt idx="31">
                  <c:v>44409</c:v>
                </c:pt>
                <c:pt idx="32">
                  <c:v>44440</c:v>
                </c:pt>
                <c:pt idx="33">
                  <c:v>44470</c:v>
                </c:pt>
                <c:pt idx="34">
                  <c:v>44501</c:v>
                </c:pt>
                <c:pt idx="35">
                  <c:v>44531</c:v>
                </c:pt>
                <c:pt idx="36">
                  <c:v>44562</c:v>
                </c:pt>
                <c:pt idx="37">
                  <c:v>44593</c:v>
                </c:pt>
                <c:pt idx="38">
                  <c:v>44621</c:v>
                </c:pt>
                <c:pt idx="39">
                  <c:v>44652</c:v>
                </c:pt>
                <c:pt idx="40">
                  <c:v>44682</c:v>
                </c:pt>
                <c:pt idx="41">
                  <c:v>44713</c:v>
                </c:pt>
                <c:pt idx="42">
                  <c:v>44743</c:v>
                </c:pt>
                <c:pt idx="43">
                  <c:v>44774</c:v>
                </c:pt>
                <c:pt idx="44">
                  <c:v>44805</c:v>
                </c:pt>
                <c:pt idx="45">
                  <c:v>44835</c:v>
                </c:pt>
                <c:pt idx="46">
                  <c:v>44866</c:v>
                </c:pt>
                <c:pt idx="47">
                  <c:v>44896</c:v>
                </c:pt>
              </c:numCache>
            </c:numRef>
          </c:cat>
          <c:val>
            <c:numRef>
              <c:f>RemChart!$B$3:$B$50</c:f>
              <c:numCache>
                <c:formatCode>_-* #,##0.0_-;\-* #,##0.0_-;_-* "-"??_-;_-@_-</c:formatCode>
                <c:ptCount val="48"/>
                <c:pt idx="0">
                  <c:v>8.4</c:v>
                </c:pt>
                <c:pt idx="1">
                  <c:v>9</c:v>
                </c:pt>
                <c:pt idx="2">
                  <c:v>9.1999999999999993</c:v>
                </c:pt>
                <c:pt idx="3">
                  <c:v>10.1</c:v>
                </c:pt>
                <c:pt idx="4">
                  <c:v>12.4</c:v>
                </c:pt>
                <c:pt idx="5">
                  <c:v>12</c:v>
                </c:pt>
                <c:pt idx="6">
                  <c:v>12.6</c:v>
                </c:pt>
                <c:pt idx="7">
                  <c:v>12.8</c:v>
                </c:pt>
                <c:pt idx="8">
                  <c:v>13.5</c:v>
                </c:pt>
                <c:pt idx="9">
                  <c:v>13.8</c:v>
                </c:pt>
                <c:pt idx="10">
                  <c:v>13.3</c:v>
                </c:pt>
                <c:pt idx="11">
                  <c:v>13.1</c:v>
                </c:pt>
                <c:pt idx="12">
                  <c:v>21.3</c:v>
                </c:pt>
                <c:pt idx="13">
                  <c:v>19.2</c:v>
                </c:pt>
                <c:pt idx="14">
                  <c:v>8.3000000000000007</c:v>
                </c:pt>
                <c:pt idx="15">
                  <c:v>0.3</c:v>
                </c:pt>
                <c:pt idx="16">
                  <c:v>-3.2</c:v>
                </c:pt>
                <c:pt idx="17">
                  <c:v>-0.9</c:v>
                </c:pt>
                <c:pt idx="18">
                  <c:v>1.4</c:v>
                </c:pt>
                <c:pt idx="19">
                  <c:v>2.2000000000000002</c:v>
                </c:pt>
                <c:pt idx="20">
                  <c:v>4</c:v>
                </c:pt>
                <c:pt idx="21">
                  <c:v>5.0999999999999996</c:v>
                </c:pt>
                <c:pt idx="22">
                  <c:v>6.4</c:v>
                </c:pt>
                <c:pt idx="23">
                  <c:v>7.9</c:v>
                </c:pt>
                <c:pt idx="24">
                  <c:v>8.6</c:v>
                </c:pt>
                <c:pt idx="25">
                  <c:v>12.6</c:v>
                </c:pt>
                <c:pt idx="26">
                  <c:v>31.2</c:v>
                </c:pt>
                <c:pt idx="27">
                  <c:v>41.8</c:v>
                </c:pt>
                <c:pt idx="28">
                  <c:v>43.1</c:v>
                </c:pt>
                <c:pt idx="29">
                  <c:v>42.7</c:v>
                </c:pt>
                <c:pt idx="30">
                  <c:v>39.6</c:v>
                </c:pt>
                <c:pt idx="31">
                  <c:v>38.5</c:v>
                </c:pt>
                <c:pt idx="32">
                  <c:v>36.6</c:v>
                </c:pt>
                <c:pt idx="33">
                  <c:v>35.200000000000003</c:v>
                </c:pt>
                <c:pt idx="34">
                  <c:v>35.4</c:v>
                </c:pt>
                <c:pt idx="35">
                  <c:v>34.9</c:v>
                </c:pt>
                <c:pt idx="36">
                  <c:v>30.2</c:v>
                </c:pt>
                <c:pt idx="37">
                  <c:v>32.1</c:v>
                </c:pt>
                <c:pt idx="38">
                  <c:v>25.6</c:v>
                </c:pt>
                <c:pt idx="39">
                  <c:v>24.9</c:v>
                </c:pt>
                <c:pt idx="40">
                  <c:v>25.7</c:v>
                </c:pt>
                <c:pt idx="41">
                  <c:v>25.1</c:v>
                </c:pt>
                <c:pt idx="42">
                  <c:v>21.2</c:v>
                </c:pt>
                <c:pt idx="43">
                  <c:v>20.8</c:v>
                </c:pt>
                <c:pt idx="44">
                  <c:v>21</c:v>
                </c:pt>
                <c:pt idx="45">
                  <c:v>20.25</c:v>
                </c:pt>
                <c:pt idx="46">
                  <c:v>18.97</c:v>
                </c:pt>
                <c:pt idx="47">
                  <c:v>17.940000000000001</c:v>
                </c:pt>
              </c:numCache>
            </c:numRef>
          </c:val>
          <c:extLst>
            <c:ext xmlns:c16="http://schemas.microsoft.com/office/drawing/2014/chart" uri="{C3380CC4-5D6E-409C-BE32-E72D297353CC}">
              <c16:uniqueId val="{00000001-7D6E-43FA-882E-C89ED66AC8A2}"/>
            </c:ext>
          </c:extLst>
        </c:ser>
        <c:dLbls>
          <c:showLegendKey val="0"/>
          <c:showVal val="0"/>
          <c:showCatName val="0"/>
          <c:showSerName val="0"/>
          <c:showPercent val="0"/>
          <c:showBubbleSize val="0"/>
        </c:dLbls>
        <c:gapWidth val="150"/>
        <c:axId val="817510143"/>
        <c:axId val="817513887"/>
      </c:barChart>
      <c:dateAx>
        <c:axId val="817510143"/>
        <c:scaling>
          <c:orientation val="minMax"/>
          <c:min val="43617"/>
        </c:scaling>
        <c:delete val="0"/>
        <c:axPos val="b"/>
        <c:numFmt formatCode="mmm\-yy"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817513887"/>
        <c:crosses val="autoZero"/>
        <c:auto val="1"/>
        <c:lblOffset val="100"/>
        <c:baseTimeUnit val="months"/>
      </c:dateAx>
      <c:valAx>
        <c:axId val="817513887"/>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sz="900"/>
                  <a:t>Tasa de variación  interanual acumulada (%)</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title>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81751014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133962962962966"/>
          <c:y val="6.4675925925925928E-2"/>
          <c:w val="0.72323666666666675"/>
          <c:h val="0.75960416666666664"/>
        </c:manualLayout>
      </c:layout>
      <c:lineChart>
        <c:grouping val="standard"/>
        <c:varyColors val="0"/>
        <c:ser>
          <c:idx val="1"/>
          <c:order val="0"/>
          <c:tx>
            <c:strRef>
              <c:f>TcChart!$B$2</c:f>
              <c:strCache>
                <c:ptCount val="1"/>
                <c:pt idx="0">
                  <c:v>Tipo de cambio </c:v>
                </c:pt>
              </c:strCache>
            </c:strRef>
          </c:tx>
          <c:spPr>
            <a:ln w="12700"/>
          </c:spPr>
          <c:marker>
            <c:symbol val="none"/>
          </c:marker>
          <c:cat>
            <c:numRef>
              <c:f>TcChart!$A$3:$A$367</c:f>
              <c:numCache>
                <c:formatCode>mmm\-yy</c:formatCode>
                <c:ptCount val="365"/>
                <c:pt idx="0">
                  <c:v>44562</c:v>
                </c:pt>
                <c:pt idx="1">
                  <c:v>44563</c:v>
                </c:pt>
                <c:pt idx="2">
                  <c:v>44564</c:v>
                </c:pt>
                <c:pt idx="3">
                  <c:v>44565</c:v>
                </c:pt>
                <c:pt idx="4">
                  <c:v>44566</c:v>
                </c:pt>
                <c:pt idx="5">
                  <c:v>44567</c:v>
                </c:pt>
                <c:pt idx="6">
                  <c:v>44568</c:v>
                </c:pt>
                <c:pt idx="7">
                  <c:v>44569</c:v>
                </c:pt>
                <c:pt idx="8">
                  <c:v>44570</c:v>
                </c:pt>
                <c:pt idx="9">
                  <c:v>44571</c:v>
                </c:pt>
                <c:pt idx="10">
                  <c:v>44572</c:v>
                </c:pt>
                <c:pt idx="11">
                  <c:v>44573</c:v>
                </c:pt>
                <c:pt idx="12">
                  <c:v>44574</c:v>
                </c:pt>
                <c:pt idx="13">
                  <c:v>44575</c:v>
                </c:pt>
                <c:pt idx="14">
                  <c:v>44576</c:v>
                </c:pt>
                <c:pt idx="15">
                  <c:v>44577</c:v>
                </c:pt>
                <c:pt idx="16">
                  <c:v>44578</c:v>
                </c:pt>
                <c:pt idx="17">
                  <c:v>44579</c:v>
                </c:pt>
                <c:pt idx="18">
                  <c:v>44580</c:v>
                </c:pt>
                <c:pt idx="19">
                  <c:v>44581</c:v>
                </c:pt>
                <c:pt idx="20">
                  <c:v>44582</c:v>
                </c:pt>
                <c:pt idx="21">
                  <c:v>44583</c:v>
                </c:pt>
                <c:pt idx="22">
                  <c:v>44584</c:v>
                </c:pt>
                <c:pt idx="23">
                  <c:v>44585</c:v>
                </c:pt>
                <c:pt idx="24">
                  <c:v>44586</c:v>
                </c:pt>
                <c:pt idx="25">
                  <c:v>44587</c:v>
                </c:pt>
                <c:pt idx="26">
                  <c:v>44588</c:v>
                </c:pt>
                <c:pt idx="27">
                  <c:v>44589</c:v>
                </c:pt>
                <c:pt idx="28">
                  <c:v>44590</c:v>
                </c:pt>
                <c:pt idx="29">
                  <c:v>44591</c:v>
                </c:pt>
                <c:pt idx="30">
                  <c:v>44592</c:v>
                </c:pt>
                <c:pt idx="31">
                  <c:v>44593</c:v>
                </c:pt>
                <c:pt idx="32">
                  <c:v>44594</c:v>
                </c:pt>
                <c:pt idx="33">
                  <c:v>44595</c:v>
                </c:pt>
                <c:pt idx="34">
                  <c:v>44596</c:v>
                </c:pt>
                <c:pt idx="35">
                  <c:v>44597</c:v>
                </c:pt>
                <c:pt idx="36">
                  <c:v>44598</c:v>
                </c:pt>
                <c:pt idx="37">
                  <c:v>44599</c:v>
                </c:pt>
                <c:pt idx="38">
                  <c:v>44600</c:v>
                </c:pt>
                <c:pt idx="39">
                  <c:v>44601</c:v>
                </c:pt>
                <c:pt idx="40">
                  <c:v>44602</c:v>
                </c:pt>
                <c:pt idx="41">
                  <c:v>44603</c:v>
                </c:pt>
                <c:pt idx="42">
                  <c:v>44604</c:v>
                </c:pt>
                <c:pt idx="43">
                  <c:v>44605</c:v>
                </c:pt>
                <c:pt idx="44">
                  <c:v>44606</c:v>
                </c:pt>
                <c:pt idx="45">
                  <c:v>44607</c:v>
                </c:pt>
                <c:pt idx="46">
                  <c:v>44608</c:v>
                </c:pt>
                <c:pt idx="47">
                  <c:v>44609</c:v>
                </c:pt>
                <c:pt idx="48">
                  <c:v>44610</c:v>
                </c:pt>
                <c:pt idx="49">
                  <c:v>44611</c:v>
                </c:pt>
                <c:pt idx="50">
                  <c:v>44612</c:v>
                </c:pt>
                <c:pt idx="51">
                  <c:v>44613</c:v>
                </c:pt>
                <c:pt idx="52">
                  <c:v>44614</c:v>
                </c:pt>
                <c:pt idx="53">
                  <c:v>44615</c:v>
                </c:pt>
                <c:pt idx="54">
                  <c:v>44616</c:v>
                </c:pt>
                <c:pt idx="55">
                  <c:v>44617</c:v>
                </c:pt>
                <c:pt idx="56">
                  <c:v>44618</c:v>
                </c:pt>
                <c:pt idx="57">
                  <c:v>44619</c:v>
                </c:pt>
                <c:pt idx="58">
                  <c:v>44620</c:v>
                </c:pt>
                <c:pt idx="59">
                  <c:v>44621</c:v>
                </c:pt>
                <c:pt idx="60">
                  <c:v>44622</c:v>
                </c:pt>
                <c:pt idx="61">
                  <c:v>44623</c:v>
                </c:pt>
                <c:pt idx="62">
                  <c:v>44624</c:v>
                </c:pt>
                <c:pt idx="63">
                  <c:v>44625</c:v>
                </c:pt>
                <c:pt idx="64">
                  <c:v>44626</c:v>
                </c:pt>
                <c:pt idx="65">
                  <c:v>44627</c:v>
                </c:pt>
                <c:pt idx="66">
                  <c:v>44628</c:v>
                </c:pt>
                <c:pt idx="67">
                  <c:v>44629</c:v>
                </c:pt>
                <c:pt idx="68">
                  <c:v>44630</c:v>
                </c:pt>
                <c:pt idx="69">
                  <c:v>44631</c:v>
                </c:pt>
                <c:pt idx="70">
                  <c:v>44632</c:v>
                </c:pt>
                <c:pt idx="71">
                  <c:v>44633</c:v>
                </c:pt>
                <c:pt idx="72">
                  <c:v>44634</c:v>
                </c:pt>
                <c:pt idx="73">
                  <c:v>44635</c:v>
                </c:pt>
                <c:pt idx="74">
                  <c:v>44636</c:v>
                </c:pt>
                <c:pt idx="75">
                  <c:v>44637</c:v>
                </c:pt>
                <c:pt idx="76">
                  <c:v>44638</c:v>
                </c:pt>
                <c:pt idx="77">
                  <c:v>44639</c:v>
                </c:pt>
                <c:pt idx="78">
                  <c:v>44640</c:v>
                </c:pt>
                <c:pt idx="79">
                  <c:v>44641</c:v>
                </c:pt>
                <c:pt idx="80">
                  <c:v>44642</c:v>
                </c:pt>
                <c:pt idx="81">
                  <c:v>44643</c:v>
                </c:pt>
                <c:pt idx="82">
                  <c:v>44644</c:v>
                </c:pt>
                <c:pt idx="83">
                  <c:v>44645</c:v>
                </c:pt>
                <c:pt idx="84">
                  <c:v>44646</c:v>
                </c:pt>
                <c:pt idx="85">
                  <c:v>44647</c:v>
                </c:pt>
                <c:pt idx="86">
                  <c:v>44648</c:v>
                </c:pt>
                <c:pt idx="87">
                  <c:v>44649</c:v>
                </c:pt>
                <c:pt idx="88">
                  <c:v>44650</c:v>
                </c:pt>
                <c:pt idx="89">
                  <c:v>44651</c:v>
                </c:pt>
                <c:pt idx="90">
                  <c:v>44652</c:v>
                </c:pt>
                <c:pt idx="91">
                  <c:v>44653</c:v>
                </c:pt>
                <c:pt idx="92">
                  <c:v>44654</c:v>
                </c:pt>
                <c:pt idx="93">
                  <c:v>44655</c:v>
                </c:pt>
                <c:pt idx="94">
                  <c:v>44656</c:v>
                </c:pt>
                <c:pt idx="95">
                  <c:v>44657</c:v>
                </c:pt>
                <c:pt idx="96">
                  <c:v>44658</c:v>
                </c:pt>
                <c:pt idx="97">
                  <c:v>44659</c:v>
                </c:pt>
                <c:pt idx="98">
                  <c:v>44660</c:v>
                </c:pt>
                <c:pt idx="99">
                  <c:v>44661</c:v>
                </c:pt>
                <c:pt idx="100">
                  <c:v>44662</c:v>
                </c:pt>
                <c:pt idx="101">
                  <c:v>44663</c:v>
                </c:pt>
                <c:pt idx="102">
                  <c:v>44664</c:v>
                </c:pt>
                <c:pt idx="103">
                  <c:v>44665</c:v>
                </c:pt>
                <c:pt idx="104">
                  <c:v>44666</c:v>
                </c:pt>
                <c:pt idx="105">
                  <c:v>44667</c:v>
                </c:pt>
                <c:pt idx="106">
                  <c:v>44668</c:v>
                </c:pt>
                <c:pt idx="107">
                  <c:v>44669</c:v>
                </c:pt>
                <c:pt idx="108">
                  <c:v>44670</c:v>
                </c:pt>
                <c:pt idx="109">
                  <c:v>44671</c:v>
                </c:pt>
                <c:pt idx="110">
                  <c:v>44672</c:v>
                </c:pt>
                <c:pt idx="111">
                  <c:v>44673</c:v>
                </c:pt>
                <c:pt idx="112">
                  <c:v>44674</c:v>
                </c:pt>
                <c:pt idx="113">
                  <c:v>44675</c:v>
                </c:pt>
                <c:pt idx="114">
                  <c:v>44676</c:v>
                </c:pt>
                <c:pt idx="115">
                  <c:v>44677</c:v>
                </c:pt>
                <c:pt idx="116">
                  <c:v>44678</c:v>
                </c:pt>
                <c:pt idx="117">
                  <c:v>44679</c:v>
                </c:pt>
                <c:pt idx="118">
                  <c:v>44680</c:v>
                </c:pt>
                <c:pt idx="119">
                  <c:v>44681</c:v>
                </c:pt>
                <c:pt idx="120">
                  <c:v>44682</c:v>
                </c:pt>
                <c:pt idx="121">
                  <c:v>44683</c:v>
                </c:pt>
                <c:pt idx="122">
                  <c:v>44684</c:v>
                </c:pt>
                <c:pt idx="123">
                  <c:v>44685</c:v>
                </c:pt>
                <c:pt idx="124">
                  <c:v>44686</c:v>
                </c:pt>
                <c:pt idx="125">
                  <c:v>44687</c:v>
                </c:pt>
                <c:pt idx="126">
                  <c:v>44688</c:v>
                </c:pt>
                <c:pt idx="127">
                  <c:v>44689</c:v>
                </c:pt>
                <c:pt idx="128">
                  <c:v>44690</c:v>
                </c:pt>
                <c:pt idx="129">
                  <c:v>44691</c:v>
                </c:pt>
                <c:pt idx="130">
                  <c:v>44692</c:v>
                </c:pt>
                <c:pt idx="131">
                  <c:v>44693</c:v>
                </c:pt>
                <c:pt idx="132">
                  <c:v>44694</c:v>
                </c:pt>
                <c:pt idx="133">
                  <c:v>44695</c:v>
                </c:pt>
                <c:pt idx="134">
                  <c:v>44696</c:v>
                </c:pt>
                <c:pt idx="135">
                  <c:v>44697</c:v>
                </c:pt>
                <c:pt idx="136">
                  <c:v>44698</c:v>
                </c:pt>
                <c:pt idx="137">
                  <c:v>44699</c:v>
                </c:pt>
                <c:pt idx="138">
                  <c:v>44700</c:v>
                </c:pt>
                <c:pt idx="139">
                  <c:v>44701</c:v>
                </c:pt>
                <c:pt idx="140">
                  <c:v>44702</c:v>
                </c:pt>
                <c:pt idx="141">
                  <c:v>44703</c:v>
                </c:pt>
                <c:pt idx="142">
                  <c:v>44704</c:v>
                </c:pt>
                <c:pt idx="143">
                  <c:v>44705</c:v>
                </c:pt>
                <c:pt idx="144">
                  <c:v>44706</c:v>
                </c:pt>
                <c:pt idx="145">
                  <c:v>44707</c:v>
                </c:pt>
                <c:pt idx="146">
                  <c:v>44708</c:v>
                </c:pt>
                <c:pt idx="147">
                  <c:v>44709</c:v>
                </c:pt>
                <c:pt idx="148">
                  <c:v>44710</c:v>
                </c:pt>
                <c:pt idx="149">
                  <c:v>44711</c:v>
                </c:pt>
                <c:pt idx="150">
                  <c:v>44712</c:v>
                </c:pt>
                <c:pt idx="151">
                  <c:v>44713</c:v>
                </c:pt>
                <c:pt idx="152">
                  <c:v>44714</c:v>
                </c:pt>
                <c:pt idx="153">
                  <c:v>44715</c:v>
                </c:pt>
                <c:pt idx="154">
                  <c:v>44716</c:v>
                </c:pt>
                <c:pt idx="155">
                  <c:v>44717</c:v>
                </c:pt>
                <c:pt idx="156">
                  <c:v>44718</c:v>
                </c:pt>
                <c:pt idx="157">
                  <c:v>44719</c:v>
                </c:pt>
                <c:pt idx="158">
                  <c:v>44720</c:v>
                </c:pt>
                <c:pt idx="159">
                  <c:v>44721</c:v>
                </c:pt>
                <c:pt idx="160">
                  <c:v>44722</c:v>
                </c:pt>
                <c:pt idx="161">
                  <c:v>44723</c:v>
                </c:pt>
                <c:pt idx="162">
                  <c:v>44724</c:v>
                </c:pt>
                <c:pt idx="163">
                  <c:v>44725</c:v>
                </c:pt>
                <c:pt idx="164">
                  <c:v>44726</c:v>
                </c:pt>
                <c:pt idx="165">
                  <c:v>44727</c:v>
                </c:pt>
                <c:pt idx="166">
                  <c:v>44728</c:v>
                </c:pt>
                <c:pt idx="167">
                  <c:v>44729</c:v>
                </c:pt>
                <c:pt idx="168">
                  <c:v>44730</c:v>
                </c:pt>
                <c:pt idx="169">
                  <c:v>44731</c:v>
                </c:pt>
                <c:pt idx="170">
                  <c:v>44732</c:v>
                </c:pt>
                <c:pt idx="171">
                  <c:v>44733</c:v>
                </c:pt>
                <c:pt idx="172">
                  <c:v>44734</c:v>
                </c:pt>
                <c:pt idx="173">
                  <c:v>44735</c:v>
                </c:pt>
                <c:pt idx="174">
                  <c:v>44736</c:v>
                </c:pt>
                <c:pt idx="175">
                  <c:v>44737</c:v>
                </c:pt>
                <c:pt idx="176">
                  <c:v>44738</c:v>
                </c:pt>
                <c:pt idx="177">
                  <c:v>44739</c:v>
                </c:pt>
                <c:pt idx="178">
                  <c:v>44740</c:v>
                </c:pt>
                <c:pt idx="179">
                  <c:v>44741</c:v>
                </c:pt>
                <c:pt idx="180">
                  <c:v>44742</c:v>
                </c:pt>
                <c:pt idx="181">
                  <c:v>44743</c:v>
                </c:pt>
                <c:pt idx="182">
                  <c:v>44744</c:v>
                </c:pt>
                <c:pt idx="183">
                  <c:v>44745</c:v>
                </c:pt>
                <c:pt idx="184">
                  <c:v>44746</c:v>
                </c:pt>
                <c:pt idx="185">
                  <c:v>44747</c:v>
                </c:pt>
                <c:pt idx="186">
                  <c:v>44748</c:v>
                </c:pt>
                <c:pt idx="187">
                  <c:v>44749</c:v>
                </c:pt>
                <c:pt idx="188">
                  <c:v>44750</c:v>
                </c:pt>
                <c:pt idx="189">
                  <c:v>44751</c:v>
                </c:pt>
                <c:pt idx="190">
                  <c:v>44752</c:v>
                </c:pt>
                <c:pt idx="191">
                  <c:v>44753</c:v>
                </c:pt>
                <c:pt idx="192">
                  <c:v>44754</c:v>
                </c:pt>
                <c:pt idx="193">
                  <c:v>44755</c:v>
                </c:pt>
                <c:pt idx="194">
                  <c:v>44756</c:v>
                </c:pt>
                <c:pt idx="195">
                  <c:v>44757</c:v>
                </c:pt>
                <c:pt idx="196">
                  <c:v>44758</c:v>
                </c:pt>
                <c:pt idx="197">
                  <c:v>44759</c:v>
                </c:pt>
                <c:pt idx="198">
                  <c:v>44760</c:v>
                </c:pt>
                <c:pt idx="199">
                  <c:v>44761</c:v>
                </c:pt>
                <c:pt idx="200">
                  <c:v>44762</c:v>
                </c:pt>
                <c:pt idx="201">
                  <c:v>44763</c:v>
                </c:pt>
                <c:pt idx="202">
                  <c:v>44764</c:v>
                </c:pt>
                <c:pt idx="203">
                  <c:v>44765</c:v>
                </c:pt>
                <c:pt idx="204">
                  <c:v>44766</c:v>
                </c:pt>
                <c:pt idx="205">
                  <c:v>44767</c:v>
                </c:pt>
                <c:pt idx="206">
                  <c:v>44768</c:v>
                </c:pt>
                <c:pt idx="207">
                  <c:v>44769</c:v>
                </c:pt>
                <c:pt idx="208">
                  <c:v>44770</c:v>
                </c:pt>
                <c:pt idx="209">
                  <c:v>44771</c:v>
                </c:pt>
                <c:pt idx="210">
                  <c:v>44772</c:v>
                </c:pt>
                <c:pt idx="211">
                  <c:v>44773</c:v>
                </c:pt>
                <c:pt idx="212">
                  <c:v>44774</c:v>
                </c:pt>
                <c:pt idx="213">
                  <c:v>44775</c:v>
                </c:pt>
                <c:pt idx="214">
                  <c:v>44776</c:v>
                </c:pt>
                <c:pt idx="215">
                  <c:v>44777</c:v>
                </c:pt>
                <c:pt idx="216">
                  <c:v>44778</c:v>
                </c:pt>
                <c:pt idx="217">
                  <c:v>44779</c:v>
                </c:pt>
                <c:pt idx="218">
                  <c:v>44780</c:v>
                </c:pt>
                <c:pt idx="219">
                  <c:v>44781</c:v>
                </c:pt>
                <c:pt idx="220">
                  <c:v>44782</c:v>
                </c:pt>
                <c:pt idx="221">
                  <c:v>44783</c:v>
                </c:pt>
                <c:pt idx="222">
                  <c:v>44784</c:v>
                </c:pt>
                <c:pt idx="223">
                  <c:v>44785</c:v>
                </c:pt>
                <c:pt idx="224">
                  <c:v>44786</c:v>
                </c:pt>
                <c:pt idx="225">
                  <c:v>44787</c:v>
                </c:pt>
                <c:pt idx="226">
                  <c:v>44788</c:v>
                </c:pt>
                <c:pt idx="227">
                  <c:v>44789</c:v>
                </c:pt>
                <c:pt idx="228">
                  <c:v>44790</c:v>
                </c:pt>
                <c:pt idx="229">
                  <c:v>44791</c:v>
                </c:pt>
                <c:pt idx="230">
                  <c:v>44792</c:v>
                </c:pt>
                <c:pt idx="231">
                  <c:v>44793</c:v>
                </c:pt>
                <c:pt idx="232">
                  <c:v>44794</c:v>
                </c:pt>
                <c:pt idx="233">
                  <c:v>44795</c:v>
                </c:pt>
                <c:pt idx="234">
                  <c:v>44796</c:v>
                </c:pt>
                <c:pt idx="235">
                  <c:v>44797</c:v>
                </c:pt>
                <c:pt idx="236">
                  <c:v>44798</c:v>
                </c:pt>
                <c:pt idx="237">
                  <c:v>44799</c:v>
                </c:pt>
                <c:pt idx="238">
                  <c:v>44800</c:v>
                </c:pt>
                <c:pt idx="239">
                  <c:v>44801</c:v>
                </c:pt>
                <c:pt idx="240">
                  <c:v>44802</c:v>
                </c:pt>
                <c:pt idx="241">
                  <c:v>44803</c:v>
                </c:pt>
                <c:pt idx="242">
                  <c:v>44804</c:v>
                </c:pt>
                <c:pt idx="243">
                  <c:v>44805</c:v>
                </c:pt>
                <c:pt idx="244">
                  <c:v>44806</c:v>
                </c:pt>
                <c:pt idx="245">
                  <c:v>44807</c:v>
                </c:pt>
                <c:pt idx="246">
                  <c:v>44808</c:v>
                </c:pt>
                <c:pt idx="247">
                  <c:v>44809</c:v>
                </c:pt>
                <c:pt idx="248">
                  <c:v>44810</c:v>
                </c:pt>
                <c:pt idx="249">
                  <c:v>44811</c:v>
                </c:pt>
                <c:pt idx="250">
                  <c:v>44812</c:v>
                </c:pt>
                <c:pt idx="251">
                  <c:v>44813</c:v>
                </c:pt>
                <c:pt idx="252">
                  <c:v>44814</c:v>
                </c:pt>
                <c:pt idx="253">
                  <c:v>44815</c:v>
                </c:pt>
                <c:pt idx="254">
                  <c:v>44816</c:v>
                </c:pt>
                <c:pt idx="255">
                  <c:v>44817</c:v>
                </c:pt>
                <c:pt idx="256">
                  <c:v>44818</c:v>
                </c:pt>
                <c:pt idx="257">
                  <c:v>44819</c:v>
                </c:pt>
                <c:pt idx="258">
                  <c:v>44820</c:v>
                </c:pt>
                <c:pt idx="259">
                  <c:v>44821</c:v>
                </c:pt>
                <c:pt idx="260">
                  <c:v>44822</c:v>
                </c:pt>
                <c:pt idx="261">
                  <c:v>44823</c:v>
                </c:pt>
                <c:pt idx="262">
                  <c:v>44824</c:v>
                </c:pt>
                <c:pt idx="263">
                  <c:v>44825</c:v>
                </c:pt>
                <c:pt idx="264">
                  <c:v>44826</c:v>
                </c:pt>
                <c:pt idx="265">
                  <c:v>44827</c:v>
                </c:pt>
                <c:pt idx="266">
                  <c:v>44828</c:v>
                </c:pt>
                <c:pt idx="267">
                  <c:v>44829</c:v>
                </c:pt>
                <c:pt idx="268">
                  <c:v>44830</c:v>
                </c:pt>
                <c:pt idx="269">
                  <c:v>44831</c:v>
                </c:pt>
                <c:pt idx="270">
                  <c:v>44832</c:v>
                </c:pt>
                <c:pt idx="271">
                  <c:v>44833</c:v>
                </c:pt>
                <c:pt idx="272">
                  <c:v>44834</c:v>
                </c:pt>
                <c:pt idx="273">
                  <c:v>44835</c:v>
                </c:pt>
                <c:pt idx="274">
                  <c:v>44836</c:v>
                </c:pt>
                <c:pt idx="275">
                  <c:v>44837</c:v>
                </c:pt>
                <c:pt idx="276">
                  <c:v>44838</c:v>
                </c:pt>
                <c:pt idx="277">
                  <c:v>44839</c:v>
                </c:pt>
                <c:pt idx="278">
                  <c:v>44840</c:v>
                </c:pt>
                <c:pt idx="279">
                  <c:v>44841</c:v>
                </c:pt>
                <c:pt idx="280">
                  <c:v>44842</c:v>
                </c:pt>
                <c:pt idx="281">
                  <c:v>44843</c:v>
                </c:pt>
                <c:pt idx="282">
                  <c:v>44844</c:v>
                </c:pt>
                <c:pt idx="283">
                  <c:v>44845</c:v>
                </c:pt>
                <c:pt idx="284">
                  <c:v>44846</c:v>
                </c:pt>
                <c:pt idx="285">
                  <c:v>44847</c:v>
                </c:pt>
                <c:pt idx="286">
                  <c:v>44848</c:v>
                </c:pt>
                <c:pt idx="287">
                  <c:v>44849</c:v>
                </c:pt>
                <c:pt idx="288">
                  <c:v>44850</c:v>
                </c:pt>
                <c:pt idx="289">
                  <c:v>44851</c:v>
                </c:pt>
                <c:pt idx="290">
                  <c:v>44852</c:v>
                </c:pt>
                <c:pt idx="291">
                  <c:v>44853</c:v>
                </c:pt>
                <c:pt idx="292">
                  <c:v>44854</c:v>
                </c:pt>
                <c:pt idx="293">
                  <c:v>44855</c:v>
                </c:pt>
                <c:pt idx="294">
                  <c:v>44856</c:v>
                </c:pt>
                <c:pt idx="295">
                  <c:v>44857</c:v>
                </c:pt>
                <c:pt idx="296">
                  <c:v>44858</c:v>
                </c:pt>
                <c:pt idx="297">
                  <c:v>44859</c:v>
                </c:pt>
                <c:pt idx="298">
                  <c:v>44860</c:v>
                </c:pt>
                <c:pt idx="299">
                  <c:v>44861</c:v>
                </c:pt>
                <c:pt idx="300">
                  <c:v>44862</c:v>
                </c:pt>
                <c:pt idx="301">
                  <c:v>44863</c:v>
                </c:pt>
                <c:pt idx="302">
                  <c:v>44864</c:v>
                </c:pt>
                <c:pt idx="303">
                  <c:v>44865</c:v>
                </c:pt>
                <c:pt idx="304">
                  <c:v>44866</c:v>
                </c:pt>
                <c:pt idx="305">
                  <c:v>44867</c:v>
                </c:pt>
                <c:pt idx="306">
                  <c:v>44868</c:v>
                </c:pt>
                <c:pt idx="307">
                  <c:v>44869</c:v>
                </c:pt>
                <c:pt idx="308">
                  <c:v>44870</c:v>
                </c:pt>
                <c:pt idx="309">
                  <c:v>44871</c:v>
                </c:pt>
                <c:pt idx="310">
                  <c:v>44872</c:v>
                </c:pt>
                <c:pt idx="311">
                  <c:v>44873</c:v>
                </c:pt>
                <c:pt idx="312">
                  <c:v>44874</c:v>
                </c:pt>
                <c:pt idx="313">
                  <c:v>44875</c:v>
                </c:pt>
                <c:pt idx="314">
                  <c:v>44876</c:v>
                </c:pt>
                <c:pt idx="315">
                  <c:v>44877</c:v>
                </c:pt>
                <c:pt idx="316">
                  <c:v>44878</c:v>
                </c:pt>
                <c:pt idx="317">
                  <c:v>44879</c:v>
                </c:pt>
                <c:pt idx="318">
                  <c:v>44880</c:v>
                </c:pt>
                <c:pt idx="319">
                  <c:v>44881</c:v>
                </c:pt>
                <c:pt idx="320">
                  <c:v>44882</c:v>
                </c:pt>
                <c:pt idx="321">
                  <c:v>44883</c:v>
                </c:pt>
                <c:pt idx="322">
                  <c:v>44884</c:v>
                </c:pt>
                <c:pt idx="323">
                  <c:v>44885</c:v>
                </c:pt>
                <c:pt idx="324">
                  <c:v>44886</c:v>
                </c:pt>
                <c:pt idx="325">
                  <c:v>44887</c:v>
                </c:pt>
                <c:pt idx="326">
                  <c:v>44888</c:v>
                </c:pt>
                <c:pt idx="327">
                  <c:v>44889</c:v>
                </c:pt>
                <c:pt idx="328">
                  <c:v>44890</c:v>
                </c:pt>
                <c:pt idx="329">
                  <c:v>44891</c:v>
                </c:pt>
                <c:pt idx="330">
                  <c:v>44892</c:v>
                </c:pt>
                <c:pt idx="331">
                  <c:v>44893</c:v>
                </c:pt>
                <c:pt idx="332">
                  <c:v>44894</c:v>
                </c:pt>
                <c:pt idx="333">
                  <c:v>44895</c:v>
                </c:pt>
                <c:pt idx="334">
                  <c:v>44896</c:v>
                </c:pt>
                <c:pt idx="335">
                  <c:v>44897</c:v>
                </c:pt>
                <c:pt idx="336">
                  <c:v>44898</c:v>
                </c:pt>
                <c:pt idx="337">
                  <c:v>44899</c:v>
                </c:pt>
                <c:pt idx="338">
                  <c:v>44900</c:v>
                </c:pt>
                <c:pt idx="339">
                  <c:v>44901</c:v>
                </c:pt>
                <c:pt idx="340">
                  <c:v>44902</c:v>
                </c:pt>
                <c:pt idx="341">
                  <c:v>44903</c:v>
                </c:pt>
                <c:pt idx="342">
                  <c:v>44904</c:v>
                </c:pt>
                <c:pt idx="343">
                  <c:v>44905</c:v>
                </c:pt>
                <c:pt idx="344">
                  <c:v>44906</c:v>
                </c:pt>
                <c:pt idx="345">
                  <c:v>44907</c:v>
                </c:pt>
                <c:pt idx="346">
                  <c:v>44908</c:v>
                </c:pt>
                <c:pt idx="347">
                  <c:v>44909</c:v>
                </c:pt>
                <c:pt idx="348">
                  <c:v>44910</c:v>
                </c:pt>
                <c:pt idx="349">
                  <c:v>44911</c:v>
                </c:pt>
                <c:pt idx="350">
                  <c:v>44912</c:v>
                </c:pt>
                <c:pt idx="351">
                  <c:v>44913</c:v>
                </c:pt>
                <c:pt idx="352">
                  <c:v>44914</c:v>
                </c:pt>
                <c:pt idx="353">
                  <c:v>44915</c:v>
                </c:pt>
                <c:pt idx="354">
                  <c:v>44916</c:v>
                </c:pt>
                <c:pt idx="355">
                  <c:v>44917</c:v>
                </c:pt>
                <c:pt idx="356">
                  <c:v>44918</c:v>
                </c:pt>
                <c:pt idx="357">
                  <c:v>44919</c:v>
                </c:pt>
                <c:pt idx="358">
                  <c:v>44920</c:v>
                </c:pt>
                <c:pt idx="359">
                  <c:v>44921</c:v>
                </c:pt>
                <c:pt idx="360">
                  <c:v>44922</c:v>
                </c:pt>
                <c:pt idx="361">
                  <c:v>44923</c:v>
                </c:pt>
                <c:pt idx="362">
                  <c:v>44924</c:v>
                </c:pt>
                <c:pt idx="363">
                  <c:v>44925</c:v>
                </c:pt>
                <c:pt idx="364">
                  <c:v>44926</c:v>
                </c:pt>
              </c:numCache>
            </c:numRef>
          </c:cat>
          <c:val>
            <c:numRef>
              <c:f>TcChart!$B$3:$B$367</c:f>
              <c:numCache>
                <c:formatCode>_(* #,##0.00_);_(* \(#,##0.00\);_(* "-"??_);_(@_)</c:formatCode>
                <c:ptCount val="365"/>
                <c:pt idx="0">
                  <c:v>7.7191200000000002</c:v>
                </c:pt>
                <c:pt idx="1">
                  <c:v>7.7191200000000002</c:v>
                </c:pt>
                <c:pt idx="2">
                  <c:v>7.7191200000000002</c:v>
                </c:pt>
                <c:pt idx="3">
                  <c:v>7.7174500000000004</c:v>
                </c:pt>
                <c:pt idx="4">
                  <c:v>7.7155800000000001</c:v>
                </c:pt>
                <c:pt idx="5">
                  <c:v>7.7182300000000001</c:v>
                </c:pt>
                <c:pt idx="6">
                  <c:v>7.7134299999999998</c:v>
                </c:pt>
                <c:pt idx="7">
                  <c:v>7.7134299999999998</c:v>
                </c:pt>
                <c:pt idx="8">
                  <c:v>7.7134299999999998</c:v>
                </c:pt>
                <c:pt idx="9">
                  <c:v>7.7110099999999999</c:v>
                </c:pt>
                <c:pt idx="10">
                  <c:v>7.7083199999999996</c:v>
                </c:pt>
                <c:pt idx="11">
                  <c:v>7.7089800000000004</c:v>
                </c:pt>
                <c:pt idx="12">
                  <c:v>7.7061999999999999</c:v>
                </c:pt>
                <c:pt idx="13">
                  <c:v>7.70777</c:v>
                </c:pt>
                <c:pt idx="14">
                  <c:v>7.70777</c:v>
                </c:pt>
                <c:pt idx="15">
                  <c:v>7.70777</c:v>
                </c:pt>
                <c:pt idx="16">
                  <c:v>7.7004599999999996</c:v>
                </c:pt>
                <c:pt idx="17">
                  <c:v>7.7045300000000001</c:v>
                </c:pt>
                <c:pt idx="18">
                  <c:v>7.6995800000000001</c:v>
                </c:pt>
                <c:pt idx="19">
                  <c:v>7.6953699999999996</c:v>
                </c:pt>
                <c:pt idx="20">
                  <c:v>7.6919500000000003</c:v>
                </c:pt>
                <c:pt idx="21">
                  <c:v>7.6919500000000003</c:v>
                </c:pt>
                <c:pt idx="22">
                  <c:v>7.6919500000000003</c:v>
                </c:pt>
                <c:pt idx="23">
                  <c:v>7.6885500000000002</c:v>
                </c:pt>
                <c:pt idx="24">
                  <c:v>7.68581</c:v>
                </c:pt>
                <c:pt idx="25">
                  <c:v>7.6854100000000001</c:v>
                </c:pt>
                <c:pt idx="26">
                  <c:v>7.68649</c:v>
                </c:pt>
                <c:pt idx="27">
                  <c:v>7.6899499999999996</c:v>
                </c:pt>
                <c:pt idx="28">
                  <c:v>7.6899499999999996</c:v>
                </c:pt>
                <c:pt idx="29">
                  <c:v>7.6899499999999996</c:v>
                </c:pt>
                <c:pt idx="30">
                  <c:v>7.6898099999999996</c:v>
                </c:pt>
                <c:pt idx="31">
                  <c:v>7.6855500000000001</c:v>
                </c:pt>
                <c:pt idx="32">
                  <c:v>7.6922100000000002</c:v>
                </c:pt>
                <c:pt idx="33">
                  <c:v>7.6918899999999999</c:v>
                </c:pt>
                <c:pt idx="34">
                  <c:v>7.6949500000000004</c:v>
                </c:pt>
                <c:pt idx="35">
                  <c:v>7.6949500000000004</c:v>
                </c:pt>
                <c:pt idx="36">
                  <c:v>7.6949500000000004</c:v>
                </c:pt>
                <c:pt idx="37">
                  <c:v>7.6912200000000004</c:v>
                </c:pt>
                <c:pt idx="38">
                  <c:v>7.6886000000000001</c:v>
                </c:pt>
                <c:pt idx="39">
                  <c:v>7.6922899999999998</c:v>
                </c:pt>
                <c:pt idx="40">
                  <c:v>7.6953100000000001</c:v>
                </c:pt>
                <c:pt idx="41">
                  <c:v>7.6922600000000001</c:v>
                </c:pt>
                <c:pt idx="42">
                  <c:v>7.6922600000000001</c:v>
                </c:pt>
                <c:pt idx="43">
                  <c:v>7.6922600000000001</c:v>
                </c:pt>
                <c:pt idx="44">
                  <c:v>7.6925499999999998</c:v>
                </c:pt>
                <c:pt idx="45">
                  <c:v>7.6884100000000002</c:v>
                </c:pt>
                <c:pt idx="46">
                  <c:v>7.6956199999999999</c:v>
                </c:pt>
                <c:pt idx="47">
                  <c:v>7.6934899999999997</c:v>
                </c:pt>
                <c:pt idx="48">
                  <c:v>7.7003899999999996</c:v>
                </c:pt>
                <c:pt idx="49">
                  <c:v>7.7003899999999996</c:v>
                </c:pt>
                <c:pt idx="50">
                  <c:v>7.7003899999999996</c:v>
                </c:pt>
                <c:pt idx="51">
                  <c:v>7.6984899999999996</c:v>
                </c:pt>
                <c:pt idx="52">
                  <c:v>7.7078800000000003</c:v>
                </c:pt>
                <c:pt idx="53">
                  <c:v>7.7046799999999998</c:v>
                </c:pt>
                <c:pt idx="54">
                  <c:v>7.7128500000000004</c:v>
                </c:pt>
                <c:pt idx="55">
                  <c:v>7.7168999999999999</c:v>
                </c:pt>
                <c:pt idx="56">
                  <c:v>7.7168999999999999</c:v>
                </c:pt>
                <c:pt idx="57">
                  <c:v>7.7168999999999999</c:v>
                </c:pt>
                <c:pt idx="58">
                  <c:v>7.7132199999999997</c:v>
                </c:pt>
                <c:pt idx="59">
                  <c:v>7.7043999999999997</c:v>
                </c:pt>
                <c:pt idx="60">
                  <c:v>7.7054299999999998</c:v>
                </c:pt>
                <c:pt idx="61">
                  <c:v>7.7119900000000001</c:v>
                </c:pt>
                <c:pt idx="62">
                  <c:v>7.7100200000000001</c:v>
                </c:pt>
                <c:pt idx="63">
                  <c:v>7.7100200000000001</c:v>
                </c:pt>
                <c:pt idx="64">
                  <c:v>7.7100200000000001</c:v>
                </c:pt>
                <c:pt idx="65">
                  <c:v>7.7043100000000004</c:v>
                </c:pt>
                <c:pt idx="66">
                  <c:v>7.6993200000000002</c:v>
                </c:pt>
                <c:pt idx="67">
                  <c:v>7.7011000000000003</c:v>
                </c:pt>
                <c:pt idx="68">
                  <c:v>7.7016400000000003</c:v>
                </c:pt>
                <c:pt idx="69">
                  <c:v>7.7010500000000004</c:v>
                </c:pt>
                <c:pt idx="70">
                  <c:v>7.7010500000000004</c:v>
                </c:pt>
                <c:pt idx="71">
                  <c:v>7.7010500000000004</c:v>
                </c:pt>
                <c:pt idx="72">
                  <c:v>7.6979300000000004</c:v>
                </c:pt>
                <c:pt idx="73">
                  <c:v>7.6914600000000002</c:v>
                </c:pt>
                <c:pt idx="74">
                  <c:v>7.6951000000000001</c:v>
                </c:pt>
                <c:pt idx="75">
                  <c:v>7.6938000000000004</c:v>
                </c:pt>
                <c:pt idx="76">
                  <c:v>7.6915899999999997</c:v>
                </c:pt>
                <c:pt idx="77">
                  <c:v>7.6915899999999997</c:v>
                </c:pt>
                <c:pt idx="78">
                  <c:v>7.6915899999999997</c:v>
                </c:pt>
                <c:pt idx="79">
                  <c:v>7.6883699999999999</c:v>
                </c:pt>
                <c:pt idx="80">
                  <c:v>7.6846399999999999</c:v>
                </c:pt>
                <c:pt idx="81">
                  <c:v>7.68438</c:v>
                </c:pt>
                <c:pt idx="82">
                  <c:v>7.6826999999999996</c:v>
                </c:pt>
                <c:pt idx="83">
                  <c:v>7.6816899999999997</c:v>
                </c:pt>
                <c:pt idx="84">
                  <c:v>7.6816899999999997</c:v>
                </c:pt>
                <c:pt idx="85">
                  <c:v>7.6816899999999997</c:v>
                </c:pt>
                <c:pt idx="86">
                  <c:v>7.67889</c:v>
                </c:pt>
                <c:pt idx="87">
                  <c:v>7.6783000000000001</c:v>
                </c:pt>
                <c:pt idx="88">
                  <c:v>7.6805199999999996</c:v>
                </c:pt>
                <c:pt idx="89">
                  <c:v>7.68025</c:v>
                </c:pt>
                <c:pt idx="90">
                  <c:v>7.6794700000000002</c:v>
                </c:pt>
                <c:pt idx="91">
                  <c:v>7.6794700000000002</c:v>
                </c:pt>
                <c:pt idx="92">
                  <c:v>7.6794700000000002</c:v>
                </c:pt>
                <c:pt idx="93">
                  <c:v>7.6749900000000002</c:v>
                </c:pt>
                <c:pt idx="94">
                  <c:v>7.6729799999999999</c:v>
                </c:pt>
                <c:pt idx="95">
                  <c:v>7.6749999999999998</c:v>
                </c:pt>
                <c:pt idx="96">
                  <c:v>7.6699299999999999</c:v>
                </c:pt>
                <c:pt idx="97">
                  <c:v>7.6687399999999997</c:v>
                </c:pt>
                <c:pt idx="98">
                  <c:v>7.6687399999999997</c:v>
                </c:pt>
                <c:pt idx="99">
                  <c:v>7.6687399999999997</c:v>
                </c:pt>
                <c:pt idx="100">
                  <c:v>7.6651199999999999</c:v>
                </c:pt>
                <c:pt idx="101">
                  <c:v>7.6635600000000004</c:v>
                </c:pt>
                <c:pt idx="102">
                  <c:v>7.6590100000000003</c:v>
                </c:pt>
                <c:pt idx="103">
                  <c:v>7.6590100000000003</c:v>
                </c:pt>
                <c:pt idx="104">
                  <c:v>7.6590100000000003</c:v>
                </c:pt>
                <c:pt idx="105">
                  <c:v>7.6590100000000003</c:v>
                </c:pt>
                <c:pt idx="106">
                  <c:v>7.6590100000000003</c:v>
                </c:pt>
                <c:pt idx="107">
                  <c:v>7.6584899999999996</c:v>
                </c:pt>
                <c:pt idx="108">
                  <c:v>7.6559900000000001</c:v>
                </c:pt>
                <c:pt idx="109">
                  <c:v>7.6557599999999999</c:v>
                </c:pt>
                <c:pt idx="110">
                  <c:v>7.6544600000000003</c:v>
                </c:pt>
                <c:pt idx="111">
                  <c:v>7.6530899999999997</c:v>
                </c:pt>
                <c:pt idx="112">
                  <c:v>7.6530899999999997</c:v>
                </c:pt>
                <c:pt idx="113">
                  <c:v>7.6530899999999997</c:v>
                </c:pt>
                <c:pt idx="114">
                  <c:v>7.6509</c:v>
                </c:pt>
                <c:pt idx="115">
                  <c:v>7.65144</c:v>
                </c:pt>
                <c:pt idx="116">
                  <c:v>7.6535299999999999</c:v>
                </c:pt>
                <c:pt idx="117">
                  <c:v>7.6577500000000001</c:v>
                </c:pt>
                <c:pt idx="118">
                  <c:v>7.6651699999999998</c:v>
                </c:pt>
                <c:pt idx="119">
                  <c:v>7.6651699999999998</c:v>
                </c:pt>
                <c:pt idx="120">
                  <c:v>7.6651699999999998</c:v>
                </c:pt>
                <c:pt idx="121">
                  <c:v>7.6651699999999998</c:v>
                </c:pt>
                <c:pt idx="122">
                  <c:v>7.6614000000000004</c:v>
                </c:pt>
                <c:pt idx="123">
                  <c:v>7.6658200000000001</c:v>
                </c:pt>
                <c:pt idx="124">
                  <c:v>7.67075</c:v>
                </c:pt>
                <c:pt idx="125">
                  <c:v>7.6679500000000003</c:v>
                </c:pt>
                <c:pt idx="126">
                  <c:v>7.6679500000000003</c:v>
                </c:pt>
                <c:pt idx="127">
                  <c:v>7.6679500000000003</c:v>
                </c:pt>
                <c:pt idx="128">
                  <c:v>7.6670600000000002</c:v>
                </c:pt>
                <c:pt idx="129">
                  <c:v>7.6632600000000002</c:v>
                </c:pt>
                <c:pt idx="130">
                  <c:v>7.6676399999999996</c:v>
                </c:pt>
                <c:pt idx="131">
                  <c:v>7.6694500000000003</c:v>
                </c:pt>
                <c:pt idx="132">
                  <c:v>7.6691500000000001</c:v>
                </c:pt>
                <c:pt idx="133">
                  <c:v>7.6691500000000001</c:v>
                </c:pt>
                <c:pt idx="134">
                  <c:v>7.6691500000000001</c:v>
                </c:pt>
                <c:pt idx="135">
                  <c:v>7.6647499999999997</c:v>
                </c:pt>
                <c:pt idx="136">
                  <c:v>7.6661200000000003</c:v>
                </c:pt>
                <c:pt idx="137">
                  <c:v>7.6664199999999996</c:v>
                </c:pt>
                <c:pt idx="138">
                  <c:v>7.6670299999999996</c:v>
                </c:pt>
                <c:pt idx="139">
                  <c:v>7.6669200000000002</c:v>
                </c:pt>
                <c:pt idx="140">
                  <c:v>7.6669200000000002</c:v>
                </c:pt>
                <c:pt idx="141">
                  <c:v>7.6669200000000002</c:v>
                </c:pt>
                <c:pt idx="142">
                  <c:v>7.6690300000000002</c:v>
                </c:pt>
                <c:pt idx="143">
                  <c:v>7.6677400000000002</c:v>
                </c:pt>
                <c:pt idx="144">
                  <c:v>7.67577</c:v>
                </c:pt>
                <c:pt idx="145">
                  <c:v>7.6731800000000003</c:v>
                </c:pt>
                <c:pt idx="146">
                  <c:v>7.6818999999999997</c:v>
                </c:pt>
                <c:pt idx="147">
                  <c:v>7.6818999999999997</c:v>
                </c:pt>
                <c:pt idx="148">
                  <c:v>7.6818999999999997</c:v>
                </c:pt>
                <c:pt idx="149">
                  <c:v>7.6776499999999999</c:v>
                </c:pt>
                <c:pt idx="150">
                  <c:v>7.6843399999999997</c:v>
                </c:pt>
                <c:pt idx="151">
                  <c:v>7.6955200000000001</c:v>
                </c:pt>
                <c:pt idx="152">
                  <c:v>7.7075800000000001</c:v>
                </c:pt>
                <c:pt idx="153">
                  <c:v>7.7124199999999998</c:v>
                </c:pt>
                <c:pt idx="154">
                  <c:v>7.7124199999999998</c:v>
                </c:pt>
                <c:pt idx="155">
                  <c:v>7.7124199999999998</c:v>
                </c:pt>
                <c:pt idx="156">
                  <c:v>7.7046599999999996</c:v>
                </c:pt>
                <c:pt idx="157">
                  <c:v>7.7070299999999996</c:v>
                </c:pt>
                <c:pt idx="158">
                  <c:v>7.7207400000000002</c:v>
                </c:pt>
                <c:pt idx="159">
                  <c:v>7.7260900000000001</c:v>
                </c:pt>
                <c:pt idx="160">
                  <c:v>7.7320599999999997</c:v>
                </c:pt>
                <c:pt idx="161">
                  <c:v>7.7320599999999997</c:v>
                </c:pt>
                <c:pt idx="162">
                  <c:v>7.7320599999999997</c:v>
                </c:pt>
                <c:pt idx="163">
                  <c:v>7.7310400000000001</c:v>
                </c:pt>
                <c:pt idx="164">
                  <c:v>7.7328099999999997</c:v>
                </c:pt>
                <c:pt idx="165">
                  <c:v>7.7388599999999999</c:v>
                </c:pt>
                <c:pt idx="166">
                  <c:v>7.7388899999999996</c:v>
                </c:pt>
                <c:pt idx="167">
                  <c:v>7.7404599999999997</c:v>
                </c:pt>
                <c:pt idx="168">
                  <c:v>7.7404599999999997</c:v>
                </c:pt>
                <c:pt idx="169">
                  <c:v>7.7404599999999997</c:v>
                </c:pt>
                <c:pt idx="170">
                  <c:v>7.7410199999999998</c:v>
                </c:pt>
                <c:pt idx="171">
                  <c:v>7.7496900000000002</c:v>
                </c:pt>
                <c:pt idx="172">
                  <c:v>7.7474499999999997</c:v>
                </c:pt>
                <c:pt idx="173">
                  <c:v>7.7510399999999997</c:v>
                </c:pt>
                <c:pt idx="174">
                  <c:v>7.7588999999999997</c:v>
                </c:pt>
                <c:pt idx="175">
                  <c:v>7.7588999999999997</c:v>
                </c:pt>
                <c:pt idx="176">
                  <c:v>7.7588999999999997</c:v>
                </c:pt>
                <c:pt idx="177">
                  <c:v>7.7540399999999998</c:v>
                </c:pt>
                <c:pt idx="178">
                  <c:v>7.7598000000000003</c:v>
                </c:pt>
                <c:pt idx="179">
                  <c:v>7.7581899999999999</c:v>
                </c:pt>
                <c:pt idx="180">
                  <c:v>7.7560799999999999</c:v>
                </c:pt>
                <c:pt idx="181">
                  <c:v>7.7560799999999999</c:v>
                </c:pt>
                <c:pt idx="182">
                  <c:v>7.7560799999999999</c:v>
                </c:pt>
                <c:pt idx="183">
                  <c:v>7.7560799999999999</c:v>
                </c:pt>
                <c:pt idx="184">
                  <c:v>7.7560799999999999</c:v>
                </c:pt>
                <c:pt idx="185">
                  <c:v>7.7528100000000002</c:v>
                </c:pt>
                <c:pt idx="186">
                  <c:v>7.74979</c:v>
                </c:pt>
                <c:pt idx="187">
                  <c:v>7.7465900000000003</c:v>
                </c:pt>
                <c:pt idx="188">
                  <c:v>7.7471199999999998</c:v>
                </c:pt>
                <c:pt idx="189">
                  <c:v>7.7471199999999998</c:v>
                </c:pt>
                <c:pt idx="190">
                  <c:v>7.7471199999999998</c:v>
                </c:pt>
                <c:pt idx="191">
                  <c:v>7.7436999999999996</c:v>
                </c:pt>
                <c:pt idx="192">
                  <c:v>7.7402800000000003</c:v>
                </c:pt>
                <c:pt idx="193">
                  <c:v>7.7385900000000003</c:v>
                </c:pt>
                <c:pt idx="194">
                  <c:v>7.7352600000000002</c:v>
                </c:pt>
                <c:pt idx="195">
                  <c:v>7.7355600000000004</c:v>
                </c:pt>
                <c:pt idx="196">
                  <c:v>7.7355600000000004</c:v>
                </c:pt>
                <c:pt idx="197">
                  <c:v>7.7355600000000004</c:v>
                </c:pt>
                <c:pt idx="198">
                  <c:v>7.7315899999999997</c:v>
                </c:pt>
                <c:pt idx="199">
                  <c:v>7.7279299999999997</c:v>
                </c:pt>
                <c:pt idx="200">
                  <c:v>7.7317400000000003</c:v>
                </c:pt>
                <c:pt idx="201">
                  <c:v>7.7292399999999999</c:v>
                </c:pt>
                <c:pt idx="202">
                  <c:v>7.7305200000000003</c:v>
                </c:pt>
                <c:pt idx="203">
                  <c:v>7.7305200000000003</c:v>
                </c:pt>
                <c:pt idx="204">
                  <c:v>7.7305200000000003</c:v>
                </c:pt>
                <c:pt idx="205">
                  <c:v>7.7278000000000002</c:v>
                </c:pt>
                <c:pt idx="206">
                  <c:v>7.7283299999999997</c:v>
                </c:pt>
                <c:pt idx="207">
                  <c:v>7.7317099999999996</c:v>
                </c:pt>
                <c:pt idx="208">
                  <c:v>7.7348499999999998</c:v>
                </c:pt>
                <c:pt idx="209">
                  <c:v>7.7365399999999998</c:v>
                </c:pt>
                <c:pt idx="210">
                  <c:v>7.7365399999999998</c:v>
                </c:pt>
                <c:pt idx="211">
                  <c:v>7.7365399999999998</c:v>
                </c:pt>
                <c:pt idx="212">
                  <c:v>7.7294600000000004</c:v>
                </c:pt>
                <c:pt idx="213">
                  <c:v>7.7284800000000002</c:v>
                </c:pt>
                <c:pt idx="214">
                  <c:v>7.73292</c:v>
                </c:pt>
                <c:pt idx="215">
                  <c:v>7.7332999999999998</c:v>
                </c:pt>
                <c:pt idx="216">
                  <c:v>7.7333699999999999</c:v>
                </c:pt>
                <c:pt idx="217">
                  <c:v>7.7333699999999999</c:v>
                </c:pt>
                <c:pt idx="218">
                  <c:v>7.7333699999999999</c:v>
                </c:pt>
                <c:pt idx="219">
                  <c:v>7.7298900000000001</c:v>
                </c:pt>
                <c:pt idx="220">
                  <c:v>7.7257999999999996</c:v>
                </c:pt>
                <c:pt idx="221">
                  <c:v>7.7324799999999998</c:v>
                </c:pt>
                <c:pt idx="222">
                  <c:v>7.7313200000000002</c:v>
                </c:pt>
                <c:pt idx="223">
                  <c:v>7.734</c:v>
                </c:pt>
                <c:pt idx="224">
                  <c:v>7.734</c:v>
                </c:pt>
                <c:pt idx="225">
                  <c:v>7.734</c:v>
                </c:pt>
                <c:pt idx="226">
                  <c:v>7.734</c:v>
                </c:pt>
                <c:pt idx="227">
                  <c:v>7.7264900000000001</c:v>
                </c:pt>
                <c:pt idx="228">
                  <c:v>7.72851</c:v>
                </c:pt>
                <c:pt idx="229">
                  <c:v>7.73095</c:v>
                </c:pt>
                <c:pt idx="230">
                  <c:v>7.7278000000000002</c:v>
                </c:pt>
                <c:pt idx="231">
                  <c:v>7.7278000000000002</c:v>
                </c:pt>
                <c:pt idx="232">
                  <c:v>7.7278000000000002</c:v>
                </c:pt>
                <c:pt idx="233">
                  <c:v>7.7271599999999996</c:v>
                </c:pt>
                <c:pt idx="234">
                  <c:v>7.7281500000000003</c:v>
                </c:pt>
                <c:pt idx="235">
                  <c:v>7.7305299999999999</c:v>
                </c:pt>
                <c:pt idx="236">
                  <c:v>7.7337999999999996</c:v>
                </c:pt>
                <c:pt idx="237">
                  <c:v>7.7336799999999997</c:v>
                </c:pt>
                <c:pt idx="238">
                  <c:v>7.7336799999999997</c:v>
                </c:pt>
                <c:pt idx="239">
                  <c:v>7.7336799999999997</c:v>
                </c:pt>
                <c:pt idx="240">
                  <c:v>7.7314699999999998</c:v>
                </c:pt>
                <c:pt idx="241">
                  <c:v>7.7309900000000003</c:v>
                </c:pt>
                <c:pt idx="242">
                  <c:v>7.7381900000000003</c:v>
                </c:pt>
                <c:pt idx="243">
                  <c:v>7.7408000000000001</c:v>
                </c:pt>
                <c:pt idx="244">
                  <c:v>7.74268</c:v>
                </c:pt>
                <c:pt idx="245">
                  <c:v>7.74268</c:v>
                </c:pt>
                <c:pt idx="246">
                  <c:v>7.74268</c:v>
                </c:pt>
                <c:pt idx="247">
                  <c:v>7.7410800000000002</c:v>
                </c:pt>
                <c:pt idx="248">
                  <c:v>7.7575500000000002</c:v>
                </c:pt>
                <c:pt idx="249">
                  <c:v>7.7584200000000001</c:v>
                </c:pt>
                <c:pt idx="250">
                  <c:v>7.7789299999999999</c:v>
                </c:pt>
                <c:pt idx="251">
                  <c:v>7.7968799999999998</c:v>
                </c:pt>
                <c:pt idx="252">
                  <c:v>7.7968799999999998</c:v>
                </c:pt>
                <c:pt idx="253">
                  <c:v>7.7968799999999998</c:v>
                </c:pt>
                <c:pt idx="254">
                  <c:v>7.7877400000000003</c:v>
                </c:pt>
                <c:pt idx="255">
                  <c:v>7.7889799999999996</c:v>
                </c:pt>
                <c:pt idx="256">
                  <c:v>7.7958499999999997</c:v>
                </c:pt>
                <c:pt idx="257">
                  <c:v>7.7958499999999997</c:v>
                </c:pt>
                <c:pt idx="258">
                  <c:v>7.7962600000000002</c:v>
                </c:pt>
                <c:pt idx="259">
                  <c:v>7.7962600000000002</c:v>
                </c:pt>
                <c:pt idx="260">
                  <c:v>7.7962600000000002</c:v>
                </c:pt>
                <c:pt idx="261">
                  <c:v>7.7998599999999998</c:v>
                </c:pt>
                <c:pt idx="262">
                  <c:v>7.80091</c:v>
                </c:pt>
                <c:pt idx="263">
                  <c:v>7.8138399999999999</c:v>
                </c:pt>
                <c:pt idx="264">
                  <c:v>7.8297499999999998</c:v>
                </c:pt>
                <c:pt idx="265">
                  <c:v>7.8419999999999996</c:v>
                </c:pt>
                <c:pt idx="266">
                  <c:v>7.8419999999999996</c:v>
                </c:pt>
                <c:pt idx="267">
                  <c:v>7.8419999999999996</c:v>
                </c:pt>
                <c:pt idx="268">
                  <c:v>7.8421799999999999</c:v>
                </c:pt>
                <c:pt idx="269">
                  <c:v>7.8457800000000004</c:v>
                </c:pt>
                <c:pt idx="270">
                  <c:v>7.85501</c:v>
                </c:pt>
                <c:pt idx="271">
                  <c:v>7.8628400000000003</c:v>
                </c:pt>
                <c:pt idx="272">
                  <c:v>7.88368</c:v>
                </c:pt>
                <c:pt idx="273">
                  <c:v>7.88368</c:v>
                </c:pt>
                <c:pt idx="274">
                  <c:v>7.88368</c:v>
                </c:pt>
                <c:pt idx="275">
                  <c:v>7.8985599999999998</c:v>
                </c:pt>
                <c:pt idx="276">
                  <c:v>7.9096299999999999</c:v>
                </c:pt>
                <c:pt idx="277">
                  <c:v>7.9123299999999999</c:v>
                </c:pt>
                <c:pt idx="278">
                  <c:v>7.9025999999999996</c:v>
                </c:pt>
                <c:pt idx="279">
                  <c:v>7.8933400000000002</c:v>
                </c:pt>
                <c:pt idx="280">
                  <c:v>7.8933400000000002</c:v>
                </c:pt>
                <c:pt idx="281">
                  <c:v>7.8933400000000002</c:v>
                </c:pt>
                <c:pt idx="282">
                  <c:v>7.87662</c:v>
                </c:pt>
                <c:pt idx="283">
                  <c:v>7.8757000000000001</c:v>
                </c:pt>
                <c:pt idx="284">
                  <c:v>7.8757000000000001</c:v>
                </c:pt>
                <c:pt idx="285">
                  <c:v>7.86625</c:v>
                </c:pt>
                <c:pt idx="286">
                  <c:v>7.86252</c:v>
                </c:pt>
                <c:pt idx="287">
                  <c:v>7.86252</c:v>
                </c:pt>
                <c:pt idx="288">
                  <c:v>7.86252</c:v>
                </c:pt>
                <c:pt idx="289">
                  <c:v>7.8576800000000002</c:v>
                </c:pt>
                <c:pt idx="290">
                  <c:v>7.8527500000000003</c:v>
                </c:pt>
                <c:pt idx="291">
                  <c:v>7.8515699999999997</c:v>
                </c:pt>
                <c:pt idx="292">
                  <c:v>7.8515699999999997</c:v>
                </c:pt>
                <c:pt idx="293">
                  <c:v>7.8483099999999997</c:v>
                </c:pt>
                <c:pt idx="294">
                  <c:v>7.8483099999999997</c:v>
                </c:pt>
                <c:pt idx="295">
                  <c:v>7.8483099999999997</c:v>
                </c:pt>
                <c:pt idx="296">
                  <c:v>7.8424800000000001</c:v>
                </c:pt>
                <c:pt idx="297">
                  <c:v>7.84511</c:v>
                </c:pt>
                <c:pt idx="298">
                  <c:v>7.8439899999999998</c:v>
                </c:pt>
                <c:pt idx="299">
                  <c:v>7.8365499999999999</c:v>
                </c:pt>
                <c:pt idx="300">
                  <c:v>7.83772</c:v>
                </c:pt>
                <c:pt idx="301">
                  <c:v>7.83772</c:v>
                </c:pt>
                <c:pt idx="302">
                  <c:v>7.83772</c:v>
                </c:pt>
                <c:pt idx="303">
                  <c:v>7.82857</c:v>
                </c:pt>
                <c:pt idx="304">
                  <c:v>7.82857</c:v>
                </c:pt>
                <c:pt idx="305">
                  <c:v>7.8249700000000004</c:v>
                </c:pt>
                <c:pt idx="306">
                  <c:v>7.8278400000000001</c:v>
                </c:pt>
                <c:pt idx="307">
                  <c:v>7.8219599999999998</c:v>
                </c:pt>
                <c:pt idx="308">
                  <c:v>7.8219599999999998</c:v>
                </c:pt>
                <c:pt idx="309">
                  <c:v>7.8219599999999998</c:v>
                </c:pt>
                <c:pt idx="310">
                  <c:v>7.8189799999999998</c:v>
                </c:pt>
                <c:pt idx="311">
                  <c:v>7.8131399999999998</c:v>
                </c:pt>
                <c:pt idx="312">
                  <c:v>7.8125900000000001</c:v>
                </c:pt>
                <c:pt idx="313">
                  <c:v>7.8116000000000003</c:v>
                </c:pt>
                <c:pt idx="314">
                  <c:v>7.8069199999999999</c:v>
                </c:pt>
                <c:pt idx="315">
                  <c:v>7.8069199999999999</c:v>
                </c:pt>
                <c:pt idx="316">
                  <c:v>7.8069199999999999</c:v>
                </c:pt>
                <c:pt idx="317">
                  <c:v>7.8053600000000003</c:v>
                </c:pt>
                <c:pt idx="318">
                  <c:v>7.7982300000000002</c:v>
                </c:pt>
                <c:pt idx="319">
                  <c:v>7.7983900000000004</c:v>
                </c:pt>
                <c:pt idx="320">
                  <c:v>7.7993600000000001</c:v>
                </c:pt>
                <c:pt idx="321">
                  <c:v>7.7977299999999996</c:v>
                </c:pt>
                <c:pt idx="322">
                  <c:v>7.7977299999999996</c:v>
                </c:pt>
                <c:pt idx="323">
                  <c:v>7.7977299999999996</c:v>
                </c:pt>
                <c:pt idx="324">
                  <c:v>7.7937200000000004</c:v>
                </c:pt>
                <c:pt idx="325">
                  <c:v>7.80497</c:v>
                </c:pt>
                <c:pt idx="326">
                  <c:v>7.8146800000000001</c:v>
                </c:pt>
                <c:pt idx="327">
                  <c:v>7.8182999999999998</c:v>
                </c:pt>
                <c:pt idx="328">
                  <c:v>7.8261900000000004</c:v>
                </c:pt>
                <c:pt idx="329">
                  <c:v>7.8261900000000004</c:v>
                </c:pt>
                <c:pt idx="330">
                  <c:v>7.8261900000000004</c:v>
                </c:pt>
                <c:pt idx="331">
                  <c:v>7.8199800000000002</c:v>
                </c:pt>
                <c:pt idx="332">
                  <c:v>7.8276599999999998</c:v>
                </c:pt>
                <c:pt idx="333">
                  <c:v>7.8413399999999998</c:v>
                </c:pt>
                <c:pt idx="334">
                  <c:v>7.8414299999999999</c:v>
                </c:pt>
                <c:pt idx="335">
                  <c:v>7.8587499999999997</c:v>
                </c:pt>
                <c:pt idx="336">
                  <c:v>7.8587499999999997</c:v>
                </c:pt>
                <c:pt idx="337">
                  <c:v>7.8587499999999997</c:v>
                </c:pt>
                <c:pt idx="338">
                  <c:v>7.8753399999999996</c:v>
                </c:pt>
                <c:pt idx="339">
                  <c:v>7.9091199999999997</c:v>
                </c:pt>
                <c:pt idx="340">
                  <c:v>7.9302400000000004</c:v>
                </c:pt>
                <c:pt idx="341">
                  <c:v>7.9090100000000003</c:v>
                </c:pt>
                <c:pt idx="342">
                  <c:v>7.8963400000000004</c:v>
                </c:pt>
                <c:pt idx="343">
                  <c:v>7.8963400000000004</c:v>
                </c:pt>
                <c:pt idx="344">
                  <c:v>7.8963400000000004</c:v>
                </c:pt>
                <c:pt idx="345">
                  <c:v>7.8817399999999997</c:v>
                </c:pt>
                <c:pt idx="346">
                  <c:v>7.8740199999999998</c:v>
                </c:pt>
                <c:pt idx="347">
                  <c:v>7.8770199999999999</c:v>
                </c:pt>
                <c:pt idx="348">
                  <c:v>7.8662700000000001</c:v>
                </c:pt>
                <c:pt idx="349">
                  <c:v>7.8691199999999997</c:v>
                </c:pt>
                <c:pt idx="350">
                  <c:v>7.8691199999999997</c:v>
                </c:pt>
                <c:pt idx="351">
                  <c:v>7.8691199999999997</c:v>
                </c:pt>
                <c:pt idx="352">
                  <c:v>7.8583600000000002</c:v>
                </c:pt>
                <c:pt idx="353">
                  <c:v>7.8559900000000003</c:v>
                </c:pt>
                <c:pt idx="354">
                  <c:v>7.85419</c:v>
                </c:pt>
                <c:pt idx="355">
                  <c:v>7.85527</c:v>
                </c:pt>
                <c:pt idx="356">
                  <c:v>7.8491400000000002</c:v>
                </c:pt>
                <c:pt idx="357">
                  <c:v>7.8491400000000002</c:v>
                </c:pt>
                <c:pt idx="358">
                  <c:v>7.8491400000000002</c:v>
                </c:pt>
                <c:pt idx="359">
                  <c:v>7.8491400000000002</c:v>
                </c:pt>
                <c:pt idx="360">
                  <c:v>7.8473899999999999</c:v>
                </c:pt>
                <c:pt idx="361">
                  <c:v>7.8502799999999997</c:v>
                </c:pt>
                <c:pt idx="362">
                  <c:v>7.85222</c:v>
                </c:pt>
                <c:pt idx="363">
                  <c:v>7.85222</c:v>
                </c:pt>
                <c:pt idx="364">
                  <c:v>7.85222</c:v>
                </c:pt>
              </c:numCache>
            </c:numRef>
          </c:val>
          <c:smooth val="0"/>
          <c:extLst>
            <c:ext xmlns:c16="http://schemas.microsoft.com/office/drawing/2014/chart" uri="{C3380CC4-5D6E-409C-BE32-E72D297353CC}">
              <c16:uniqueId val="{00000000-65DE-4E74-9299-919A1DA9B838}"/>
            </c:ext>
          </c:extLst>
        </c:ser>
        <c:ser>
          <c:idx val="0"/>
          <c:order val="1"/>
          <c:tx>
            <c:strRef>
              <c:f>TcChart!$B$2</c:f>
              <c:strCache>
                <c:ptCount val="1"/>
                <c:pt idx="0">
                  <c:v>Tipo de cambio </c:v>
                </c:pt>
              </c:strCache>
            </c:strRef>
          </c:tx>
          <c:spPr>
            <a:ln w="12700" cap="rnd">
              <a:solidFill>
                <a:srgbClr val="002060"/>
              </a:solidFill>
              <a:round/>
            </a:ln>
            <a:effectLst/>
          </c:spPr>
          <c:marker>
            <c:symbol val="none"/>
          </c:marker>
          <c:dLbls>
            <c:dLbl>
              <c:idx val="0"/>
              <c:layout>
                <c:manualLayout>
                  <c:x val="-6.1162079510703363E-2"/>
                  <c:y val="-4.1164363422522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5DE-4E74-9299-919A1DA9B838}"/>
                </c:ext>
              </c:extLst>
            </c:dLbl>
            <c:dLbl>
              <c:idx val="36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5DE-4E74-9299-919A1DA9B83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TcChart!$A$3:$A$367</c:f>
              <c:numCache>
                <c:formatCode>mmm\-yy</c:formatCode>
                <c:ptCount val="365"/>
                <c:pt idx="0">
                  <c:v>44562</c:v>
                </c:pt>
                <c:pt idx="1">
                  <c:v>44563</c:v>
                </c:pt>
                <c:pt idx="2">
                  <c:v>44564</c:v>
                </c:pt>
                <c:pt idx="3">
                  <c:v>44565</c:v>
                </c:pt>
                <c:pt idx="4">
                  <c:v>44566</c:v>
                </c:pt>
                <c:pt idx="5">
                  <c:v>44567</c:v>
                </c:pt>
                <c:pt idx="6">
                  <c:v>44568</c:v>
                </c:pt>
                <c:pt idx="7">
                  <c:v>44569</c:v>
                </c:pt>
                <c:pt idx="8">
                  <c:v>44570</c:v>
                </c:pt>
                <c:pt idx="9">
                  <c:v>44571</c:v>
                </c:pt>
                <c:pt idx="10">
                  <c:v>44572</c:v>
                </c:pt>
                <c:pt idx="11">
                  <c:v>44573</c:v>
                </c:pt>
                <c:pt idx="12">
                  <c:v>44574</c:v>
                </c:pt>
                <c:pt idx="13">
                  <c:v>44575</c:v>
                </c:pt>
                <c:pt idx="14">
                  <c:v>44576</c:v>
                </c:pt>
                <c:pt idx="15">
                  <c:v>44577</c:v>
                </c:pt>
                <c:pt idx="16">
                  <c:v>44578</c:v>
                </c:pt>
                <c:pt idx="17">
                  <c:v>44579</c:v>
                </c:pt>
                <c:pt idx="18">
                  <c:v>44580</c:v>
                </c:pt>
                <c:pt idx="19">
                  <c:v>44581</c:v>
                </c:pt>
                <c:pt idx="20">
                  <c:v>44582</c:v>
                </c:pt>
                <c:pt idx="21">
                  <c:v>44583</c:v>
                </c:pt>
                <c:pt idx="22">
                  <c:v>44584</c:v>
                </c:pt>
                <c:pt idx="23">
                  <c:v>44585</c:v>
                </c:pt>
                <c:pt idx="24">
                  <c:v>44586</c:v>
                </c:pt>
                <c:pt idx="25">
                  <c:v>44587</c:v>
                </c:pt>
                <c:pt idx="26">
                  <c:v>44588</c:v>
                </c:pt>
                <c:pt idx="27">
                  <c:v>44589</c:v>
                </c:pt>
                <c:pt idx="28">
                  <c:v>44590</c:v>
                </c:pt>
                <c:pt idx="29">
                  <c:v>44591</c:v>
                </c:pt>
                <c:pt idx="30">
                  <c:v>44592</c:v>
                </c:pt>
                <c:pt idx="31">
                  <c:v>44593</c:v>
                </c:pt>
                <c:pt idx="32">
                  <c:v>44594</c:v>
                </c:pt>
                <c:pt idx="33">
                  <c:v>44595</c:v>
                </c:pt>
                <c:pt idx="34">
                  <c:v>44596</c:v>
                </c:pt>
                <c:pt idx="35">
                  <c:v>44597</c:v>
                </c:pt>
                <c:pt idx="36">
                  <c:v>44598</c:v>
                </c:pt>
                <c:pt idx="37">
                  <c:v>44599</c:v>
                </c:pt>
                <c:pt idx="38">
                  <c:v>44600</c:v>
                </c:pt>
                <c:pt idx="39">
                  <c:v>44601</c:v>
                </c:pt>
                <c:pt idx="40">
                  <c:v>44602</c:v>
                </c:pt>
                <c:pt idx="41">
                  <c:v>44603</c:v>
                </c:pt>
                <c:pt idx="42">
                  <c:v>44604</c:v>
                </c:pt>
                <c:pt idx="43">
                  <c:v>44605</c:v>
                </c:pt>
                <c:pt idx="44">
                  <c:v>44606</c:v>
                </c:pt>
                <c:pt idx="45">
                  <c:v>44607</c:v>
                </c:pt>
                <c:pt idx="46">
                  <c:v>44608</c:v>
                </c:pt>
                <c:pt idx="47">
                  <c:v>44609</c:v>
                </c:pt>
                <c:pt idx="48">
                  <c:v>44610</c:v>
                </c:pt>
                <c:pt idx="49">
                  <c:v>44611</c:v>
                </c:pt>
                <c:pt idx="50">
                  <c:v>44612</c:v>
                </c:pt>
                <c:pt idx="51">
                  <c:v>44613</c:v>
                </c:pt>
                <c:pt idx="52">
                  <c:v>44614</c:v>
                </c:pt>
                <c:pt idx="53">
                  <c:v>44615</c:v>
                </c:pt>
                <c:pt idx="54">
                  <c:v>44616</c:v>
                </c:pt>
                <c:pt idx="55">
                  <c:v>44617</c:v>
                </c:pt>
                <c:pt idx="56">
                  <c:v>44618</c:v>
                </c:pt>
                <c:pt idx="57">
                  <c:v>44619</c:v>
                </c:pt>
                <c:pt idx="58">
                  <c:v>44620</c:v>
                </c:pt>
                <c:pt idx="59">
                  <c:v>44621</c:v>
                </c:pt>
                <c:pt idx="60">
                  <c:v>44622</c:v>
                </c:pt>
                <c:pt idx="61">
                  <c:v>44623</c:v>
                </c:pt>
                <c:pt idx="62">
                  <c:v>44624</c:v>
                </c:pt>
                <c:pt idx="63">
                  <c:v>44625</c:v>
                </c:pt>
                <c:pt idx="64">
                  <c:v>44626</c:v>
                </c:pt>
                <c:pt idx="65">
                  <c:v>44627</c:v>
                </c:pt>
                <c:pt idx="66">
                  <c:v>44628</c:v>
                </c:pt>
                <c:pt idx="67">
                  <c:v>44629</c:v>
                </c:pt>
                <c:pt idx="68">
                  <c:v>44630</c:v>
                </c:pt>
                <c:pt idx="69">
                  <c:v>44631</c:v>
                </c:pt>
                <c:pt idx="70">
                  <c:v>44632</c:v>
                </c:pt>
                <c:pt idx="71">
                  <c:v>44633</c:v>
                </c:pt>
                <c:pt idx="72">
                  <c:v>44634</c:v>
                </c:pt>
                <c:pt idx="73">
                  <c:v>44635</c:v>
                </c:pt>
                <c:pt idx="74">
                  <c:v>44636</c:v>
                </c:pt>
                <c:pt idx="75">
                  <c:v>44637</c:v>
                </c:pt>
                <c:pt idx="76">
                  <c:v>44638</c:v>
                </c:pt>
                <c:pt idx="77">
                  <c:v>44639</c:v>
                </c:pt>
                <c:pt idx="78">
                  <c:v>44640</c:v>
                </c:pt>
                <c:pt idx="79">
                  <c:v>44641</c:v>
                </c:pt>
                <c:pt idx="80">
                  <c:v>44642</c:v>
                </c:pt>
                <c:pt idx="81">
                  <c:v>44643</c:v>
                </c:pt>
                <c:pt idx="82">
                  <c:v>44644</c:v>
                </c:pt>
                <c:pt idx="83">
                  <c:v>44645</c:v>
                </c:pt>
                <c:pt idx="84">
                  <c:v>44646</c:v>
                </c:pt>
                <c:pt idx="85">
                  <c:v>44647</c:v>
                </c:pt>
                <c:pt idx="86">
                  <c:v>44648</c:v>
                </c:pt>
                <c:pt idx="87">
                  <c:v>44649</c:v>
                </c:pt>
                <c:pt idx="88">
                  <c:v>44650</c:v>
                </c:pt>
                <c:pt idx="89">
                  <c:v>44651</c:v>
                </c:pt>
                <c:pt idx="90">
                  <c:v>44652</c:v>
                </c:pt>
                <c:pt idx="91">
                  <c:v>44653</c:v>
                </c:pt>
                <c:pt idx="92">
                  <c:v>44654</c:v>
                </c:pt>
                <c:pt idx="93">
                  <c:v>44655</c:v>
                </c:pt>
                <c:pt idx="94">
                  <c:v>44656</c:v>
                </c:pt>
                <c:pt idx="95">
                  <c:v>44657</c:v>
                </c:pt>
                <c:pt idx="96">
                  <c:v>44658</c:v>
                </c:pt>
                <c:pt idx="97">
                  <c:v>44659</c:v>
                </c:pt>
                <c:pt idx="98">
                  <c:v>44660</c:v>
                </c:pt>
                <c:pt idx="99">
                  <c:v>44661</c:v>
                </c:pt>
                <c:pt idx="100">
                  <c:v>44662</c:v>
                </c:pt>
                <c:pt idx="101">
                  <c:v>44663</c:v>
                </c:pt>
                <c:pt idx="102">
                  <c:v>44664</c:v>
                </c:pt>
                <c:pt idx="103">
                  <c:v>44665</c:v>
                </c:pt>
                <c:pt idx="104">
                  <c:v>44666</c:v>
                </c:pt>
                <c:pt idx="105">
                  <c:v>44667</c:v>
                </c:pt>
                <c:pt idx="106">
                  <c:v>44668</c:v>
                </c:pt>
                <c:pt idx="107">
                  <c:v>44669</c:v>
                </c:pt>
                <c:pt idx="108">
                  <c:v>44670</c:v>
                </c:pt>
                <c:pt idx="109">
                  <c:v>44671</c:v>
                </c:pt>
                <c:pt idx="110">
                  <c:v>44672</c:v>
                </c:pt>
                <c:pt idx="111">
                  <c:v>44673</c:v>
                </c:pt>
                <c:pt idx="112">
                  <c:v>44674</c:v>
                </c:pt>
                <c:pt idx="113">
                  <c:v>44675</c:v>
                </c:pt>
                <c:pt idx="114">
                  <c:v>44676</c:v>
                </c:pt>
                <c:pt idx="115">
                  <c:v>44677</c:v>
                </c:pt>
                <c:pt idx="116">
                  <c:v>44678</c:v>
                </c:pt>
                <c:pt idx="117">
                  <c:v>44679</c:v>
                </c:pt>
                <c:pt idx="118">
                  <c:v>44680</c:v>
                </c:pt>
                <c:pt idx="119">
                  <c:v>44681</c:v>
                </c:pt>
                <c:pt idx="120">
                  <c:v>44682</c:v>
                </c:pt>
                <c:pt idx="121">
                  <c:v>44683</c:v>
                </c:pt>
                <c:pt idx="122">
                  <c:v>44684</c:v>
                </c:pt>
                <c:pt idx="123">
                  <c:v>44685</c:v>
                </c:pt>
                <c:pt idx="124">
                  <c:v>44686</c:v>
                </c:pt>
                <c:pt idx="125">
                  <c:v>44687</c:v>
                </c:pt>
                <c:pt idx="126">
                  <c:v>44688</c:v>
                </c:pt>
                <c:pt idx="127">
                  <c:v>44689</c:v>
                </c:pt>
                <c:pt idx="128">
                  <c:v>44690</c:v>
                </c:pt>
                <c:pt idx="129">
                  <c:v>44691</c:v>
                </c:pt>
                <c:pt idx="130">
                  <c:v>44692</c:v>
                </c:pt>
                <c:pt idx="131">
                  <c:v>44693</c:v>
                </c:pt>
                <c:pt idx="132">
                  <c:v>44694</c:v>
                </c:pt>
                <c:pt idx="133">
                  <c:v>44695</c:v>
                </c:pt>
                <c:pt idx="134">
                  <c:v>44696</c:v>
                </c:pt>
                <c:pt idx="135">
                  <c:v>44697</c:v>
                </c:pt>
                <c:pt idx="136">
                  <c:v>44698</c:v>
                </c:pt>
                <c:pt idx="137">
                  <c:v>44699</c:v>
                </c:pt>
                <c:pt idx="138">
                  <c:v>44700</c:v>
                </c:pt>
                <c:pt idx="139">
                  <c:v>44701</c:v>
                </c:pt>
                <c:pt idx="140">
                  <c:v>44702</c:v>
                </c:pt>
                <c:pt idx="141">
                  <c:v>44703</c:v>
                </c:pt>
                <c:pt idx="142">
                  <c:v>44704</c:v>
                </c:pt>
                <c:pt idx="143">
                  <c:v>44705</c:v>
                </c:pt>
                <c:pt idx="144">
                  <c:v>44706</c:v>
                </c:pt>
                <c:pt idx="145">
                  <c:v>44707</c:v>
                </c:pt>
                <c:pt idx="146">
                  <c:v>44708</c:v>
                </c:pt>
                <c:pt idx="147">
                  <c:v>44709</c:v>
                </c:pt>
                <c:pt idx="148">
                  <c:v>44710</c:v>
                </c:pt>
                <c:pt idx="149">
                  <c:v>44711</c:v>
                </c:pt>
                <c:pt idx="150">
                  <c:v>44712</c:v>
                </c:pt>
                <c:pt idx="151">
                  <c:v>44713</c:v>
                </c:pt>
                <c:pt idx="152">
                  <c:v>44714</c:v>
                </c:pt>
                <c:pt idx="153">
                  <c:v>44715</c:v>
                </c:pt>
                <c:pt idx="154">
                  <c:v>44716</c:v>
                </c:pt>
                <c:pt idx="155">
                  <c:v>44717</c:v>
                </c:pt>
                <c:pt idx="156">
                  <c:v>44718</c:v>
                </c:pt>
                <c:pt idx="157">
                  <c:v>44719</c:v>
                </c:pt>
                <c:pt idx="158">
                  <c:v>44720</c:v>
                </c:pt>
                <c:pt idx="159">
                  <c:v>44721</c:v>
                </c:pt>
                <c:pt idx="160">
                  <c:v>44722</c:v>
                </c:pt>
                <c:pt idx="161">
                  <c:v>44723</c:v>
                </c:pt>
                <c:pt idx="162">
                  <c:v>44724</c:v>
                </c:pt>
                <c:pt idx="163">
                  <c:v>44725</c:v>
                </c:pt>
                <c:pt idx="164">
                  <c:v>44726</c:v>
                </c:pt>
                <c:pt idx="165">
                  <c:v>44727</c:v>
                </c:pt>
                <c:pt idx="166">
                  <c:v>44728</c:v>
                </c:pt>
                <c:pt idx="167">
                  <c:v>44729</c:v>
                </c:pt>
                <c:pt idx="168">
                  <c:v>44730</c:v>
                </c:pt>
                <c:pt idx="169">
                  <c:v>44731</c:v>
                </c:pt>
                <c:pt idx="170">
                  <c:v>44732</c:v>
                </c:pt>
                <c:pt idx="171">
                  <c:v>44733</c:v>
                </c:pt>
                <c:pt idx="172">
                  <c:v>44734</c:v>
                </c:pt>
                <c:pt idx="173">
                  <c:v>44735</c:v>
                </c:pt>
                <c:pt idx="174">
                  <c:v>44736</c:v>
                </c:pt>
                <c:pt idx="175">
                  <c:v>44737</c:v>
                </c:pt>
                <c:pt idx="176">
                  <c:v>44738</c:v>
                </c:pt>
                <c:pt idx="177">
                  <c:v>44739</c:v>
                </c:pt>
                <c:pt idx="178">
                  <c:v>44740</c:v>
                </c:pt>
                <c:pt idx="179">
                  <c:v>44741</c:v>
                </c:pt>
                <c:pt idx="180">
                  <c:v>44742</c:v>
                </c:pt>
                <c:pt idx="181">
                  <c:v>44743</c:v>
                </c:pt>
                <c:pt idx="182">
                  <c:v>44744</c:v>
                </c:pt>
                <c:pt idx="183">
                  <c:v>44745</c:v>
                </c:pt>
                <c:pt idx="184">
                  <c:v>44746</c:v>
                </c:pt>
                <c:pt idx="185">
                  <c:v>44747</c:v>
                </c:pt>
                <c:pt idx="186">
                  <c:v>44748</c:v>
                </c:pt>
                <c:pt idx="187">
                  <c:v>44749</c:v>
                </c:pt>
                <c:pt idx="188">
                  <c:v>44750</c:v>
                </c:pt>
                <c:pt idx="189">
                  <c:v>44751</c:v>
                </c:pt>
                <c:pt idx="190">
                  <c:v>44752</c:v>
                </c:pt>
                <c:pt idx="191">
                  <c:v>44753</c:v>
                </c:pt>
                <c:pt idx="192">
                  <c:v>44754</c:v>
                </c:pt>
                <c:pt idx="193">
                  <c:v>44755</c:v>
                </c:pt>
                <c:pt idx="194">
                  <c:v>44756</c:v>
                </c:pt>
                <c:pt idx="195">
                  <c:v>44757</c:v>
                </c:pt>
                <c:pt idx="196">
                  <c:v>44758</c:v>
                </c:pt>
                <c:pt idx="197">
                  <c:v>44759</c:v>
                </c:pt>
                <c:pt idx="198">
                  <c:v>44760</c:v>
                </c:pt>
                <c:pt idx="199">
                  <c:v>44761</c:v>
                </c:pt>
                <c:pt idx="200">
                  <c:v>44762</c:v>
                </c:pt>
                <c:pt idx="201">
                  <c:v>44763</c:v>
                </c:pt>
                <c:pt idx="202">
                  <c:v>44764</c:v>
                </c:pt>
                <c:pt idx="203">
                  <c:v>44765</c:v>
                </c:pt>
                <c:pt idx="204">
                  <c:v>44766</c:v>
                </c:pt>
                <c:pt idx="205">
                  <c:v>44767</c:v>
                </c:pt>
                <c:pt idx="206">
                  <c:v>44768</c:v>
                </c:pt>
                <c:pt idx="207">
                  <c:v>44769</c:v>
                </c:pt>
                <c:pt idx="208">
                  <c:v>44770</c:v>
                </c:pt>
                <c:pt idx="209">
                  <c:v>44771</c:v>
                </c:pt>
                <c:pt idx="210">
                  <c:v>44772</c:v>
                </c:pt>
                <c:pt idx="211">
                  <c:v>44773</c:v>
                </c:pt>
                <c:pt idx="212">
                  <c:v>44774</c:v>
                </c:pt>
                <c:pt idx="213">
                  <c:v>44775</c:v>
                </c:pt>
                <c:pt idx="214">
                  <c:v>44776</c:v>
                </c:pt>
                <c:pt idx="215">
                  <c:v>44777</c:v>
                </c:pt>
                <c:pt idx="216">
                  <c:v>44778</c:v>
                </c:pt>
                <c:pt idx="217">
                  <c:v>44779</c:v>
                </c:pt>
                <c:pt idx="218">
                  <c:v>44780</c:v>
                </c:pt>
                <c:pt idx="219">
                  <c:v>44781</c:v>
                </c:pt>
                <c:pt idx="220">
                  <c:v>44782</c:v>
                </c:pt>
                <c:pt idx="221">
                  <c:v>44783</c:v>
                </c:pt>
                <c:pt idx="222">
                  <c:v>44784</c:v>
                </c:pt>
                <c:pt idx="223">
                  <c:v>44785</c:v>
                </c:pt>
                <c:pt idx="224">
                  <c:v>44786</c:v>
                </c:pt>
                <c:pt idx="225">
                  <c:v>44787</c:v>
                </c:pt>
                <c:pt idx="226">
                  <c:v>44788</c:v>
                </c:pt>
                <c:pt idx="227">
                  <c:v>44789</c:v>
                </c:pt>
                <c:pt idx="228">
                  <c:v>44790</c:v>
                </c:pt>
                <c:pt idx="229">
                  <c:v>44791</c:v>
                </c:pt>
                <c:pt idx="230">
                  <c:v>44792</c:v>
                </c:pt>
                <c:pt idx="231">
                  <c:v>44793</c:v>
                </c:pt>
                <c:pt idx="232">
                  <c:v>44794</c:v>
                </c:pt>
                <c:pt idx="233">
                  <c:v>44795</c:v>
                </c:pt>
                <c:pt idx="234">
                  <c:v>44796</c:v>
                </c:pt>
                <c:pt idx="235">
                  <c:v>44797</c:v>
                </c:pt>
                <c:pt idx="236">
                  <c:v>44798</c:v>
                </c:pt>
                <c:pt idx="237">
                  <c:v>44799</c:v>
                </c:pt>
                <c:pt idx="238">
                  <c:v>44800</c:v>
                </c:pt>
                <c:pt idx="239">
                  <c:v>44801</c:v>
                </c:pt>
                <c:pt idx="240">
                  <c:v>44802</c:v>
                </c:pt>
                <c:pt idx="241">
                  <c:v>44803</c:v>
                </c:pt>
                <c:pt idx="242">
                  <c:v>44804</c:v>
                </c:pt>
                <c:pt idx="243">
                  <c:v>44805</c:v>
                </c:pt>
                <c:pt idx="244">
                  <c:v>44806</c:v>
                </c:pt>
                <c:pt idx="245">
                  <c:v>44807</c:v>
                </c:pt>
                <c:pt idx="246">
                  <c:v>44808</c:v>
                </c:pt>
                <c:pt idx="247">
                  <c:v>44809</c:v>
                </c:pt>
                <c:pt idx="248">
                  <c:v>44810</c:v>
                </c:pt>
                <c:pt idx="249">
                  <c:v>44811</c:v>
                </c:pt>
                <c:pt idx="250">
                  <c:v>44812</c:v>
                </c:pt>
                <c:pt idx="251">
                  <c:v>44813</c:v>
                </c:pt>
                <c:pt idx="252">
                  <c:v>44814</c:v>
                </c:pt>
                <c:pt idx="253">
                  <c:v>44815</c:v>
                </c:pt>
                <c:pt idx="254">
                  <c:v>44816</c:v>
                </c:pt>
                <c:pt idx="255">
                  <c:v>44817</c:v>
                </c:pt>
                <c:pt idx="256">
                  <c:v>44818</c:v>
                </c:pt>
                <c:pt idx="257">
                  <c:v>44819</c:v>
                </c:pt>
                <c:pt idx="258">
                  <c:v>44820</c:v>
                </c:pt>
                <c:pt idx="259">
                  <c:v>44821</c:v>
                </c:pt>
                <c:pt idx="260">
                  <c:v>44822</c:v>
                </c:pt>
                <c:pt idx="261">
                  <c:v>44823</c:v>
                </c:pt>
                <c:pt idx="262">
                  <c:v>44824</c:v>
                </c:pt>
                <c:pt idx="263">
                  <c:v>44825</c:v>
                </c:pt>
                <c:pt idx="264">
                  <c:v>44826</c:v>
                </c:pt>
                <c:pt idx="265">
                  <c:v>44827</c:v>
                </c:pt>
                <c:pt idx="266">
                  <c:v>44828</c:v>
                </c:pt>
                <c:pt idx="267">
                  <c:v>44829</c:v>
                </c:pt>
                <c:pt idx="268">
                  <c:v>44830</c:v>
                </c:pt>
                <c:pt idx="269">
                  <c:v>44831</c:v>
                </c:pt>
                <c:pt idx="270">
                  <c:v>44832</c:v>
                </c:pt>
                <c:pt idx="271">
                  <c:v>44833</c:v>
                </c:pt>
                <c:pt idx="272">
                  <c:v>44834</c:v>
                </c:pt>
                <c:pt idx="273">
                  <c:v>44835</c:v>
                </c:pt>
                <c:pt idx="274">
                  <c:v>44836</c:v>
                </c:pt>
                <c:pt idx="275">
                  <c:v>44837</c:v>
                </c:pt>
                <c:pt idx="276">
                  <c:v>44838</c:v>
                </c:pt>
                <c:pt idx="277">
                  <c:v>44839</c:v>
                </c:pt>
                <c:pt idx="278">
                  <c:v>44840</c:v>
                </c:pt>
                <c:pt idx="279">
                  <c:v>44841</c:v>
                </c:pt>
                <c:pt idx="280">
                  <c:v>44842</c:v>
                </c:pt>
                <c:pt idx="281">
                  <c:v>44843</c:v>
                </c:pt>
                <c:pt idx="282">
                  <c:v>44844</c:v>
                </c:pt>
                <c:pt idx="283">
                  <c:v>44845</c:v>
                </c:pt>
                <c:pt idx="284">
                  <c:v>44846</c:v>
                </c:pt>
                <c:pt idx="285">
                  <c:v>44847</c:v>
                </c:pt>
                <c:pt idx="286">
                  <c:v>44848</c:v>
                </c:pt>
                <c:pt idx="287">
                  <c:v>44849</c:v>
                </c:pt>
                <c:pt idx="288">
                  <c:v>44850</c:v>
                </c:pt>
                <c:pt idx="289">
                  <c:v>44851</c:v>
                </c:pt>
                <c:pt idx="290">
                  <c:v>44852</c:v>
                </c:pt>
                <c:pt idx="291">
                  <c:v>44853</c:v>
                </c:pt>
                <c:pt idx="292">
                  <c:v>44854</c:v>
                </c:pt>
                <c:pt idx="293">
                  <c:v>44855</c:v>
                </c:pt>
                <c:pt idx="294">
                  <c:v>44856</c:v>
                </c:pt>
                <c:pt idx="295">
                  <c:v>44857</c:v>
                </c:pt>
                <c:pt idx="296">
                  <c:v>44858</c:v>
                </c:pt>
                <c:pt idx="297">
                  <c:v>44859</c:v>
                </c:pt>
                <c:pt idx="298">
                  <c:v>44860</c:v>
                </c:pt>
                <c:pt idx="299">
                  <c:v>44861</c:v>
                </c:pt>
                <c:pt idx="300">
                  <c:v>44862</c:v>
                </c:pt>
                <c:pt idx="301">
                  <c:v>44863</c:v>
                </c:pt>
                <c:pt idx="302">
                  <c:v>44864</c:v>
                </c:pt>
                <c:pt idx="303">
                  <c:v>44865</c:v>
                </c:pt>
                <c:pt idx="304">
                  <c:v>44866</c:v>
                </c:pt>
                <c:pt idx="305">
                  <c:v>44867</c:v>
                </c:pt>
                <c:pt idx="306">
                  <c:v>44868</c:v>
                </c:pt>
                <c:pt idx="307">
                  <c:v>44869</c:v>
                </c:pt>
                <c:pt idx="308">
                  <c:v>44870</c:v>
                </c:pt>
                <c:pt idx="309">
                  <c:v>44871</c:v>
                </c:pt>
                <c:pt idx="310">
                  <c:v>44872</c:v>
                </c:pt>
                <c:pt idx="311">
                  <c:v>44873</c:v>
                </c:pt>
                <c:pt idx="312">
                  <c:v>44874</c:v>
                </c:pt>
                <c:pt idx="313">
                  <c:v>44875</c:v>
                </c:pt>
                <c:pt idx="314">
                  <c:v>44876</c:v>
                </c:pt>
                <c:pt idx="315">
                  <c:v>44877</c:v>
                </c:pt>
                <c:pt idx="316">
                  <c:v>44878</c:v>
                </c:pt>
                <c:pt idx="317">
                  <c:v>44879</c:v>
                </c:pt>
                <c:pt idx="318">
                  <c:v>44880</c:v>
                </c:pt>
                <c:pt idx="319">
                  <c:v>44881</c:v>
                </c:pt>
                <c:pt idx="320">
                  <c:v>44882</c:v>
                </c:pt>
                <c:pt idx="321">
                  <c:v>44883</c:v>
                </c:pt>
                <c:pt idx="322">
                  <c:v>44884</c:v>
                </c:pt>
                <c:pt idx="323">
                  <c:v>44885</c:v>
                </c:pt>
                <c:pt idx="324">
                  <c:v>44886</c:v>
                </c:pt>
                <c:pt idx="325">
                  <c:v>44887</c:v>
                </c:pt>
                <c:pt idx="326">
                  <c:v>44888</c:v>
                </c:pt>
                <c:pt idx="327">
                  <c:v>44889</c:v>
                </c:pt>
                <c:pt idx="328">
                  <c:v>44890</c:v>
                </c:pt>
                <c:pt idx="329">
                  <c:v>44891</c:v>
                </c:pt>
                <c:pt idx="330">
                  <c:v>44892</c:v>
                </c:pt>
                <c:pt idx="331">
                  <c:v>44893</c:v>
                </c:pt>
                <c:pt idx="332">
                  <c:v>44894</c:v>
                </c:pt>
                <c:pt idx="333">
                  <c:v>44895</c:v>
                </c:pt>
                <c:pt idx="334">
                  <c:v>44896</c:v>
                </c:pt>
                <c:pt idx="335">
                  <c:v>44897</c:v>
                </c:pt>
                <c:pt idx="336">
                  <c:v>44898</c:v>
                </c:pt>
                <c:pt idx="337">
                  <c:v>44899</c:v>
                </c:pt>
                <c:pt idx="338">
                  <c:v>44900</c:v>
                </c:pt>
                <c:pt idx="339">
                  <c:v>44901</c:v>
                </c:pt>
                <c:pt idx="340">
                  <c:v>44902</c:v>
                </c:pt>
                <c:pt idx="341">
                  <c:v>44903</c:v>
                </c:pt>
                <c:pt idx="342">
                  <c:v>44904</c:v>
                </c:pt>
                <c:pt idx="343">
                  <c:v>44905</c:v>
                </c:pt>
                <c:pt idx="344">
                  <c:v>44906</c:v>
                </c:pt>
                <c:pt idx="345">
                  <c:v>44907</c:v>
                </c:pt>
                <c:pt idx="346">
                  <c:v>44908</c:v>
                </c:pt>
                <c:pt idx="347">
                  <c:v>44909</c:v>
                </c:pt>
                <c:pt idx="348">
                  <c:v>44910</c:v>
                </c:pt>
                <c:pt idx="349">
                  <c:v>44911</c:v>
                </c:pt>
                <c:pt idx="350">
                  <c:v>44912</c:v>
                </c:pt>
                <c:pt idx="351">
                  <c:v>44913</c:v>
                </c:pt>
                <c:pt idx="352">
                  <c:v>44914</c:v>
                </c:pt>
                <c:pt idx="353">
                  <c:v>44915</c:v>
                </c:pt>
                <c:pt idx="354">
                  <c:v>44916</c:v>
                </c:pt>
                <c:pt idx="355">
                  <c:v>44917</c:v>
                </c:pt>
                <c:pt idx="356">
                  <c:v>44918</c:v>
                </c:pt>
                <c:pt idx="357">
                  <c:v>44919</c:v>
                </c:pt>
                <c:pt idx="358">
                  <c:v>44920</c:v>
                </c:pt>
                <c:pt idx="359">
                  <c:v>44921</c:v>
                </c:pt>
                <c:pt idx="360">
                  <c:v>44922</c:v>
                </c:pt>
                <c:pt idx="361">
                  <c:v>44923</c:v>
                </c:pt>
                <c:pt idx="362">
                  <c:v>44924</c:v>
                </c:pt>
                <c:pt idx="363">
                  <c:v>44925</c:v>
                </c:pt>
                <c:pt idx="364">
                  <c:v>44926</c:v>
                </c:pt>
              </c:numCache>
            </c:numRef>
          </c:cat>
          <c:val>
            <c:numRef>
              <c:f>TcChart!$B$3:$B$367</c:f>
              <c:numCache>
                <c:formatCode>_(* #,##0.00_);_(* \(#,##0.00\);_(* "-"??_);_(@_)</c:formatCode>
                <c:ptCount val="365"/>
                <c:pt idx="0">
                  <c:v>7.7191200000000002</c:v>
                </c:pt>
                <c:pt idx="1">
                  <c:v>7.7191200000000002</c:v>
                </c:pt>
                <c:pt idx="2">
                  <c:v>7.7191200000000002</c:v>
                </c:pt>
                <c:pt idx="3">
                  <c:v>7.7174500000000004</c:v>
                </c:pt>
                <c:pt idx="4">
                  <c:v>7.7155800000000001</c:v>
                </c:pt>
                <c:pt idx="5">
                  <c:v>7.7182300000000001</c:v>
                </c:pt>
                <c:pt idx="6">
                  <c:v>7.7134299999999998</c:v>
                </c:pt>
                <c:pt idx="7">
                  <c:v>7.7134299999999998</c:v>
                </c:pt>
                <c:pt idx="8">
                  <c:v>7.7134299999999998</c:v>
                </c:pt>
                <c:pt idx="9">
                  <c:v>7.7110099999999999</c:v>
                </c:pt>
                <c:pt idx="10">
                  <c:v>7.7083199999999996</c:v>
                </c:pt>
                <c:pt idx="11">
                  <c:v>7.7089800000000004</c:v>
                </c:pt>
                <c:pt idx="12">
                  <c:v>7.7061999999999999</c:v>
                </c:pt>
                <c:pt idx="13">
                  <c:v>7.70777</c:v>
                </c:pt>
                <c:pt idx="14">
                  <c:v>7.70777</c:v>
                </c:pt>
                <c:pt idx="15">
                  <c:v>7.70777</c:v>
                </c:pt>
                <c:pt idx="16">
                  <c:v>7.7004599999999996</c:v>
                </c:pt>
                <c:pt idx="17">
                  <c:v>7.7045300000000001</c:v>
                </c:pt>
                <c:pt idx="18">
                  <c:v>7.6995800000000001</c:v>
                </c:pt>
                <c:pt idx="19">
                  <c:v>7.6953699999999996</c:v>
                </c:pt>
                <c:pt idx="20">
                  <c:v>7.6919500000000003</c:v>
                </c:pt>
                <c:pt idx="21">
                  <c:v>7.6919500000000003</c:v>
                </c:pt>
                <c:pt idx="22">
                  <c:v>7.6919500000000003</c:v>
                </c:pt>
                <c:pt idx="23">
                  <c:v>7.6885500000000002</c:v>
                </c:pt>
                <c:pt idx="24">
                  <c:v>7.68581</c:v>
                </c:pt>
                <c:pt idx="25">
                  <c:v>7.6854100000000001</c:v>
                </c:pt>
                <c:pt idx="26">
                  <c:v>7.68649</c:v>
                </c:pt>
                <c:pt idx="27">
                  <c:v>7.6899499999999996</c:v>
                </c:pt>
                <c:pt idx="28">
                  <c:v>7.6899499999999996</c:v>
                </c:pt>
                <c:pt idx="29">
                  <c:v>7.6899499999999996</c:v>
                </c:pt>
                <c:pt idx="30">
                  <c:v>7.6898099999999996</c:v>
                </c:pt>
                <c:pt idx="31">
                  <c:v>7.6855500000000001</c:v>
                </c:pt>
                <c:pt idx="32">
                  <c:v>7.6922100000000002</c:v>
                </c:pt>
                <c:pt idx="33">
                  <c:v>7.6918899999999999</c:v>
                </c:pt>
                <c:pt idx="34">
                  <c:v>7.6949500000000004</c:v>
                </c:pt>
                <c:pt idx="35">
                  <c:v>7.6949500000000004</c:v>
                </c:pt>
                <c:pt idx="36">
                  <c:v>7.6949500000000004</c:v>
                </c:pt>
                <c:pt idx="37">
                  <c:v>7.6912200000000004</c:v>
                </c:pt>
                <c:pt idx="38">
                  <c:v>7.6886000000000001</c:v>
                </c:pt>
                <c:pt idx="39">
                  <c:v>7.6922899999999998</c:v>
                </c:pt>
                <c:pt idx="40">
                  <c:v>7.6953100000000001</c:v>
                </c:pt>
                <c:pt idx="41">
                  <c:v>7.6922600000000001</c:v>
                </c:pt>
                <c:pt idx="42">
                  <c:v>7.6922600000000001</c:v>
                </c:pt>
                <c:pt idx="43">
                  <c:v>7.6922600000000001</c:v>
                </c:pt>
                <c:pt idx="44">
                  <c:v>7.6925499999999998</c:v>
                </c:pt>
                <c:pt idx="45">
                  <c:v>7.6884100000000002</c:v>
                </c:pt>
                <c:pt idx="46">
                  <c:v>7.6956199999999999</c:v>
                </c:pt>
                <c:pt idx="47">
                  <c:v>7.6934899999999997</c:v>
                </c:pt>
                <c:pt idx="48">
                  <c:v>7.7003899999999996</c:v>
                </c:pt>
                <c:pt idx="49">
                  <c:v>7.7003899999999996</c:v>
                </c:pt>
                <c:pt idx="50">
                  <c:v>7.7003899999999996</c:v>
                </c:pt>
                <c:pt idx="51">
                  <c:v>7.6984899999999996</c:v>
                </c:pt>
                <c:pt idx="52">
                  <c:v>7.7078800000000003</c:v>
                </c:pt>
                <c:pt idx="53">
                  <c:v>7.7046799999999998</c:v>
                </c:pt>
                <c:pt idx="54">
                  <c:v>7.7128500000000004</c:v>
                </c:pt>
                <c:pt idx="55">
                  <c:v>7.7168999999999999</c:v>
                </c:pt>
                <c:pt idx="56">
                  <c:v>7.7168999999999999</c:v>
                </c:pt>
                <c:pt idx="57">
                  <c:v>7.7168999999999999</c:v>
                </c:pt>
                <c:pt idx="58">
                  <c:v>7.7132199999999997</c:v>
                </c:pt>
                <c:pt idx="59">
                  <c:v>7.7043999999999997</c:v>
                </c:pt>
                <c:pt idx="60">
                  <c:v>7.7054299999999998</c:v>
                </c:pt>
                <c:pt idx="61">
                  <c:v>7.7119900000000001</c:v>
                </c:pt>
                <c:pt idx="62">
                  <c:v>7.7100200000000001</c:v>
                </c:pt>
                <c:pt idx="63">
                  <c:v>7.7100200000000001</c:v>
                </c:pt>
                <c:pt idx="64">
                  <c:v>7.7100200000000001</c:v>
                </c:pt>
                <c:pt idx="65">
                  <c:v>7.7043100000000004</c:v>
                </c:pt>
                <c:pt idx="66">
                  <c:v>7.6993200000000002</c:v>
                </c:pt>
                <c:pt idx="67">
                  <c:v>7.7011000000000003</c:v>
                </c:pt>
                <c:pt idx="68">
                  <c:v>7.7016400000000003</c:v>
                </c:pt>
                <c:pt idx="69">
                  <c:v>7.7010500000000004</c:v>
                </c:pt>
                <c:pt idx="70">
                  <c:v>7.7010500000000004</c:v>
                </c:pt>
                <c:pt idx="71">
                  <c:v>7.7010500000000004</c:v>
                </c:pt>
                <c:pt idx="72">
                  <c:v>7.6979300000000004</c:v>
                </c:pt>
                <c:pt idx="73">
                  <c:v>7.6914600000000002</c:v>
                </c:pt>
                <c:pt idx="74">
                  <c:v>7.6951000000000001</c:v>
                </c:pt>
                <c:pt idx="75">
                  <c:v>7.6938000000000004</c:v>
                </c:pt>
                <c:pt idx="76">
                  <c:v>7.6915899999999997</c:v>
                </c:pt>
                <c:pt idx="77">
                  <c:v>7.6915899999999997</c:v>
                </c:pt>
                <c:pt idx="78">
                  <c:v>7.6915899999999997</c:v>
                </c:pt>
                <c:pt idx="79">
                  <c:v>7.6883699999999999</c:v>
                </c:pt>
                <c:pt idx="80">
                  <c:v>7.6846399999999999</c:v>
                </c:pt>
                <c:pt idx="81">
                  <c:v>7.68438</c:v>
                </c:pt>
                <c:pt idx="82">
                  <c:v>7.6826999999999996</c:v>
                </c:pt>
                <c:pt idx="83">
                  <c:v>7.6816899999999997</c:v>
                </c:pt>
                <c:pt idx="84">
                  <c:v>7.6816899999999997</c:v>
                </c:pt>
                <c:pt idx="85">
                  <c:v>7.6816899999999997</c:v>
                </c:pt>
                <c:pt idx="86">
                  <c:v>7.67889</c:v>
                </c:pt>
                <c:pt idx="87">
                  <c:v>7.6783000000000001</c:v>
                </c:pt>
                <c:pt idx="88">
                  <c:v>7.6805199999999996</c:v>
                </c:pt>
                <c:pt idx="89">
                  <c:v>7.68025</c:v>
                </c:pt>
                <c:pt idx="90">
                  <c:v>7.6794700000000002</c:v>
                </c:pt>
                <c:pt idx="91">
                  <c:v>7.6794700000000002</c:v>
                </c:pt>
                <c:pt idx="92">
                  <c:v>7.6794700000000002</c:v>
                </c:pt>
                <c:pt idx="93">
                  <c:v>7.6749900000000002</c:v>
                </c:pt>
                <c:pt idx="94">
                  <c:v>7.6729799999999999</c:v>
                </c:pt>
                <c:pt idx="95">
                  <c:v>7.6749999999999998</c:v>
                </c:pt>
                <c:pt idx="96">
                  <c:v>7.6699299999999999</c:v>
                </c:pt>
                <c:pt idx="97">
                  <c:v>7.6687399999999997</c:v>
                </c:pt>
                <c:pt idx="98">
                  <c:v>7.6687399999999997</c:v>
                </c:pt>
                <c:pt idx="99">
                  <c:v>7.6687399999999997</c:v>
                </c:pt>
                <c:pt idx="100">
                  <c:v>7.6651199999999999</c:v>
                </c:pt>
                <c:pt idx="101">
                  <c:v>7.6635600000000004</c:v>
                </c:pt>
                <c:pt idx="102">
                  <c:v>7.6590100000000003</c:v>
                </c:pt>
                <c:pt idx="103">
                  <c:v>7.6590100000000003</c:v>
                </c:pt>
                <c:pt idx="104">
                  <c:v>7.6590100000000003</c:v>
                </c:pt>
                <c:pt idx="105">
                  <c:v>7.6590100000000003</c:v>
                </c:pt>
                <c:pt idx="106">
                  <c:v>7.6590100000000003</c:v>
                </c:pt>
                <c:pt idx="107">
                  <c:v>7.6584899999999996</c:v>
                </c:pt>
                <c:pt idx="108">
                  <c:v>7.6559900000000001</c:v>
                </c:pt>
                <c:pt idx="109">
                  <c:v>7.6557599999999999</c:v>
                </c:pt>
                <c:pt idx="110">
                  <c:v>7.6544600000000003</c:v>
                </c:pt>
                <c:pt idx="111">
                  <c:v>7.6530899999999997</c:v>
                </c:pt>
                <c:pt idx="112">
                  <c:v>7.6530899999999997</c:v>
                </c:pt>
                <c:pt idx="113">
                  <c:v>7.6530899999999997</c:v>
                </c:pt>
                <c:pt idx="114">
                  <c:v>7.6509</c:v>
                </c:pt>
                <c:pt idx="115">
                  <c:v>7.65144</c:v>
                </c:pt>
                <c:pt idx="116">
                  <c:v>7.6535299999999999</c:v>
                </c:pt>
                <c:pt idx="117">
                  <c:v>7.6577500000000001</c:v>
                </c:pt>
                <c:pt idx="118">
                  <c:v>7.6651699999999998</c:v>
                </c:pt>
                <c:pt idx="119">
                  <c:v>7.6651699999999998</c:v>
                </c:pt>
                <c:pt idx="120">
                  <c:v>7.6651699999999998</c:v>
                </c:pt>
                <c:pt idx="121">
                  <c:v>7.6651699999999998</c:v>
                </c:pt>
                <c:pt idx="122">
                  <c:v>7.6614000000000004</c:v>
                </c:pt>
                <c:pt idx="123">
                  <c:v>7.6658200000000001</c:v>
                </c:pt>
                <c:pt idx="124">
                  <c:v>7.67075</c:v>
                </c:pt>
                <c:pt idx="125">
                  <c:v>7.6679500000000003</c:v>
                </c:pt>
                <c:pt idx="126">
                  <c:v>7.6679500000000003</c:v>
                </c:pt>
                <c:pt idx="127">
                  <c:v>7.6679500000000003</c:v>
                </c:pt>
                <c:pt idx="128">
                  <c:v>7.6670600000000002</c:v>
                </c:pt>
                <c:pt idx="129">
                  <c:v>7.6632600000000002</c:v>
                </c:pt>
                <c:pt idx="130">
                  <c:v>7.6676399999999996</c:v>
                </c:pt>
                <c:pt idx="131">
                  <c:v>7.6694500000000003</c:v>
                </c:pt>
                <c:pt idx="132">
                  <c:v>7.6691500000000001</c:v>
                </c:pt>
                <c:pt idx="133">
                  <c:v>7.6691500000000001</c:v>
                </c:pt>
                <c:pt idx="134">
                  <c:v>7.6691500000000001</c:v>
                </c:pt>
                <c:pt idx="135">
                  <c:v>7.6647499999999997</c:v>
                </c:pt>
                <c:pt idx="136">
                  <c:v>7.6661200000000003</c:v>
                </c:pt>
                <c:pt idx="137">
                  <c:v>7.6664199999999996</c:v>
                </c:pt>
                <c:pt idx="138">
                  <c:v>7.6670299999999996</c:v>
                </c:pt>
                <c:pt idx="139">
                  <c:v>7.6669200000000002</c:v>
                </c:pt>
                <c:pt idx="140">
                  <c:v>7.6669200000000002</c:v>
                </c:pt>
                <c:pt idx="141">
                  <c:v>7.6669200000000002</c:v>
                </c:pt>
                <c:pt idx="142">
                  <c:v>7.6690300000000002</c:v>
                </c:pt>
                <c:pt idx="143">
                  <c:v>7.6677400000000002</c:v>
                </c:pt>
                <c:pt idx="144">
                  <c:v>7.67577</c:v>
                </c:pt>
                <c:pt idx="145">
                  <c:v>7.6731800000000003</c:v>
                </c:pt>
                <c:pt idx="146">
                  <c:v>7.6818999999999997</c:v>
                </c:pt>
                <c:pt idx="147">
                  <c:v>7.6818999999999997</c:v>
                </c:pt>
                <c:pt idx="148">
                  <c:v>7.6818999999999997</c:v>
                </c:pt>
                <c:pt idx="149">
                  <c:v>7.6776499999999999</c:v>
                </c:pt>
                <c:pt idx="150">
                  <c:v>7.6843399999999997</c:v>
                </c:pt>
                <c:pt idx="151">
                  <c:v>7.6955200000000001</c:v>
                </c:pt>
                <c:pt idx="152">
                  <c:v>7.7075800000000001</c:v>
                </c:pt>
                <c:pt idx="153">
                  <c:v>7.7124199999999998</c:v>
                </c:pt>
                <c:pt idx="154">
                  <c:v>7.7124199999999998</c:v>
                </c:pt>
                <c:pt idx="155">
                  <c:v>7.7124199999999998</c:v>
                </c:pt>
                <c:pt idx="156">
                  <c:v>7.7046599999999996</c:v>
                </c:pt>
                <c:pt idx="157">
                  <c:v>7.7070299999999996</c:v>
                </c:pt>
                <c:pt idx="158">
                  <c:v>7.7207400000000002</c:v>
                </c:pt>
                <c:pt idx="159">
                  <c:v>7.7260900000000001</c:v>
                </c:pt>
                <c:pt idx="160">
                  <c:v>7.7320599999999997</c:v>
                </c:pt>
                <c:pt idx="161">
                  <c:v>7.7320599999999997</c:v>
                </c:pt>
                <c:pt idx="162">
                  <c:v>7.7320599999999997</c:v>
                </c:pt>
                <c:pt idx="163">
                  <c:v>7.7310400000000001</c:v>
                </c:pt>
                <c:pt idx="164">
                  <c:v>7.7328099999999997</c:v>
                </c:pt>
                <c:pt idx="165">
                  <c:v>7.7388599999999999</c:v>
                </c:pt>
                <c:pt idx="166">
                  <c:v>7.7388899999999996</c:v>
                </c:pt>
                <c:pt idx="167">
                  <c:v>7.7404599999999997</c:v>
                </c:pt>
                <c:pt idx="168">
                  <c:v>7.7404599999999997</c:v>
                </c:pt>
                <c:pt idx="169">
                  <c:v>7.7404599999999997</c:v>
                </c:pt>
                <c:pt idx="170">
                  <c:v>7.7410199999999998</c:v>
                </c:pt>
                <c:pt idx="171">
                  <c:v>7.7496900000000002</c:v>
                </c:pt>
                <c:pt idx="172">
                  <c:v>7.7474499999999997</c:v>
                </c:pt>
                <c:pt idx="173">
                  <c:v>7.7510399999999997</c:v>
                </c:pt>
                <c:pt idx="174">
                  <c:v>7.7588999999999997</c:v>
                </c:pt>
                <c:pt idx="175">
                  <c:v>7.7588999999999997</c:v>
                </c:pt>
                <c:pt idx="176">
                  <c:v>7.7588999999999997</c:v>
                </c:pt>
                <c:pt idx="177">
                  <c:v>7.7540399999999998</c:v>
                </c:pt>
                <c:pt idx="178">
                  <c:v>7.7598000000000003</c:v>
                </c:pt>
                <c:pt idx="179">
                  <c:v>7.7581899999999999</c:v>
                </c:pt>
                <c:pt idx="180">
                  <c:v>7.7560799999999999</c:v>
                </c:pt>
                <c:pt idx="181">
                  <c:v>7.7560799999999999</c:v>
                </c:pt>
                <c:pt idx="182">
                  <c:v>7.7560799999999999</c:v>
                </c:pt>
                <c:pt idx="183">
                  <c:v>7.7560799999999999</c:v>
                </c:pt>
                <c:pt idx="184">
                  <c:v>7.7560799999999999</c:v>
                </c:pt>
                <c:pt idx="185">
                  <c:v>7.7528100000000002</c:v>
                </c:pt>
                <c:pt idx="186">
                  <c:v>7.74979</c:v>
                </c:pt>
                <c:pt idx="187">
                  <c:v>7.7465900000000003</c:v>
                </c:pt>
                <c:pt idx="188">
                  <c:v>7.7471199999999998</c:v>
                </c:pt>
                <c:pt idx="189">
                  <c:v>7.7471199999999998</c:v>
                </c:pt>
                <c:pt idx="190">
                  <c:v>7.7471199999999998</c:v>
                </c:pt>
                <c:pt idx="191">
                  <c:v>7.7436999999999996</c:v>
                </c:pt>
                <c:pt idx="192">
                  <c:v>7.7402800000000003</c:v>
                </c:pt>
                <c:pt idx="193">
                  <c:v>7.7385900000000003</c:v>
                </c:pt>
                <c:pt idx="194">
                  <c:v>7.7352600000000002</c:v>
                </c:pt>
                <c:pt idx="195">
                  <c:v>7.7355600000000004</c:v>
                </c:pt>
                <c:pt idx="196">
                  <c:v>7.7355600000000004</c:v>
                </c:pt>
                <c:pt idx="197">
                  <c:v>7.7355600000000004</c:v>
                </c:pt>
                <c:pt idx="198">
                  <c:v>7.7315899999999997</c:v>
                </c:pt>
                <c:pt idx="199">
                  <c:v>7.7279299999999997</c:v>
                </c:pt>
                <c:pt idx="200">
                  <c:v>7.7317400000000003</c:v>
                </c:pt>
                <c:pt idx="201">
                  <c:v>7.7292399999999999</c:v>
                </c:pt>
                <c:pt idx="202">
                  <c:v>7.7305200000000003</c:v>
                </c:pt>
                <c:pt idx="203">
                  <c:v>7.7305200000000003</c:v>
                </c:pt>
                <c:pt idx="204">
                  <c:v>7.7305200000000003</c:v>
                </c:pt>
                <c:pt idx="205">
                  <c:v>7.7278000000000002</c:v>
                </c:pt>
                <c:pt idx="206">
                  <c:v>7.7283299999999997</c:v>
                </c:pt>
                <c:pt idx="207">
                  <c:v>7.7317099999999996</c:v>
                </c:pt>
                <c:pt idx="208">
                  <c:v>7.7348499999999998</c:v>
                </c:pt>
                <c:pt idx="209">
                  <c:v>7.7365399999999998</c:v>
                </c:pt>
                <c:pt idx="210">
                  <c:v>7.7365399999999998</c:v>
                </c:pt>
                <c:pt idx="211">
                  <c:v>7.7365399999999998</c:v>
                </c:pt>
                <c:pt idx="212">
                  <c:v>7.7294600000000004</c:v>
                </c:pt>
                <c:pt idx="213">
                  <c:v>7.7284800000000002</c:v>
                </c:pt>
                <c:pt idx="214">
                  <c:v>7.73292</c:v>
                </c:pt>
                <c:pt idx="215">
                  <c:v>7.7332999999999998</c:v>
                </c:pt>
                <c:pt idx="216">
                  <c:v>7.7333699999999999</c:v>
                </c:pt>
                <c:pt idx="217">
                  <c:v>7.7333699999999999</c:v>
                </c:pt>
                <c:pt idx="218">
                  <c:v>7.7333699999999999</c:v>
                </c:pt>
                <c:pt idx="219">
                  <c:v>7.7298900000000001</c:v>
                </c:pt>
                <c:pt idx="220">
                  <c:v>7.7257999999999996</c:v>
                </c:pt>
                <c:pt idx="221">
                  <c:v>7.7324799999999998</c:v>
                </c:pt>
                <c:pt idx="222">
                  <c:v>7.7313200000000002</c:v>
                </c:pt>
                <c:pt idx="223">
                  <c:v>7.734</c:v>
                </c:pt>
                <c:pt idx="224">
                  <c:v>7.734</c:v>
                </c:pt>
                <c:pt idx="225">
                  <c:v>7.734</c:v>
                </c:pt>
                <c:pt idx="226">
                  <c:v>7.734</c:v>
                </c:pt>
                <c:pt idx="227">
                  <c:v>7.7264900000000001</c:v>
                </c:pt>
                <c:pt idx="228">
                  <c:v>7.72851</c:v>
                </c:pt>
                <c:pt idx="229">
                  <c:v>7.73095</c:v>
                </c:pt>
                <c:pt idx="230">
                  <c:v>7.7278000000000002</c:v>
                </c:pt>
                <c:pt idx="231">
                  <c:v>7.7278000000000002</c:v>
                </c:pt>
                <c:pt idx="232">
                  <c:v>7.7278000000000002</c:v>
                </c:pt>
                <c:pt idx="233">
                  <c:v>7.7271599999999996</c:v>
                </c:pt>
                <c:pt idx="234">
                  <c:v>7.7281500000000003</c:v>
                </c:pt>
                <c:pt idx="235">
                  <c:v>7.7305299999999999</c:v>
                </c:pt>
                <c:pt idx="236">
                  <c:v>7.7337999999999996</c:v>
                </c:pt>
                <c:pt idx="237">
                  <c:v>7.7336799999999997</c:v>
                </c:pt>
                <c:pt idx="238">
                  <c:v>7.7336799999999997</c:v>
                </c:pt>
                <c:pt idx="239">
                  <c:v>7.7336799999999997</c:v>
                </c:pt>
                <c:pt idx="240">
                  <c:v>7.7314699999999998</c:v>
                </c:pt>
                <c:pt idx="241">
                  <c:v>7.7309900000000003</c:v>
                </c:pt>
                <c:pt idx="242">
                  <c:v>7.7381900000000003</c:v>
                </c:pt>
                <c:pt idx="243">
                  <c:v>7.7408000000000001</c:v>
                </c:pt>
                <c:pt idx="244">
                  <c:v>7.74268</c:v>
                </c:pt>
                <c:pt idx="245">
                  <c:v>7.74268</c:v>
                </c:pt>
                <c:pt idx="246">
                  <c:v>7.74268</c:v>
                </c:pt>
                <c:pt idx="247">
                  <c:v>7.7410800000000002</c:v>
                </c:pt>
                <c:pt idx="248">
                  <c:v>7.7575500000000002</c:v>
                </c:pt>
                <c:pt idx="249">
                  <c:v>7.7584200000000001</c:v>
                </c:pt>
                <c:pt idx="250">
                  <c:v>7.7789299999999999</c:v>
                </c:pt>
                <c:pt idx="251">
                  <c:v>7.7968799999999998</c:v>
                </c:pt>
                <c:pt idx="252">
                  <c:v>7.7968799999999998</c:v>
                </c:pt>
                <c:pt idx="253">
                  <c:v>7.7968799999999998</c:v>
                </c:pt>
                <c:pt idx="254">
                  <c:v>7.7877400000000003</c:v>
                </c:pt>
                <c:pt idx="255">
                  <c:v>7.7889799999999996</c:v>
                </c:pt>
                <c:pt idx="256">
                  <c:v>7.7958499999999997</c:v>
                </c:pt>
                <c:pt idx="257">
                  <c:v>7.7958499999999997</c:v>
                </c:pt>
                <c:pt idx="258">
                  <c:v>7.7962600000000002</c:v>
                </c:pt>
                <c:pt idx="259">
                  <c:v>7.7962600000000002</c:v>
                </c:pt>
                <c:pt idx="260">
                  <c:v>7.7962600000000002</c:v>
                </c:pt>
                <c:pt idx="261">
                  <c:v>7.7998599999999998</c:v>
                </c:pt>
                <c:pt idx="262">
                  <c:v>7.80091</c:v>
                </c:pt>
                <c:pt idx="263">
                  <c:v>7.8138399999999999</c:v>
                </c:pt>
                <c:pt idx="264">
                  <c:v>7.8297499999999998</c:v>
                </c:pt>
                <c:pt idx="265">
                  <c:v>7.8419999999999996</c:v>
                </c:pt>
                <c:pt idx="266">
                  <c:v>7.8419999999999996</c:v>
                </c:pt>
                <c:pt idx="267">
                  <c:v>7.8419999999999996</c:v>
                </c:pt>
                <c:pt idx="268">
                  <c:v>7.8421799999999999</c:v>
                </c:pt>
                <c:pt idx="269">
                  <c:v>7.8457800000000004</c:v>
                </c:pt>
                <c:pt idx="270">
                  <c:v>7.85501</c:v>
                </c:pt>
                <c:pt idx="271">
                  <c:v>7.8628400000000003</c:v>
                </c:pt>
                <c:pt idx="272">
                  <c:v>7.88368</c:v>
                </c:pt>
                <c:pt idx="273">
                  <c:v>7.88368</c:v>
                </c:pt>
                <c:pt idx="274">
                  <c:v>7.88368</c:v>
                </c:pt>
                <c:pt idx="275">
                  <c:v>7.8985599999999998</c:v>
                </c:pt>
                <c:pt idx="276">
                  <c:v>7.9096299999999999</c:v>
                </c:pt>
                <c:pt idx="277">
                  <c:v>7.9123299999999999</c:v>
                </c:pt>
                <c:pt idx="278">
                  <c:v>7.9025999999999996</c:v>
                </c:pt>
                <c:pt idx="279">
                  <c:v>7.8933400000000002</c:v>
                </c:pt>
                <c:pt idx="280">
                  <c:v>7.8933400000000002</c:v>
                </c:pt>
                <c:pt idx="281">
                  <c:v>7.8933400000000002</c:v>
                </c:pt>
                <c:pt idx="282">
                  <c:v>7.87662</c:v>
                </c:pt>
                <c:pt idx="283">
                  <c:v>7.8757000000000001</c:v>
                </c:pt>
                <c:pt idx="284">
                  <c:v>7.8757000000000001</c:v>
                </c:pt>
                <c:pt idx="285">
                  <c:v>7.86625</c:v>
                </c:pt>
                <c:pt idx="286">
                  <c:v>7.86252</c:v>
                </c:pt>
                <c:pt idx="287">
                  <c:v>7.86252</c:v>
                </c:pt>
                <c:pt idx="288">
                  <c:v>7.86252</c:v>
                </c:pt>
                <c:pt idx="289">
                  <c:v>7.8576800000000002</c:v>
                </c:pt>
                <c:pt idx="290">
                  <c:v>7.8527500000000003</c:v>
                </c:pt>
                <c:pt idx="291">
                  <c:v>7.8515699999999997</c:v>
                </c:pt>
                <c:pt idx="292">
                  <c:v>7.8515699999999997</c:v>
                </c:pt>
                <c:pt idx="293">
                  <c:v>7.8483099999999997</c:v>
                </c:pt>
                <c:pt idx="294">
                  <c:v>7.8483099999999997</c:v>
                </c:pt>
                <c:pt idx="295">
                  <c:v>7.8483099999999997</c:v>
                </c:pt>
                <c:pt idx="296">
                  <c:v>7.8424800000000001</c:v>
                </c:pt>
                <c:pt idx="297">
                  <c:v>7.84511</c:v>
                </c:pt>
                <c:pt idx="298">
                  <c:v>7.8439899999999998</c:v>
                </c:pt>
                <c:pt idx="299">
                  <c:v>7.8365499999999999</c:v>
                </c:pt>
                <c:pt idx="300">
                  <c:v>7.83772</c:v>
                </c:pt>
                <c:pt idx="301">
                  <c:v>7.83772</c:v>
                </c:pt>
                <c:pt idx="302">
                  <c:v>7.83772</c:v>
                </c:pt>
                <c:pt idx="303">
                  <c:v>7.82857</c:v>
                </c:pt>
                <c:pt idx="304">
                  <c:v>7.82857</c:v>
                </c:pt>
                <c:pt idx="305">
                  <c:v>7.8249700000000004</c:v>
                </c:pt>
                <c:pt idx="306">
                  <c:v>7.8278400000000001</c:v>
                </c:pt>
                <c:pt idx="307">
                  <c:v>7.8219599999999998</c:v>
                </c:pt>
                <c:pt idx="308">
                  <c:v>7.8219599999999998</c:v>
                </c:pt>
                <c:pt idx="309">
                  <c:v>7.8219599999999998</c:v>
                </c:pt>
                <c:pt idx="310">
                  <c:v>7.8189799999999998</c:v>
                </c:pt>
                <c:pt idx="311">
                  <c:v>7.8131399999999998</c:v>
                </c:pt>
                <c:pt idx="312">
                  <c:v>7.8125900000000001</c:v>
                </c:pt>
                <c:pt idx="313">
                  <c:v>7.8116000000000003</c:v>
                </c:pt>
                <c:pt idx="314">
                  <c:v>7.8069199999999999</c:v>
                </c:pt>
                <c:pt idx="315">
                  <c:v>7.8069199999999999</c:v>
                </c:pt>
                <c:pt idx="316">
                  <c:v>7.8069199999999999</c:v>
                </c:pt>
                <c:pt idx="317">
                  <c:v>7.8053600000000003</c:v>
                </c:pt>
                <c:pt idx="318">
                  <c:v>7.7982300000000002</c:v>
                </c:pt>
                <c:pt idx="319">
                  <c:v>7.7983900000000004</c:v>
                </c:pt>
                <c:pt idx="320">
                  <c:v>7.7993600000000001</c:v>
                </c:pt>
                <c:pt idx="321">
                  <c:v>7.7977299999999996</c:v>
                </c:pt>
                <c:pt idx="322">
                  <c:v>7.7977299999999996</c:v>
                </c:pt>
                <c:pt idx="323">
                  <c:v>7.7977299999999996</c:v>
                </c:pt>
                <c:pt idx="324">
                  <c:v>7.7937200000000004</c:v>
                </c:pt>
                <c:pt idx="325">
                  <c:v>7.80497</c:v>
                </c:pt>
                <c:pt idx="326">
                  <c:v>7.8146800000000001</c:v>
                </c:pt>
                <c:pt idx="327">
                  <c:v>7.8182999999999998</c:v>
                </c:pt>
                <c:pt idx="328">
                  <c:v>7.8261900000000004</c:v>
                </c:pt>
                <c:pt idx="329">
                  <c:v>7.8261900000000004</c:v>
                </c:pt>
                <c:pt idx="330">
                  <c:v>7.8261900000000004</c:v>
                </c:pt>
                <c:pt idx="331">
                  <c:v>7.8199800000000002</c:v>
                </c:pt>
                <c:pt idx="332">
                  <c:v>7.8276599999999998</c:v>
                </c:pt>
                <c:pt idx="333">
                  <c:v>7.8413399999999998</c:v>
                </c:pt>
                <c:pt idx="334">
                  <c:v>7.8414299999999999</c:v>
                </c:pt>
                <c:pt idx="335">
                  <c:v>7.8587499999999997</c:v>
                </c:pt>
                <c:pt idx="336">
                  <c:v>7.8587499999999997</c:v>
                </c:pt>
                <c:pt idx="337">
                  <c:v>7.8587499999999997</c:v>
                </c:pt>
                <c:pt idx="338">
                  <c:v>7.8753399999999996</c:v>
                </c:pt>
                <c:pt idx="339">
                  <c:v>7.9091199999999997</c:v>
                </c:pt>
                <c:pt idx="340">
                  <c:v>7.9302400000000004</c:v>
                </c:pt>
                <c:pt idx="341">
                  <c:v>7.9090100000000003</c:v>
                </c:pt>
                <c:pt idx="342">
                  <c:v>7.8963400000000004</c:v>
                </c:pt>
                <c:pt idx="343">
                  <c:v>7.8963400000000004</c:v>
                </c:pt>
                <c:pt idx="344">
                  <c:v>7.8963400000000004</c:v>
                </c:pt>
                <c:pt idx="345">
                  <c:v>7.8817399999999997</c:v>
                </c:pt>
                <c:pt idx="346">
                  <c:v>7.8740199999999998</c:v>
                </c:pt>
                <c:pt idx="347">
                  <c:v>7.8770199999999999</c:v>
                </c:pt>
                <c:pt idx="348">
                  <c:v>7.8662700000000001</c:v>
                </c:pt>
                <c:pt idx="349">
                  <c:v>7.8691199999999997</c:v>
                </c:pt>
                <c:pt idx="350">
                  <c:v>7.8691199999999997</c:v>
                </c:pt>
                <c:pt idx="351">
                  <c:v>7.8691199999999997</c:v>
                </c:pt>
                <c:pt idx="352">
                  <c:v>7.8583600000000002</c:v>
                </c:pt>
                <c:pt idx="353">
                  <c:v>7.8559900000000003</c:v>
                </c:pt>
                <c:pt idx="354">
                  <c:v>7.85419</c:v>
                </c:pt>
                <c:pt idx="355">
                  <c:v>7.85527</c:v>
                </c:pt>
                <c:pt idx="356">
                  <c:v>7.8491400000000002</c:v>
                </c:pt>
                <c:pt idx="357">
                  <c:v>7.8491400000000002</c:v>
                </c:pt>
                <c:pt idx="358">
                  <c:v>7.8491400000000002</c:v>
                </c:pt>
                <c:pt idx="359">
                  <c:v>7.8491400000000002</c:v>
                </c:pt>
                <c:pt idx="360">
                  <c:v>7.8473899999999999</c:v>
                </c:pt>
                <c:pt idx="361">
                  <c:v>7.8502799999999997</c:v>
                </c:pt>
                <c:pt idx="362">
                  <c:v>7.85222</c:v>
                </c:pt>
                <c:pt idx="363">
                  <c:v>7.85222</c:v>
                </c:pt>
                <c:pt idx="364">
                  <c:v>7.85222</c:v>
                </c:pt>
              </c:numCache>
            </c:numRef>
          </c:val>
          <c:smooth val="0"/>
          <c:extLst>
            <c:ext xmlns:c16="http://schemas.microsoft.com/office/drawing/2014/chart" uri="{C3380CC4-5D6E-409C-BE32-E72D297353CC}">
              <c16:uniqueId val="{00000003-65DE-4E74-9299-919A1DA9B838}"/>
            </c:ext>
          </c:extLst>
        </c:ser>
        <c:dLbls>
          <c:showLegendKey val="0"/>
          <c:showVal val="0"/>
          <c:showCatName val="0"/>
          <c:showSerName val="0"/>
          <c:showPercent val="0"/>
          <c:showBubbleSize val="0"/>
        </c:dLbls>
        <c:smooth val="0"/>
        <c:axId val="1500902960"/>
        <c:axId val="1500871760"/>
      </c:lineChart>
      <c:dateAx>
        <c:axId val="1500902960"/>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500871760"/>
        <c:crosses val="autoZero"/>
        <c:auto val="1"/>
        <c:lblOffset val="100"/>
        <c:baseTimeUnit val="days"/>
      </c:dateAx>
      <c:valAx>
        <c:axId val="1500871760"/>
        <c:scaling>
          <c:orientation val="minMax"/>
          <c:min val="7.6"/>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sz="900"/>
                  <a:t>Quetzales por</a:t>
                </a:r>
                <a:r>
                  <a:rPr lang="es-GT" sz="900" baseline="0"/>
                  <a:t> USD$</a:t>
                </a:r>
                <a:endParaRPr lang="es-GT" sz="900"/>
              </a:p>
            </c:rich>
          </c:tx>
          <c:overlay val="0"/>
          <c:spPr>
            <a:noFill/>
            <a:ln>
              <a:noFill/>
            </a:ln>
            <a:effectLst/>
          </c:spPr>
        </c:title>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500902960"/>
        <c:crosses val="autoZero"/>
        <c:crossBetween val="between"/>
      </c:valAx>
    </c:plotArea>
    <c:plotVisOnly val="1"/>
    <c:dispBlanksAs val="gap"/>
    <c:showDLblsOverMax val="0"/>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133962962962966"/>
          <c:y val="6.4675925925925928E-2"/>
          <c:w val="0.7232473322627192"/>
          <c:h val="0.75960416666666664"/>
        </c:manualLayout>
      </c:layout>
      <c:lineChart>
        <c:grouping val="standard"/>
        <c:varyColors val="0"/>
        <c:ser>
          <c:idx val="0"/>
          <c:order val="0"/>
          <c:tx>
            <c:strRef>
              <c:f>lidChart!$B$2</c:f>
              <c:strCache>
                <c:ptCount val="1"/>
                <c:pt idx="0">
                  <c:v> Tipo de cambio  </c:v>
                </c:pt>
              </c:strCache>
            </c:strRef>
          </c:tx>
          <c:spPr>
            <a:ln w="15875" cap="rnd">
              <a:solidFill>
                <a:srgbClr val="5B9BD5"/>
              </a:solidFill>
              <a:round/>
            </a:ln>
            <a:effectLst/>
          </c:spPr>
          <c:marker>
            <c:symbol val="none"/>
          </c:marker>
          <c:dLbls>
            <c:dLbl>
              <c:idx val="13"/>
              <c:layout>
                <c:manualLayout>
                  <c:x val="-0.11291460832745237"/>
                  <c:y val="-4.7044986768597488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4BF-4D70-BBEC-67543DBFC805}"/>
                </c:ext>
              </c:extLst>
            </c:dLbl>
            <c:dLbl>
              <c:idx val="28"/>
              <c:layout>
                <c:manualLayout>
                  <c:x val="-0.11291460832745245"/>
                  <c:y val="-5.2925610114672207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4BF-4D70-BBEC-67543DBFC805}"/>
                </c:ext>
              </c:extLst>
            </c:dLbl>
            <c:dLbl>
              <c:idx val="41"/>
              <c:layout>
                <c:manualLayout>
                  <c:x val="-2.3523876734885908E-2"/>
                  <c:y val="-1.1761246692149369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4BF-4D70-BBEC-67543DBFC805}"/>
                </c:ext>
              </c:extLst>
            </c:dLbl>
            <c:dLbl>
              <c:idx val="44"/>
              <c:layout>
                <c:manualLayout>
                  <c:x val="-0.1505528111032699"/>
                  <c:y val="-2.9403116730373418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4BF-4D70-BBEC-67543DBFC805}"/>
                </c:ext>
              </c:extLst>
            </c:dLbl>
            <c:dLbl>
              <c:idx val="47"/>
              <c:layout>
                <c:manualLayout>
                  <c:x val="-9.4095506939545354E-3"/>
                  <c:y val="-5.8806233460746836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4BF-4D70-BBEC-67543DBFC80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lidChart!$A$3:$A$50</c:f>
              <c:numCache>
                <c:formatCode>mmm\-yy</c:formatCode>
                <c:ptCount val="48"/>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pt idx="15">
                  <c:v>43922</c:v>
                </c:pt>
                <c:pt idx="16">
                  <c:v>43952</c:v>
                </c:pt>
                <c:pt idx="17">
                  <c:v>43983</c:v>
                </c:pt>
                <c:pt idx="18">
                  <c:v>44013</c:v>
                </c:pt>
                <c:pt idx="19">
                  <c:v>44044</c:v>
                </c:pt>
                <c:pt idx="20">
                  <c:v>44075</c:v>
                </c:pt>
                <c:pt idx="21">
                  <c:v>44105</c:v>
                </c:pt>
                <c:pt idx="22">
                  <c:v>44136</c:v>
                </c:pt>
                <c:pt idx="23">
                  <c:v>44166</c:v>
                </c:pt>
                <c:pt idx="24">
                  <c:v>44197</c:v>
                </c:pt>
                <c:pt idx="25">
                  <c:v>44228</c:v>
                </c:pt>
                <c:pt idx="26">
                  <c:v>44256</c:v>
                </c:pt>
                <c:pt idx="27">
                  <c:v>44287</c:v>
                </c:pt>
                <c:pt idx="28">
                  <c:v>44317</c:v>
                </c:pt>
                <c:pt idx="29">
                  <c:v>44348</c:v>
                </c:pt>
                <c:pt idx="30">
                  <c:v>44378</c:v>
                </c:pt>
                <c:pt idx="31">
                  <c:v>44409</c:v>
                </c:pt>
                <c:pt idx="32">
                  <c:v>44440</c:v>
                </c:pt>
                <c:pt idx="33">
                  <c:v>44470</c:v>
                </c:pt>
                <c:pt idx="34">
                  <c:v>44501</c:v>
                </c:pt>
                <c:pt idx="35">
                  <c:v>44531</c:v>
                </c:pt>
                <c:pt idx="36">
                  <c:v>44562</c:v>
                </c:pt>
                <c:pt idx="37">
                  <c:v>44593</c:v>
                </c:pt>
                <c:pt idx="38">
                  <c:v>44621</c:v>
                </c:pt>
                <c:pt idx="39">
                  <c:v>44652</c:v>
                </c:pt>
                <c:pt idx="40">
                  <c:v>44682</c:v>
                </c:pt>
                <c:pt idx="41">
                  <c:v>44713</c:v>
                </c:pt>
                <c:pt idx="42">
                  <c:v>44743</c:v>
                </c:pt>
                <c:pt idx="43">
                  <c:v>44774</c:v>
                </c:pt>
                <c:pt idx="44">
                  <c:v>44805</c:v>
                </c:pt>
                <c:pt idx="45">
                  <c:v>44835</c:v>
                </c:pt>
                <c:pt idx="46">
                  <c:v>44866</c:v>
                </c:pt>
                <c:pt idx="47">
                  <c:v>44896</c:v>
                </c:pt>
              </c:numCache>
            </c:numRef>
          </c:cat>
          <c:val>
            <c:numRef>
              <c:f>lidChart!$B$3:$B$50</c:f>
              <c:numCache>
                <c:formatCode>_(* #,##0.00_);_(* \(#,##0.00\);_(* "-"??_);_(@_)</c:formatCode>
                <c:ptCount val="48"/>
                <c:pt idx="0">
                  <c:v>2.75</c:v>
                </c:pt>
                <c:pt idx="1">
                  <c:v>2.75</c:v>
                </c:pt>
                <c:pt idx="2">
                  <c:v>2.75</c:v>
                </c:pt>
                <c:pt idx="3">
                  <c:v>2.75</c:v>
                </c:pt>
                <c:pt idx="4">
                  <c:v>2.75</c:v>
                </c:pt>
                <c:pt idx="5">
                  <c:v>2.75</c:v>
                </c:pt>
                <c:pt idx="6">
                  <c:v>2.75</c:v>
                </c:pt>
                <c:pt idx="7">
                  <c:v>2.75</c:v>
                </c:pt>
                <c:pt idx="8">
                  <c:v>2.75</c:v>
                </c:pt>
                <c:pt idx="9">
                  <c:v>2.75</c:v>
                </c:pt>
                <c:pt idx="10">
                  <c:v>2.75</c:v>
                </c:pt>
                <c:pt idx="11">
                  <c:v>2.75</c:v>
                </c:pt>
                <c:pt idx="12">
                  <c:v>2.75</c:v>
                </c:pt>
                <c:pt idx="13">
                  <c:v>2.75</c:v>
                </c:pt>
                <c:pt idx="14">
                  <c:v>2</c:v>
                </c:pt>
                <c:pt idx="15">
                  <c:v>2</c:v>
                </c:pt>
                <c:pt idx="16">
                  <c:v>2</c:v>
                </c:pt>
                <c:pt idx="17">
                  <c:v>1.75</c:v>
                </c:pt>
                <c:pt idx="18">
                  <c:v>1.75</c:v>
                </c:pt>
                <c:pt idx="19">
                  <c:v>1.75</c:v>
                </c:pt>
                <c:pt idx="20">
                  <c:v>1.75</c:v>
                </c:pt>
                <c:pt idx="21">
                  <c:v>1.75</c:v>
                </c:pt>
                <c:pt idx="22">
                  <c:v>1.75</c:v>
                </c:pt>
                <c:pt idx="23">
                  <c:v>1.75</c:v>
                </c:pt>
                <c:pt idx="24">
                  <c:v>1.75</c:v>
                </c:pt>
                <c:pt idx="25">
                  <c:v>1.75</c:v>
                </c:pt>
                <c:pt idx="26">
                  <c:v>1.75</c:v>
                </c:pt>
                <c:pt idx="27">
                  <c:v>1.75</c:v>
                </c:pt>
                <c:pt idx="28">
                  <c:v>1.75</c:v>
                </c:pt>
                <c:pt idx="29">
                  <c:v>1.75</c:v>
                </c:pt>
                <c:pt idx="30">
                  <c:v>1.75</c:v>
                </c:pt>
                <c:pt idx="31">
                  <c:v>1.75</c:v>
                </c:pt>
                <c:pt idx="32">
                  <c:v>1.75</c:v>
                </c:pt>
                <c:pt idx="33">
                  <c:v>1.75</c:v>
                </c:pt>
                <c:pt idx="34">
                  <c:v>1.75</c:v>
                </c:pt>
                <c:pt idx="35">
                  <c:v>1.75</c:v>
                </c:pt>
                <c:pt idx="36">
                  <c:v>1.75</c:v>
                </c:pt>
                <c:pt idx="37">
                  <c:v>1.75</c:v>
                </c:pt>
                <c:pt idx="38">
                  <c:v>1.75</c:v>
                </c:pt>
                <c:pt idx="39">
                  <c:v>1.75</c:v>
                </c:pt>
                <c:pt idx="40">
                  <c:v>2</c:v>
                </c:pt>
                <c:pt idx="41">
                  <c:v>2.25</c:v>
                </c:pt>
                <c:pt idx="42">
                  <c:v>2.25</c:v>
                </c:pt>
                <c:pt idx="43">
                  <c:v>2.75</c:v>
                </c:pt>
                <c:pt idx="44">
                  <c:v>3</c:v>
                </c:pt>
                <c:pt idx="45">
                  <c:v>3</c:v>
                </c:pt>
                <c:pt idx="46">
                  <c:v>3.75</c:v>
                </c:pt>
                <c:pt idx="47">
                  <c:v>3.75</c:v>
                </c:pt>
              </c:numCache>
            </c:numRef>
          </c:val>
          <c:smooth val="0"/>
          <c:extLst>
            <c:ext xmlns:c16="http://schemas.microsoft.com/office/drawing/2014/chart" uri="{C3380CC4-5D6E-409C-BE32-E72D297353CC}">
              <c16:uniqueId val="{00000005-04BF-4D70-BBEC-67543DBFC805}"/>
            </c:ext>
          </c:extLst>
        </c:ser>
        <c:dLbls>
          <c:showLegendKey val="0"/>
          <c:showVal val="0"/>
          <c:showCatName val="0"/>
          <c:showSerName val="0"/>
          <c:showPercent val="0"/>
          <c:showBubbleSize val="0"/>
        </c:dLbls>
        <c:smooth val="0"/>
        <c:axId val="1500902960"/>
        <c:axId val="1500871760"/>
      </c:lineChart>
      <c:dateAx>
        <c:axId val="1500902960"/>
        <c:scaling>
          <c:orientation val="minMax"/>
          <c:min val="43525"/>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500871760"/>
        <c:crosses val="autoZero"/>
        <c:auto val="1"/>
        <c:lblOffset val="100"/>
        <c:baseTimeUnit val="days"/>
      </c:dateAx>
      <c:valAx>
        <c:axId val="1500871760"/>
        <c:scaling>
          <c:orientation val="minMax"/>
          <c:min val="1"/>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sz="900" baseline="0"/>
                  <a:t>Porcentaje</a:t>
                </a:r>
                <a:endParaRPr lang="es-GT" sz="900"/>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title>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5009029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125540645447486E-2"/>
          <c:y val="7.7511746876854248E-2"/>
          <c:w val="0.89739085431222509"/>
          <c:h val="0.83653238609939551"/>
        </c:manualLayout>
      </c:layout>
      <c:barChart>
        <c:barDir val="col"/>
        <c:grouping val="clustered"/>
        <c:varyColors val="0"/>
        <c:ser>
          <c:idx val="0"/>
          <c:order val="0"/>
          <c:tx>
            <c:strRef>
              <c:f>Hoja1!$B$1</c:f>
              <c:strCache>
                <c:ptCount val="1"/>
                <c:pt idx="0">
                  <c:v>obs22-Pres</c:v>
                </c:pt>
              </c:strCache>
            </c:strRef>
          </c:tx>
          <c:spPr>
            <a:solidFill>
              <a:schemeClr val="accent1"/>
            </a:solidFill>
            <a:ln>
              <a:noFill/>
            </a:ln>
            <a:effectLst/>
          </c:spPr>
          <c:invertIfNegative val="0"/>
          <c:dLbls>
            <c:dLbl>
              <c:idx val="2"/>
              <c:layout>
                <c:manualLayout>
                  <c:x val="-4.516659656947226E-17"/>
                  <c:y val="1.6380016380016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5BE-4B6B-9C22-F9FC0E7C389C}"/>
                </c:ext>
              </c:extLst>
            </c:dLbl>
            <c:dLbl>
              <c:idx val="3"/>
              <c:layout>
                <c:manualLayout>
                  <c:x val="0"/>
                  <c:y val="-1.27307447485677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5BE-4B6B-9C22-F9FC0E7C389C}"/>
                </c:ext>
              </c:extLst>
            </c:dLbl>
            <c:dLbl>
              <c:idx val="4"/>
              <c:layout>
                <c:manualLayout>
                  <c:x val="-4.7125799415918077E-3"/>
                  <c:y val="-8.44959020419765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5BE-4B6B-9C22-F9FC0E7C389C}"/>
                </c:ext>
              </c:extLst>
            </c:dLbl>
            <c:dLbl>
              <c:idx val="5"/>
              <c:layout>
                <c:manualLayout>
                  <c:x val="2.35183443085605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5BE-4B6B-9C22-F9FC0E7C389C}"/>
                </c:ext>
              </c:extLst>
            </c:dLbl>
            <c:dLbl>
              <c:idx val="7"/>
              <c:layout>
                <c:manualLayout>
                  <c:x val="-8.7676334517210861E-17"/>
                  <c:y val="-3.18268618714194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5BE-4B6B-9C22-F9FC0E7C389C}"/>
                </c:ext>
              </c:extLst>
            </c:dLbl>
            <c:dLbl>
              <c:idx val="9"/>
              <c:layout>
                <c:manualLayout>
                  <c:x val="0"/>
                  <c:y val="8.190008190008190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5BE-4B6B-9C22-F9FC0E7C389C}"/>
                </c:ext>
              </c:extLst>
            </c:dLbl>
            <c:numFmt formatCode="#,##0.0" sourceLinked="0"/>
            <c:spPr>
              <a:noFill/>
              <a:ln>
                <a:noFill/>
              </a:ln>
              <a:effectLst/>
            </c:spPr>
            <c:txPr>
              <a:bodyPr rot="0" spcFirstLastPara="1" vertOverflow="ellipsis" vert="horz" wrap="square" anchor="ctr" anchorCtr="1"/>
              <a:lstStyle/>
              <a:p>
                <a:pPr>
                  <a:defRPr sz="8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Hoja1!$A$2:$A$13</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Hoja1!$B$2:$B$13</c:f>
              <c:numCache>
                <c:formatCode>0.0</c:formatCode>
                <c:ptCount val="12"/>
                <c:pt idx="0">
                  <c:v>445.41324728000018</c:v>
                </c:pt>
                <c:pt idx="1">
                  <c:v>462.07436109999981</c:v>
                </c:pt>
                <c:pt idx="2">
                  <c:v>659.96736344999954</c:v>
                </c:pt>
                <c:pt idx="3">
                  <c:v>503.19940836999967</c:v>
                </c:pt>
                <c:pt idx="4">
                  <c:v>543.47219115000007</c:v>
                </c:pt>
                <c:pt idx="5">
                  <c:v>769.74429944999974</c:v>
                </c:pt>
                <c:pt idx="6">
                  <c:v>485.97766229000035</c:v>
                </c:pt>
                <c:pt idx="7">
                  <c:v>645.0635853900003</c:v>
                </c:pt>
                <c:pt idx="8">
                  <c:v>801.15819144999978</c:v>
                </c:pt>
                <c:pt idx="9">
                  <c:v>439.69484246999991</c:v>
                </c:pt>
                <c:pt idx="10">
                  <c:v>514.37955406000037</c:v>
                </c:pt>
                <c:pt idx="11">
                  <c:v>714.17247220000081</c:v>
                </c:pt>
              </c:numCache>
            </c:numRef>
          </c:val>
          <c:extLst>
            <c:ext xmlns:c16="http://schemas.microsoft.com/office/drawing/2014/chart" uri="{C3380CC4-5D6E-409C-BE32-E72D297353CC}">
              <c16:uniqueId val="{00000006-E5BE-4B6B-9C22-F9FC0E7C389C}"/>
            </c:ext>
          </c:extLst>
        </c:ser>
        <c:dLbls>
          <c:showLegendKey val="0"/>
          <c:showVal val="0"/>
          <c:showCatName val="0"/>
          <c:showSerName val="0"/>
          <c:showPercent val="0"/>
          <c:showBubbleSize val="0"/>
        </c:dLbls>
        <c:gapWidth val="20"/>
        <c:overlap val="-27"/>
        <c:axId val="564470416"/>
        <c:axId val="564468448"/>
      </c:barChart>
      <c:lineChart>
        <c:grouping val="standard"/>
        <c:varyColors val="0"/>
        <c:ser>
          <c:idx val="1"/>
          <c:order val="1"/>
          <c:tx>
            <c:strRef>
              <c:f>Hoja1!$C$1</c:f>
              <c:strCache>
                <c:ptCount val="1"/>
                <c:pt idx="0">
                  <c:v>obs22-obs21</c:v>
                </c:pt>
              </c:strCache>
            </c:strRef>
          </c:tx>
          <c:spPr>
            <a:ln w="12700" cap="rnd">
              <a:solidFill>
                <a:srgbClr val="FF0000"/>
              </a:solidFill>
              <a:prstDash val="sysDot"/>
              <a:round/>
            </a:ln>
            <a:effectLst/>
          </c:spPr>
          <c:marker>
            <c:symbol val="circle"/>
            <c:size val="3"/>
            <c:spPr>
              <a:solidFill>
                <a:schemeClr val="bg1"/>
              </a:solidFill>
              <a:ln w="9525">
                <a:solidFill>
                  <a:srgbClr val="FF0000"/>
                </a:solidFill>
              </a:ln>
              <a:effectLst/>
            </c:spPr>
          </c:marker>
          <c:dLbls>
            <c:dLbl>
              <c:idx val="4"/>
              <c:layout>
                <c:manualLayout>
                  <c:x val="-3.873239436619718E-2"/>
                  <c:y val="0.1306079108043536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5BE-4B6B-9C22-F9FC0E7C389C}"/>
                </c:ext>
              </c:extLst>
            </c:dLbl>
            <c:numFmt formatCode="#,##0.0" sourceLinked="0"/>
            <c:spPr>
              <a:solidFill>
                <a:schemeClr val="bg1"/>
              </a:solidFill>
              <a:ln>
                <a:noFill/>
              </a:ln>
              <a:effectLst/>
            </c:spPr>
            <c:txPr>
              <a:bodyPr rot="0" spcFirstLastPara="1" vertOverflow="ellipsis" vert="horz" wrap="square" anchor="ctr" anchorCtr="1"/>
              <a:lstStyle/>
              <a:p>
                <a:pPr>
                  <a:defRPr sz="800" b="0"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3175" cap="flat" cmpd="sng" algn="ctr">
                      <a:solidFill>
                        <a:srgbClr val="FF0000"/>
                      </a:solidFill>
                      <a:prstDash val="sysDash"/>
                      <a:round/>
                    </a:ln>
                    <a:effectLst/>
                  </c:spPr>
                </c15:leaderLines>
              </c:ext>
            </c:extLst>
          </c:dLbls>
          <c:cat>
            <c:strRef>
              <c:f>Hoja1!$A$2:$A$13</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Hoja1!$C$2:$C$13</c:f>
              <c:numCache>
                <c:formatCode>0.0</c:formatCode>
                <c:ptCount val="12"/>
                <c:pt idx="0">
                  <c:v>409.57144527000037</c:v>
                </c:pt>
                <c:pt idx="1">
                  <c:v>414.07426062999957</c:v>
                </c:pt>
                <c:pt idx="2">
                  <c:v>542.61037931999999</c:v>
                </c:pt>
                <c:pt idx="3">
                  <c:v>481.70337168999959</c:v>
                </c:pt>
                <c:pt idx="4">
                  <c:v>642.27883131999988</c:v>
                </c:pt>
                <c:pt idx="5">
                  <c:v>694.3517470099996</c:v>
                </c:pt>
                <c:pt idx="6">
                  <c:v>498.41252887000019</c:v>
                </c:pt>
                <c:pt idx="7">
                  <c:v>675.92245927999966</c:v>
                </c:pt>
                <c:pt idx="8">
                  <c:v>708.90225163999958</c:v>
                </c:pt>
                <c:pt idx="9">
                  <c:v>400.28197703000069</c:v>
                </c:pt>
                <c:pt idx="10">
                  <c:v>368.76784962000056</c:v>
                </c:pt>
                <c:pt idx="11">
                  <c:v>582.18488102000083</c:v>
                </c:pt>
              </c:numCache>
            </c:numRef>
          </c:val>
          <c:smooth val="0"/>
          <c:extLst>
            <c:ext xmlns:c16="http://schemas.microsoft.com/office/drawing/2014/chart" uri="{C3380CC4-5D6E-409C-BE32-E72D297353CC}">
              <c16:uniqueId val="{00000008-E5BE-4B6B-9C22-F9FC0E7C389C}"/>
            </c:ext>
          </c:extLst>
        </c:ser>
        <c:dLbls>
          <c:showLegendKey val="0"/>
          <c:showVal val="0"/>
          <c:showCatName val="0"/>
          <c:showSerName val="0"/>
          <c:showPercent val="0"/>
          <c:showBubbleSize val="0"/>
        </c:dLbls>
        <c:marker val="1"/>
        <c:smooth val="0"/>
        <c:axId val="564470416"/>
        <c:axId val="564468448"/>
      </c:lineChart>
      <c:catAx>
        <c:axId val="56447041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564468448"/>
        <c:crosses val="autoZero"/>
        <c:auto val="1"/>
        <c:lblAlgn val="ctr"/>
        <c:lblOffset val="100"/>
        <c:noMultiLvlLbl val="0"/>
      </c:catAx>
      <c:valAx>
        <c:axId val="5644684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564470416"/>
        <c:crosses val="autoZero"/>
        <c:crossBetween val="between"/>
      </c:valAx>
      <c:spPr>
        <a:noFill/>
        <a:ln>
          <a:noFill/>
        </a:ln>
        <a:effectLst/>
      </c:spPr>
    </c:plotArea>
    <c:legend>
      <c:legendPos val="t"/>
      <c:layout>
        <c:manualLayout>
          <c:xMode val="edge"/>
          <c:yMode val="edge"/>
          <c:x val="0.26023936268529813"/>
          <c:y val="0"/>
          <c:w val="0.47952108979335328"/>
          <c:h val="8.6375627435572588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pPr>
      <a:endParaRPr lang="es-GT"/>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3220323972900677E-2"/>
          <c:y val="2.4685550669802634E-2"/>
          <c:w val="0.93366829807868457"/>
          <c:h val="0.86261793033446577"/>
        </c:manualLayout>
      </c:layout>
      <c:lineChart>
        <c:grouping val="standard"/>
        <c:varyColors val="0"/>
        <c:ser>
          <c:idx val="0"/>
          <c:order val="0"/>
          <c:tx>
            <c:strRef>
              <c:f>Hoja1!$B$1</c:f>
              <c:strCache>
                <c:ptCount val="1"/>
                <c:pt idx="0">
                  <c:v>2022-2021</c:v>
                </c:pt>
              </c:strCache>
            </c:strRef>
          </c:tx>
          <c:spPr>
            <a:ln w="22225" cap="rnd">
              <a:solidFill>
                <a:schemeClr val="accent1"/>
              </a:solidFill>
              <a:round/>
            </a:ln>
            <a:effectLst/>
          </c:spPr>
          <c:marker>
            <c:symbol val="circle"/>
            <c:size val="3"/>
            <c:spPr>
              <a:solidFill>
                <a:schemeClr val="bg1"/>
              </a:solidFill>
              <a:ln w="12700">
                <a:solidFill>
                  <a:schemeClr val="accent1"/>
                </a:solidFill>
                <a:round/>
              </a:ln>
              <a:effectLst/>
            </c:spPr>
          </c:marker>
          <c:dLbls>
            <c:dLbl>
              <c:idx val="35"/>
              <c:layout>
                <c:manualLayout>
                  <c:x val="-6.6159444260668211E-3"/>
                  <c:y val="8.17700817700817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0DB-4487-B050-4100EDAE2C5D}"/>
                </c:ext>
              </c:extLst>
            </c:dLbl>
            <c:dLbl>
              <c:idx val="47"/>
              <c:layout>
                <c:manualLayout>
                  <c:x val="-1.5437203660822582E-2"/>
                  <c:y val="4.81000481000481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0DB-4487-B050-4100EDAE2C5D}"/>
                </c:ext>
              </c:extLst>
            </c:dLbl>
            <c:spPr>
              <a:noFill/>
              <a:ln>
                <a:noFill/>
              </a:ln>
              <a:effectLst/>
            </c:spPr>
            <c:txPr>
              <a:bodyPr rot="0" spcFirstLastPara="1" vertOverflow="ellipsis" vert="horz" wrap="square" anchor="ctr" anchorCtr="1"/>
              <a:lstStyle/>
              <a:p>
                <a:pPr>
                  <a:defRPr sz="8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rgbClr val="0070C0"/>
                      </a:solidFill>
                      <a:prstDash val="sysDash"/>
                      <a:round/>
                    </a:ln>
                    <a:effectLst/>
                  </c:spPr>
                </c15:leaderLines>
              </c:ext>
            </c:extLst>
          </c:dLbls>
          <c:cat>
            <c:numRef>
              <c:f>Hoja1!$A$2:$A$49</c:f>
              <c:numCache>
                <c:formatCode>mmm\-yy</c:formatCode>
                <c:ptCount val="48"/>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pt idx="15">
                  <c:v>43922</c:v>
                </c:pt>
                <c:pt idx="16">
                  <c:v>43952</c:v>
                </c:pt>
                <c:pt idx="17">
                  <c:v>43983</c:v>
                </c:pt>
                <c:pt idx="18">
                  <c:v>44013</c:v>
                </c:pt>
                <c:pt idx="19">
                  <c:v>44044</c:v>
                </c:pt>
                <c:pt idx="20">
                  <c:v>44075</c:v>
                </c:pt>
                <c:pt idx="21">
                  <c:v>44105</c:v>
                </c:pt>
                <c:pt idx="22">
                  <c:v>44136</c:v>
                </c:pt>
                <c:pt idx="23">
                  <c:v>44166</c:v>
                </c:pt>
                <c:pt idx="24">
                  <c:v>44197</c:v>
                </c:pt>
                <c:pt idx="25">
                  <c:v>44228</c:v>
                </c:pt>
                <c:pt idx="26">
                  <c:v>44256</c:v>
                </c:pt>
                <c:pt idx="27">
                  <c:v>44287</c:v>
                </c:pt>
                <c:pt idx="28">
                  <c:v>44317</c:v>
                </c:pt>
                <c:pt idx="29">
                  <c:v>44348</c:v>
                </c:pt>
                <c:pt idx="30">
                  <c:v>44378</c:v>
                </c:pt>
                <c:pt idx="31">
                  <c:v>44409</c:v>
                </c:pt>
                <c:pt idx="32">
                  <c:v>44440</c:v>
                </c:pt>
                <c:pt idx="33">
                  <c:v>44470</c:v>
                </c:pt>
                <c:pt idx="34">
                  <c:v>44501</c:v>
                </c:pt>
                <c:pt idx="35">
                  <c:v>44531</c:v>
                </c:pt>
                <c:pt idx="36">
                  <c:v>44562</c:v>
                </c:pt>
                <c:pt idx="37">
                  <c:v>44593</c:v>
                </c:pt>
                <c:pt idx="38">
                  <c:v>44621</c:v>
                </c:pt>
                <c:pt idx="39">
                  <c:v>44652</c:v>
                </c:pt>
                <c:pt idx="40">
                  <c:v>44682</c:v>
                </c:pt>
                <c:pt idx="41">
                  <c:v>44713</c:v>
                </c:pt>
                <c:pt idx="42">
                  <c:v>44743</c:v>
                </c:pt>
                <c:pt idx="43">
                  <c:v>44774</c:v>
                </c:pt>
                <c:pt idx="44">
                  <c:v>44805</c:v>
                </c:pt>
                <c:pt idx="45">
                  <c:v>44835</c:v>
                </c:pt>
                <c:pt idx="46">
                  <c:v>44866</c:v>
                </c:pt>
                <c:pt idx="47">
                  <c:v>44896</c:v>
                </c:pt>
              </c:numCache>
            </c:numRef>
          </c:cat>
          <c:val>
            <c:numRef>
              <c:f>Hoja1!$B$2:$B$49</c:f>
              <c:numCache>
                <c:formatCode>0.0</c:formatCode>
                <c:ptCount val="48"/>
                <c:pt idx="0">
                  <c:v>51.38</c:v>
                </c:pt>
                <c:pt idx="1">
                  <c:v>55.01</c:v>
                </c:pt>
                <c:pt idx="2">
                  <c:v>58.17</c:v>
                </c:pt>
                <c:pt idx="3">
                  <c:v>63.88</c:v>
                </c:pt>
                <c:pt idx="4">
                  <c:v>60.77</c:v>
                </c:pt>
                <c:pt idx="5">
                  <c:v>54.71</c:v>
                </c:pt>
                <c:pt idx="6">
                  <c:v>57.54</c:v>
                </c:pt>
                <c:pt idx="7">
                  <c:v>54.84</c:v>
                </c:pt>
                <c:pt idx="8">
                  <c:v>56.88</c:v>
                </c:pt>
                <c:pt idx="9">
                  <c:v>54.01</c:v>
                </c:pt>
                <c:pt idx="10">
                  <c:v>57.12</c:v>
                </c:pt>
                <c:pt idx="11">
                  <c:v>59.86</c:v>
                </c:pt>
                <c:pt idx="12">
                  <c:v>57.53</c:v>
                </c:pt>
                <c:pt idx="13">
                  <c:v>50.54</c:v>
                </c:pt>
                <c:pt idx="14">
                  <c:v>30.45</c:v>
                </c:pt>
                <c:pt idx="15">
                  <c:v>16.7</c:v>
                </c:pt>
                <c:pt idx="16">
                  <c:v>28.53</c:v>
                </c:pt>
                <c:pt idx="17">
                  <c:v>38.31</c:v>
                </c:pt>
                <c:pt idx="18">
                  <c:v>40.770000000000003</c:v>
                </c:pt>
                <c:pt idx="19">
                  <c:v>42.39</c:v>
                </c:pt>
                <c:pt idx="20">
                  <c:v>39.630000000000003</c:v>
                </c:pt>
                <c:pt idx="21">
                  <c:v>39.56</c:v>
                </c:pt>
                <c:pt idx="22">
                  <c:v>41.13</c:v>
                </c:pt>
                <c:pt idx="23">
                  <c:v>47.02</c:v>
                </c:pt>
                <c:pt idx="24">
                  <c:v>52.1</c:v>
                </c:pt>
                <c:pt idx="25">
                  <c:v>59.06</c:v>
                </c:pt>
                <c:pt idx="26">
                  <c:v>62.36</c:v>
                </c:pt>
                <c:pt idx="27">
                  <c:v>61.7</c:v>
                </c:pt>
                <c:pt idx="28">
                  <c:v>65.16</c:v>
                </c:pt>
                <c:pt idx="29">
                  <c:v>71.349999999999994</c:v>
                </c:pt>
                <c:pt idx="30">
                  <c:v>72.430000000000007</c:v>
                </c:pt>
                <c:pt idx="31">
                  <c:v>67.709999999999994</c:v>
                </c:pt>
                <c:pt idx="32">
                  <c:v>71.55</c:v>
                </c:pt>
                <c:pt idx="33">
                  <c:v>81.22</c:v>
                </c:pt>
                <c:pt idx="34">
                  <c:v>79.180000000000007</c:v>
                </c:pt>
                <c:pt idx="35">
                  <c:v>71.69</c:v>
                </c:pt>
                <c:pt idx="36">
                  <c:v>82.98</c:v>
                </c:pt>
                <c:pt idx="37">
                  <c:v>91.63</c:v>
                </c:pt>
                <c:pt idx="38">
                  <c:v>108.26</c:v>
                </c:pt>
                <c:pt idx="39">
                  <c:v>101.64</c:v>
                </c:pt>
                <c:pt idx="40">
                  <c:v>109.26</c:v>
                </c:pt>
                <c:pt idx="41">
                  <c:v>114.34</c:v>
                </c:pt>
                <c:pt idx="42">
                  <c:v>99.39</c:v>
                </c:pt>
                <c:pt idx="43">
                  <c:v>91.48</c:v>
                </c:pt>
                <c:pt idx="44">
                  <c:v>83.8</c:v>
                </c:pt>
                <c:pt idx="45">
                  <c:v>87.03</c:v>
                </c:pt>
                <c:pt idx="46">
                  <c:v>84.39</c:v>
                </c:pt>
                <c:pt idx="47">
                  <c:v>76.52</c:v>
                </c:pt>
              </c:numCache>
            </c:numRef>
          </c:val>
          <c:smooth val="1"/>
          <c:extLst>
            <c:ext xmlns:c16="http://schemas.microsoft.com/office/drawing/2014/chart" uri="{C3380CC4-5D6E-409C-BE32-E72D297353CC}">
              <c16:uniqueId val="{00000002-70DB-4487-B050-4100EDAE2C5D}"/>
            </c:ext>
          </c:extLst>
        </c:ser>
        <c:ser>
          <c:idx val="1"/>
          <c:order val="1"/>
          <c:tx>
            <c:strRef>
              <c:f>Hoja1!$C$1</c:f>
              <c:strCache>
                <c:ptCount val="1"/>
                <c:pt idx="0">
                  <c:v>Precio Medio</c:v>
                </c:pt>
              </c:strCache>
            </c:strRef>
          </c:tx>
          <c:spPr>
            <a:ln w="12700" cap="rnd">
              <a:solidFill>
                <a:srgbClr val="FF0000"/>
              </a:solidFill>
              <a:prstDash val="sysDash"/>
              <a:round/>
            </a:ln>
            <a:effectLst/>
          </c:spPr>
          <c:marker>
            <c:symbol val="none"/>
          </c:marker>
          <c:dLbls>
            <c:dLbl>
              <c:idx val="0"/>
              <c:layout>
                <c:manualLayout>
                  <c:x val="7.2775388686735054E-2"/>
                  <c:y val="-0.10582010582010581"/>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0DB-4487-B050-4100EDAE2C5D}"/>
                </c:ext>
              </c:extLst>
            </c:dLbl>
            <c:dLbl>
              <c:idx val="15"/>
              <c:layout>
                <c:manualLayout>
                  <c:x val="-3.0874407321645165E-2"/>
                  <c:y val="-0.10101010101010109"/>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0DB-4487-B050-4100EDAE2C5D}"/>
                </c:ext>
              </c:extLst>
            </c:dLbl>
            <c:dLbl>
              <c:idx val="30"/>
              <c:layout>
                <c:manualLayout>
                  <c:x val="-3.6387694343367596E-2"/>
                  <c:y val="7.2150072150072062E-2"/>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5="http://schemas.microsoft.com/office/drawing/2012/chart" uri="{CE6537A1-D6FC-4f65-9D91-7224C49458BB}">
                  <c15:layout>
                    <c:manualLayout>
                      <c:w val="5.8992171132429154E-2"/>
                      <c:h val="6.4189703559782291E-2"/>
                    </c:manualLayout>
                  </c15:layout>
                </c:ext>
                <c:ext xmlns:c16="http://schemas.microsoft.com/office/drawing/2014/chart" uri="{C3380CC4-5D6E-409C-BE32-E72D297353CC}">
                  <c16:uniqueId val="{00000005-70DB-4487-B050-4100EDAE2C5D}"/>
                </c:ext>
              </c:extLst>
            </c:dLbl>
            <c:dLbl>
              <c:idx val="40"/>
              <c:layout>
                <c:manualLayout>
                  <c:x val="-1.9847833278200461E-2"/>
                  <c:y val="7.6960076960076909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0DB-4487-B050-4100EDAE2C5D}"/>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Hoja1!$A$2:$A$49</c:f>
              <c:numCache>
                <c:formatCode>mmm\-yy</c:formatCode>
                <c:ptCount val="48"/>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pt idx="15">
                  <c:v>43922</c:v>
                </c:pt>
                <c:pt idx="16">
                  <c:v>43952</c:v>
                </c:pt>
                <c:pt idx="17">
                  <c:v>43983</c:v>
                </c:pt>
                <c:pt idx="18">
                  <c:v>44013</c:v>
                </c:pt>
                <c:pt idx="19">
                  <c:v>44044</c:v>
                </c:pt>
                <c:pt idx="20">
                  <c:v>44075</c:v>
                </c:pt>
                <c:pt idx="21">
                  <c:v>44105</c:v>
                </c:pt>
                <c:pt idx="22">
                  <c:v>44136</c:v>
                </c:pt>
                <c:pt idx="23">
                  <c:v>44166</c:v>
                </c:pt>
                <c:pt idx="24">
                  <c:v>44197</c:v>
                </c:pt>
                <c:pt idx="25">
                  <c:v>44228</c:v>
                </c:pt>
                <c:pt idx="26">
                  <c:v>44256</c:v>
                </c:pt>
                <c:pt idx="27">
                  <c:v>44287</c:v>
                </c:pt>
                <c:pt idx="28">
                  <c:v>44317</c:v>
                </c:pt>
                <c:pt idx="29">
                  <c:v>44348</c:v>
                </c:pt>
                <c:pt idx="30">
                  <c:v>44378</c:v>
                </c:pt>
                <c:pt idx="31">
                  <c:v>44409</c:v>
                </c:pt>
                <c:pt idx="32">
                  <c:v>44440</c:v>
                </c:pt>
                <c:pt idx="33">
                  <c:v>44470</c:v>
                </c:pt>
                <c:pt idx="34">
                  <c:v>44501</c:v>
                </c:pt>
                <c:pt idx="35">
                  <c:v>44531</c:v>
                </c:pt>
                <c:pt idx="36">
                  <c:v>44562</c:v>
                </c:pt>
                <c:pt idx="37">
                  <c:v>44593</c:v>
                </c:pt>
                <c:pt idx="38">
                  <c:v>44621</c:v>
                </c:pt>
                <c:pt idx="39">
                  <c:v>44652</c:v>
                </c:pt>
                <c:pt idx="40">
                  <c:v>44682</c:v>
                </c:pt>
                <c:pt idx="41">
                  <c:v>44713</c:v>
                </c:pt>
                <c:pt idx="42">
                  <c:v>44743</c:v>
                </c:pt>
                <c:pt idx="43">
                  <c:v>44774</c:v>
                </c:pt>
                <c:pt idx="44">
                  <c:v>44805</c:v>
                </c:pt>
                <c:pt idx="45">
                  <c:v>44835</c:v>
                </c:pt>
                <c:pt idx="46">
                  <c:v>44866</c:v>
                </c:pt>
                <c:pt idx="47">
                  <c:v>44896</c:v>
                </c:pt>
              </c:numCache>
            </c:numRef>
          </c:cat>
          <c:val>
            <c:numRef>
              <c:f>Hoja1!$C$2:$C$49</c:f>
              <c:numCache>
                <c:formatCode>#,##0.0</c:formatCode>
                <c:ptCount val="48"/>
                <c:pt idx="0">
                  <c:v>57.014166666666661</c:v>
                </c:pt>
                <c:pt idx="1">
                  <c:v>57.014166666666661</c:v>
                </c:pt>
                <c:pt idx="2">
                  <c:v>57.014166666666661</c:v>
                </c:pt>
                <c:pt idx="3">
                  <c:v>57.014166666666661</c:v>
                </c:pt>
                <c:pt idx="4">
                  <c:v>57.014166666666661</c:v>
                </c:pt>
                <c:pt idx="5">
                  <c:v>57.014166666666661</c:v>
                </c:pt>
                <c:pt idx="6">
                  <c:v>57.014166666666661</c:v>
                </c:pt>
                <c:pt idx="7">
                  <c:v>57.014166666666661</c:v>
                </c:pt>
                <c:pt idx="8">
                  <c:v>57.014166666666661</c:v>
                </c:pt>
                <c:pt idx="9">
                  <c:v>57.014166666666661</c:v>
                </c:pt>
                <c:pt idx="10">
                  <c:v>57.014166666666661</c:v>
                </c:pt>
                <c:pt idx="11">
                  <c:v>57.014166666666661</c:v>
                </c:pt>
                <c:pt idx="12">
                  <c:v>39.379999999999995</c:v>
                </c:pt>
                <c:pt idx="13">
                  <c:v>39.379999999999995</c:v>
                </c:pt>
                <c:pt idx="14">
                  <c:v>39.379999999999995</c:v>
                </c:pt>
                <c:pt idx="15">
                  <c:v>39.379999999999995</c:v>
                </c:pt>
                <c:pt idx="16">
                  <c:v>39.379999999999995</c:v>
                </c:pt>
                <c:pt idx="17">
                  <c:v>39.379999999999995</c:v>
                </c:pt>
                <c:pt idx="18">
                  <c:v>39.379999999999995</c:v>
                </c:pt>
                <c:pt idx="19">
                  <c:v>39.379999999999995</c:v>
                </c:pt>
                <c:pt idx="20">
                  <c:v>39.379999999999995</c:v>
                </c:pt>
                <c:pt idx="21">
                  <c:v>39.379999999999995</c:v>
                </c:pt>
                <c:pt idx="22">
                  <c:v>39.379999999999995</c:v>
                </c:pt>
                <c:pt idx="23">
                  <c:v>39.379999999999995</c:v>
                </c:pt>
                <c:pt idx="24">
                  <c:v>67.959166666666661</c:v>
                </c:pt>
                <c:pt idx="25">
                  <c:v>67.959166666666661</c:v>
                </c:pt>
                <c:pt idx="26">
                  <c:v>67.959166666666661</c:v>
                </c:pt>
                <c:pt idx="27">
                  <c:v>67.959166666666661</c:v>
                </c:pt>
                <c:pt idx="28">
                  <c:v>67.959166666666661</c:v>
                </c:pt>
                <c:pt idx="29">
                  <c:v>67.959166666666661</c:v>
                </c:pt>
                <c:pt idx="30">
                  <c:v>67.959166666666661</c:v>
                </c:pt>
                <c:pt idx="31">
                  <c:v>67.959166666666661</c:v>
                </c:pt>
                <c:pt idx="32">
                  <c:v>67.959166666666661</c:v>
                </c:pt>
                <c:pt idx="33">
                  <c:v>67.959166666666661</c:v>
                </c:pt>
                <c:pt idx="34">
                  <c:v>67.959166666666661</c:v>
                </c:pt>
                <c:pt idx="35">
                  <c:v>67.959166666666661</c:v>
                </c:pt>
                <c:pt idx="36">
                  <c:v>94.226666666666674</c:v>
                </c:pt>
                <c:pt idx="37">
                  <c:v>94.226666666666674</c:v>
                </c:pt>
                <c:pt idx="38">
                  <c:v>94.226666666666674</c:v>
                </c:pt>
                <c:pt idx="39">
                  <c:v>94.226666666666674</c:v>
                </c:pt>
                <c:pt idx="40">
                  <c:v>94.226666666666674</c:v>
                </c:pt>
                <c:pt idx="41">
                  <c:v>94.226666666666674</c:v>
                </c:pt>
                <c:pt idx="42">
                  <c:v>94.226666666666674</c:v>
                </c:pt>
                <c:pt idx="43">
                  <c:v>94.226666666666674</c:v>
                </c:pt>
                <c:pt idx="44">
                  <c:v>94.226666666666674</c:v>
                </c:pt>
                <c:pt idx="45">
                  <c:v>94.226666666666674</c:v>
                </c:pt>
                <c:pt idx="46">
                  <c:v>94.226666666666674</c:v>
                </c:pt>
                <c:pt idx="47">
                  <c:v>94.226666666666674</c:v>
                </c:pt>
              </c:numCache>
            </c:numRef>
          </c:val>
          <c:smooth val="0"/>
          <c:extLst>
            <c:ext xmlns:c16="http://schemas.microsoft.com/office/drawing/2014/chart" uri="{C3380CC4-5D6E-409C-BE32-E72D297353CC}">
              <c16:uniqueId val="{00000007-70DB-4487-B050-4100EDAE2C5D}"/>
            </c:ext>
          </c:extLst>
        </c:ser>
        <c:dLbls>
          <c:showLegendKey val="0"/>
          <c:showVal val="0"/>
          <c:showCatName val="0"/>
          <c:showSerName val="0"/>
          <c:showPercent val="0"/>
          <c:showBubbleSize val="0"/>
        </c:dLbls>
        <c:marker val="1"/>
        <c:smooth val="0"/>
        <c:axId val="717364616"/>
        <c:axId val="717367568"/>
      </c:lineChart>
      <c:dateAx>
        <c:axId val="717364616"/>
        <c:scaling>
          <c:orientation val="minMax"/>
        </c:scaling>
        <c:delete val="0"/>
        <c:axPos val="b"/>
        <c:majorGridlines>
          <c:spPr>
            <a:ln w="9525" cap="flat" cmpd="sng" algn="ctr">
              <a:solidFill>
                <a:schemeClr val="dk1">
                  <a:lumMod val="15000"/>
                  <a:lumOff val="85000"/>
                </a:schemeClr>
              </a:solidFill>
              <a:round/>
            </a:ln>
            <a:effectLst/>
          </c:spPr>
        </c:majorGridlines>
        <c:numFmt formatCode="mmm\-yy" sourceLinked="1"/>
        <c:majorTickMark val="out"/>
        <c:minorTickMark val="none"/>
        <c:tickLblPos val="low"/>
        <c:spPr>
          <a:noFill/>
          <a:ln w="9525" cap="flat" cmpd="sng" algn="ctr">
            <a:solidFill>
              <a:schemeClr val="dk1">
                <a:lumMod val="15000"/>
                <a:lumOff val="85000"/>
              </a:schemeClr>
            </a:solidFill>
            <a:round/>
          </a:ln>
          <a:effectLst/>
        </c:spPr>
        <c:txPr>
          <a:bodyPr rot="-5400000" spcFirstLastPara="1" vertOverflow="ellipsis" wrap="square" anchor="ctr" anchorCtr="1"/>
          <a:lstStyle/>
          <a:p>
            <a:pPr>
              <a:defRPr sz="6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717367568"/>
        <c:crosses val="autoZero"/>
        <c:auto val="1"/>
        <c:lblOffset val="100"/>
        <c:baseTimeUnit val="months"/>
        <c:majorUnit val="1"/>
        <c:majorTimeUnit val="months"/>
      </c:dateAx>
      <c:valAx>
        <c:axId val="717367568"/>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0"/>
        <c:majorTickMark val="none"/>
        <c:minorTickMark val="none"/>
        <c:tickLblPos val="low"/>
        <c:spPr>
          <a:noFill/>
          <a:ln>
            <a:noFill/>
          </a:ln>
          <a:effectLst/>
        </c:spPr>
        <c:txPr>
          <a:bodyPr rot="-60000000" spcFirstLastPara="1" vertOverflow="ellipsis" vert="horz" wrap="square" anchor="ctr" anchorCtr="1"/>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717364616"/>
        <c:crossesAt val="43466"/>
        <c:crossBetween val="between"/>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25232439165441"/>
          <c:y val="3.082080649009783E-2"/>
          <c:w val="0.87766857956314781"/>
          <c:h val="0.83374015748031494"/>
        </c:manualLayout>
      </c:layout>
      <c:lineChart>
        <c:grouping val="standard"/>
        <c:varyColors val="0"/>
        <c:ser>
          <c:idx val="0"/>
          <c:order val="0"/>
          <c:tx>
            <c:strRef>
              <c:f>Hoja1!$B$1</c:f>
              <c:strCache>
                <c:ptCount val="1"/>
                <c:pt idx="0">
                  <c:v>Productividad IVA A junio</c:v>
                </c:pt>
              </c:strCache>
            </c:strRef>
          </c:tx>
          <c:marker>
            <c:symbol val="circle"/>
            <c:size val="7"/>
          </c:marker>
          <c:dLbls>
            <c:dLbl>
              <c:idx val="0"/>
              <c:layout>
                <c:manualLayout>
                  <c:x val="-2.4858757062146894E-2"/>
                  <c:y val="-9.23815519774157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C04-4143-A232-44168ED9FF42}"/>
                </c:ext>
              </c:extLst>
            </c:dLbl>
            <c:dLbl>
              <c:idx val="1"/>
              <c:layout>
                <c:manualLayout>
                  <c:x val="-2.4858757062146894E-2"/>
                  <c:y val="-3.40270171595473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C04-4143-A232-44168ED9FF42}"/>
                </c:ext>
              </c:extLst>
            </c:dLbl>
            <c:dLbl>
              <c:idx val="2"/>
              <c:layout>
                <c:manualLayout>
                  <c:x val="-2.259887005649676E-3"/>
                  <c:y val="-1.3216502373128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C04-4143-A232-44168ED9FF42}"/>
                </c:ext>
              </c:extLst>
            </c:dLbl>
            <c:dLbl>
              <c:idx val="3"/>
              <c:layout>
                <c:manualLayout>
                  <c:x val="-0.19209039548022602"/>
                  <c:y val="-1.21212121212121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C04-4143-A232-44168ED9FF42}"/>
                </c:ext>
              </c:extLst>
            </c:dLbl>
            <c:dLbl>
              <c:idx val="4"/>
              <c:layout>
                <c:manualLayout>
                  <c:x val="-0.1604519774011299"/>
                  <c:y val="6.64964798348727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C04-4143-A232-44168ED9FF42}"/>
                </c:ext>
              </c:extLst>
            </c:dLbl>
            <c:dLbl>
              <c:idx val="5"/>
              <c:layout>
                <c:manualLayout>
                  <c:x val="-6.553672316384189E-2"/>
                  <c:y val="9.95983935742971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C04-4143-A232-44168ED9FF42}"/>
                </c:ext>
              </c:extLst>
            </c:dLbl>
            <c:dLbl>
              <c:idx val="6"/>
              <c:layout>
                <c:manualLayout>
                  <c:x val="-0.13785310734463277"/>
                  <c:y val="-0.1087263872957829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C04-4143-A232-44168ED9FF42}"/>
                </c:ext>
              </c:extLst>
            </c:dLbl>
            <c:dLbl>
              <c:idx val="7"/>
              <c:layout>
                <c:manualLayout>
                  <c:x val="-5.19774011299435E-2"/>
                  <c:y val="-7.24127720617617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C04-4143-A232-44168ED9FF42}"/>
                </c:ext>
              </c:extLst>
            </c:dLbl>
            <c:dLbl>
              <c:idx val="8"/>
              <c:layout>
                <c:manualLayout>
                  <c:x val="2.4442368432759463E-3"/>
                  <c:y val="3.76622922134733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C04-4143-A232-44168ED9FF42}"/>
                </c:ext>
              </c:extLst>
            </c:dLbl>
            <c:dLbl>
              <c:idx val="9"/>
              <c:layout>
                <c:manualLayout>
                  <c:x val="-0.18738627163130039"/>
                  <c:y val="-2.10158730158730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C04-4143-A232-44168ED9FF42}"/>
                </c:ext>
              </c:extLst>
            </c:dLbl>
            <c:dLbl>
              <c:idx val="10"/>
              <c:layout>
                <c:manualLayout>
                  <c:x val="-8.1355932203389825E-2"/>
                  <c:y val="-2.15873015873016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C04-4143-A232-44168ED9FF42}"/>
                </c:ext>
              </c:extLst>
            </c:dLbl>
            <c:numFmt formatCode="0.0%" sourceLinked="0"/>
            <c:spPr>
              <a:noFill/>
              <a:ln>
                <a:noFill/>
              </a:ln>
              <a:effectLst/>
            </c:spPr>
            <c:txPr>
              <a:bodyPr/>
              <a:lstStyle/>
              <a:p>
                <a:pPr>
                  <a:defRPr sz="800" b="1">
                    <a:solidFill>
                      <a:srgbClr val="0070C0"/>
                    </a:solidFill>
                  </a:defRPr>
                </a:pPr>
                <a:endParaRPr lang="es-GT"/>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a:solidFill>
                        <a:schemeClr val="bg1">
                          <a:lumMod val="65000"/>
                        </a:schemeClr>
                      </a:solidFill>
                      <a:prstDash val="sysDot"/>
                    </a:ln>
                  </c:spPr>
                </c15:leaderLines>
              </c:ext>
            </c:extLst>
          </c:dLbls>
          <c:cat>
            <c:numRef>
              <c:f>Hoja1!$A$2:$A$12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Hoja1!$B$2:$B$12</c:f>
              <c:numCache>
                <c:formatCode>0.0%</c:formatCode>
                <c:ptCount val="11"/>
                <c:pt idx="0">
                  <c:v>0.44579238963386064</c:v>
                </c:pt>
                <c:pt idx="1">
                  <c:v>0.43777545071428492</c:v>
                </c:pt>
                <c:pt idx="2">
                  <c:v>0.43132037598123218</c:v>
                </c:pt>
                <c:pt idx="3">
                  <c:v>0.40739195009431622</c:v>
                </c:pt>
                <c:pt idx="4">
                  <c:v>0.40197818366380406</c:v>
                </c:pt>
                <c:pt idx="5">
                  <c:v>0.41471415207290102</c:v>
                </c:pt>
                <c:pt idx="6">
                  <c:v>0.42035043304096126</c:v>
                </c:pt>
                <c:pt idx="7">
                  <c:v>0.42230081777426604</c:v>
                </c:pt>
                <c:pt idx="8">
                  <c:v>0.39994953107635878</c:v>
                </c:pt>
                <c:pt idx="9">
                  <c:v>0.46344078514359305</c:v>
                </c:pt>
                <c:pt idx="10">
                  <c:v>0.49288711067449137</c:v>
                </c:pt>
              </c:numCache>
            </c:numRef>
          </c:val>
          <c:smooth val="1"/>
          <c:extLst>
            <c:ext xmlns:c16="http://schemas.microsoft.com/office/drawing/2014/chart" uri="{C3380CC4-5D6E-409C-BE32-E72D297353CC}">
              <c16:uniqueId val="{0000000B-CC04-4143-A232-44168ED9FF42}"/>
            </c:ext>
          </c:extLst>
        </c:ser>
        <c:dLbls>
          <c:showLegendKey val="0"/>
          <c:showVal val="0"/>
          <c:showCatName val="0"/>
          <c:showSerName val="0"/>
          <c:showPercent val="0"/>
          <c:showBubbleSize val="0"/>
        </c:dLbls>
        <c:marker val="1"/>
        <c:smooth val="0"/>
        <c:axId val="197789568"/>
        <c:axId val="197791104"/>
      </c:lineChart>
      <c:catAx>
        <c:axId val="197789568"/>
        <c:scaling>
          <c:orientation val="minMax"/>
        </c:scaling>
        <c:delete val="0"/>
        <c:axPos val="b"/>
        <c:numFmt formatCode="General" sourceLinked="1"/>
        <c:majorTickMark val="out"/>
        <c:minorTickMark val="none"/>
        <c:tickLblPos val="low"/>
        <c:txPr>
          <a:bodyPr rot="-5400000" vert="horz"/>
          <a:lstStyle/>
          <a:p>
            <a:pPr>
              <a:defRPr sz="600" b="0"/>
            </a:pPr>
            <a:endParaRPr lang="es-GT"/>
          </a:p>
        </c:txPr>
        <c:crossAx val="197791104"/>
        <c:crosses val="autoZero"/>
        <c:auto val="1"/>
        <c:lblAlgn val="ctr"/>
        <c:lblOffset val="100"/>
        <c:noMultiLvlLbl val="0"/>
      </c:catAx>
      <c:valAx>
        <c:axId val="197791104"/>
        <c:scaling>
          <c:orientation val="minMax"/>
          <c:min val="0.35000000000000003"/>
        </c:scaling>
        <c:delete val="0"/>
        <c:axPos val="l"/>
        <c:numFmt formatCode="0%" sourceLinked="0"/>
        <c:majorTickMark val="out"/>
        <c:minorTickMark val="none"/>
        <c:tickLblPos val="nextTo"/>
        <c:txPr>
          <a:bodyPr/>
          <a:lstStyle/>
          <a:p>
            <a:pPr>
              <a:defRPr sz="700"/>
            </a:pPr>
            <a:endParaRPr lang="es-GT"/>
          </a:p>
        </c:txPr>
        <c:crossAx val="197789568"/>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s-GT"/>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86040304283999"/>
          <c:y val="3.082080649009783E-2"/>
          <c:w val="0.87461755416166198"/>
          <c:h val="0.82266882587952372"/>
        </c:manualLayout>
      </c:layout>
      <c:lineChart>
        <c:grouping val="standard"/>
        <c:varyColors val="0"/>
        <c:ser>
          <c:idx val="0"/>
          <c:order val="0"/>
          <c:tx>
            <c:strRef>
              <c:f>Hoja1!$B$1</c:f>
              <c:strCache>
                <c:ptCount val="1"/>
                <c:pt idx="0">
                  <c:v>IVA dom</c:v>
                </c:pt>
              </c:strCache>
            </c:strRef>
          </c:tx>
          <c:marker>
            <c:symbol val="circle"/>
            <c:size val="7"/>
          </c:marker>
          <c:dLbls>
            <c:spPr>
              <a:noFill/>
              <a:ln>
                <a:noFill/>
              </a:ln>
              <a:effectLst/>
            </c:spPr>
            <c:txPr>
              <a:bodyPr/>
              <a:lstStyle/>
              <a:p>
                <a:pPr>
                  <a:defRPr sz="600" b="1">
                    <a:solidFill>
                      <a:srgbClr val="0070C0"/>
                    </a:solidFill>
                  </a:defRPr>
                </a:pPr>
                <a:endParaRPr lang="es-GT"/>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Hoja1!$B$2:$B$12</c:f>
              <c:numCache>
                <c:formatCode>0.0%</c:formatCode>
                <c:ptCount val="11"/>
                <c:pt idx="0">
                  <c:v>0.17790142934391079</c:v>
                </c:pt>
                <c:pt idx="1">
                  <c:v>0.18545434250444362</c:v>
                </c:pt>
                <c:pt idx="2">
                  <c:v>0.1880550497079311</c:v>
                </c:pt>
                <c:pt idx="3">
                  <c:v>0.18717649418733315</c:v>
                </c:pt>
                <c:pt idx="4">
                  <c:v>0.19768839857445863</c:v>
                </c:pt>
                <c:pt idx="5">
                  <c:v>0.20541461239471651</c:v>
                </c:pt>
                <c:pt idx="6">
                  <c:v>0.20103799372168107</c:v>
                </c:pt>
                <c:pt idx="7">
                  <c:v>0.20622660760170622</c:v>
                </c:pt>
                <c:pt idx="8">
                  <c:v>0.20403446359513233</c:v>
                </c:pt>
                <c:pt idx="9">
                  <c:v>0.20989628765027862</c:v>
                </c:pt>
                <c:pt idx="10">
                  <c:v>0.2128497180790134</c:v>
                </c:pt>
              </c:numCache>
            </c:numRef>
          </c:val>
          <c:smooth val="1"/>
          <c:extLst>
            <c:ext xmlns:c16="http://schemas.microsoft.com/office/drawing/2014/chart" uri="{C3380CC4-5D6E-409C-BE32-E72D297353CC}">
              <c16:uniqueId val="{00000000-ED02-4D4F-A4B0-0173F0E76A02}"/>
            </c:ext>
          </c:extLst>
        </c:ser>
        <c:ser>
          <c:idx val="1"/>
          <c:order val="1"/>
          <c:tx>
            <c:strRef>
              <c:f>Hoja1!$C$1</c:f>
              <c:strCache>
                <c:ptCount val="1"/>
                <c:pt idx="0">
                  <c:v>IVA imp</c:v>
                </c:pt>
              </c:strCache>
            </c:strRef>
          </c:tx>
          <c:spPr>
            <a:ln>
              <a:solidFill>
                <a:srgbClr val="FF0000"/>
              </a:solidFill>
            </a:ln>
          </c:spPr>
          <c:marker>
            <c:symbol val="circle"/>
            <c:size val="6"/>
            <c:spPr>
              <a:solidFill>
                <a:srgbClr val="FF0000"/>
              </a:solidFill>
            </c:spPr>
          </c:marker>
          <c:dLbls>
            <c:spPr>
              <a:noFill/>
              <a:ln>
                <a:noFill/>
              </a:ln>
              <a:effectLst/>
            </c:spPr>
            <c:txPr>
              <a:bodyPr/>
              <a:lstStyle/>
              <a:p>
                <a:pPr>
                  <a:defRPr sz="600" b="1">
                    <a:solidFill>
                      <a:srgbClr val="FF0000"/>
                    </a:solidFill>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Hoja1!$C$2:$C$12</c:f>
              <c:numCache>
                <c:formatCode>0.0%</c:formatCode>
                <c:ptCount val="11"/>
                <c:pt idx="0">
                  <c:v>0.2678909602899498</c:v>
                </c:pt>
                <c:pt idx="1">
                  <c:v>0.25232110820984122</c:v>
                </c:pt>
                <c:pt idx="2">
                  <c:v>0.24326532627330111</c:v>
                </c:pt>
                <c:pt idx="3">
                  <c:v>0.2202154559069831</c:v>
                </c:pt>
                <c:pt idx="4">
                  <c:v>0.20428978508934542</c:v>
                </c:pt>
                <c:pt idx="5">
                  <c:v>0.20929953967818446</c:v>
                </c:pt>
                <c:pt idx="6">
                  <c:v>0.21931243931928032</c:v>
                </c:pt>
                <c:pt idx="7">
                  <c:v>0.2160742101725599</c:v>
                </c:pt>
                <c:pt idx="8">
                  <c:v>0.19591506748122633</c:v>
                </c:pt>
                <c:pt idx="9">
                  <c:v>0.25354449749331454</c:v>
                </c:pt>
                <c:pt idx="10">
                  <c:v>0.28003739259547794</c:v>
                </c:pt>
              </c:numCache>
            </c:numRef>
          </c:val>
          <c:smooth val="0"/>
          <c:extLst>
            <c:ext xmlns:c16="http://schemas.microsoft.com/office/drawing/2014/chart" uri="{C3380CC4-5D6E-409C-BE32-E72D297353CC}">
              <c16:uniqueId val="{00000001-ED02-4D4F-A4B0-0173F0E76A02}"/>
            </c:ext>
          </c:extLst>
        </c:ser>
        <c:dLbls>
          <c:showLegendKey val="0"/>
          <c:showVal val="0"/>
          <c:showCatName val="0"/>
          <c:showSerName val="0"/>
          <c:showPercent val="0"/>
          <c:showBubbleSize val="0"/>
        </c:dLbls>
        <c:marker val="1"/>
        <c:smooth val="0"/>
        <c:axId val="197834624"/>
        <c:axId val="197836160"/>
      </c:lineChart>
      <c:catAx>
        <c:axId val="197834624"/>
        <c:scaling>
          <c:orientation val="minMax"/>
        </c:scaling>
        <c:delete val="0"/>
        <c:axPos val="b"/>
        <c:numFmt formatCode="General" sourceLinked="1"/>
        <c:majorTickMark val="out"/>
        <c:minorTickMark val="none"/>
        <c:tickLblPos val="nextTo"/>
        <c:txPr>
          <a:bodyPr rot="-5400000" vert="horz"/>
          <a:lstStyle/>
          <a:p>
            <a:pPr>
              <a:defRPr sz="700" b="0"/>
            </a:pPr>
            <a:endParaRPr lang="es-GT"/>
          </a:p>
        </c:txPr>
        <c:crossAx val="197836160"/>
        <c:crosses val="autoZero"/>
        <c:auto val="1"/>
        <c:lblAlgn val="ctr"/>
        <c:lblOffset val="100"/>
        <c:noMultiLvlLbl val="0"/>
      </c:catAx>
      <c:valAx>
        <c:axId val="197836160"/>
        <c:scaling>
          <c:orientation val="minMax"/>
          <c:min val="0.12000000000000001"/>
        </c:scaling>
        <c:delete val="0"/>
        <c:axPos val="l"/>
        <c:numFmt formatCode="0%" sourceLinked="0"/>
        <c:majorTickMark val="out"/>
        <c:minorTickMark val="none"/>
        <c:tickLblPos val="nextTo"/>
        <c:txPr>
          <a:bodyPr/>
          <a:lstStyle/>
          <a:p>
            <a:pPr>
              <a:defRPr sz="700" b="0"/>
            </a:pPr>
            <a:endParaRPr lang="es-GT"/>
          </a:p>
        </c:txPr>
        <c:crossAx val="197834624"/>
        <c:crosses val="autoZero"/>
        <c:crossBetween val="between"/>
      </c:valAx>
    </c:plotArea>
    <c:legend>
      <c:legendPos val="b"/>
      <c:layout>
        <c:manualLayout>
          <c:xMode val="edge"/>
          <c:yMode val="edge"/>
          <c:x val="0.27030732860520096"/>
          <c:y val="0.76785771096794708"/>
          <c:w val="0.65507789492415147"/>
          <c:h val="8.5677642567406342E-2"/>
        </c:manualLayout>
      </c:layout>
      <c:overlay val="0"/>
      <c:txPr>
        <a:bodyPr/>
        <a:lstStyle/>
        <a:p>
          <a:pPr>
            <a:defRPr sz="900" b="1"/>
          </a:pPr>
          <a:endParaRPr lang="es-GT"/>
        </a:p>
      </c:txPr>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s-GT"/>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24776427833399"/>
          <c:y val="0.16722033711413062"/>
          <c:w val="0.87428795382477642"/>
          <c:h val="0.66274803650816738"/>
        </c:manualLayout>
      </c:layout>
      <c:lineChart>
        <c:grouping val="standard"/>
        <c:varyColors val="0"/>
        <c:ser>
          <c:idx val="0"/>
          <c:order val="0"/>
          <c:tx>
            <c:strRef>
              <c:f>Hoja1!$B$1</c:f>
              <c:strCache>
                <c:ptCount val="1"/>
                <c:pt idx="0">
                  <c:v>Carga Trib</c:v>
                </c:pt>
              </c:strCache>
            </c:strRef>
          </c:tx>
          <c:spPr>
            <a:ln>
              <a:solidFill>
                <a:schemeClr val="tx1"/>
              </a:solidFill>
            </a:ln>
          </c:spPr>
          <c:marker>
            <c:symbol val="circle"/>
            <c:size val="5"/>
            <c:spPr>
              <a:solidFill>
                <a:schemeClr val="tx1"/>
              </a:solidFill>
            </c:spPr>
          </c:marker>
          <c:dLbls>
            <c:dLbl>
              <c:idx val="0"/>
              <c:layout>
                <c:manualLayout>
                  <c:x val="-4.1835699797160245E-2"/>
                  <c:y val="5.20529504150773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353-4CBF-88BF-6F565D85C367}"/>
                </c:ext>
              </c:extLst>
            </c:dLbl>
            <c:dLbl>
              <c:idx val="1"/>
              <c:layout>
                <c:manualLayout>
                  <c:x val="-5.4513184584178496E-2"/>
                  <c:y val="-5.11554857527484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353-4CBF-88BF-6F565D85C367}"/>
                </c:ext>
              </c:extLst>
            </c:dLbl>
            <c:dLbl>
              <c:idx val="2"/>
              <c:layout>
                <c:manualLayout>
                  <c:x val="-3.8032454361054766E-3"/>
                  <c:y val="-2.87188691945254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353-4CBF-88BF-6F565D85C367}"/>
                </c:ext>
              </c:extLst>
            </c:dLbl>
            <c:dLbl>
              <c:idx val="4"/>
              <c:layout>
                <c:manualLayout>
                  <c:x val="-4.9442190669371194E-2"/>
                  <c:y val="-5.56428090643930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353-4CBF-88BF-6F565D85C367}"/>
                </c:ext>
              </c:extLst>
            </c:dLbl>
            <c:dLbl>
              <c:idx val="6"/>
              <c:layout>
                <c:manualLayout>
                  <c:x val="-4.9327354260089683E-2"/>
                  <c:y val="-4.57765667574932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353-4CBF-88BF-6F565D85C367}"/>
                </c:ext>
              </c:extLst>
            </c:dLbl>
            <c:dLbl>
              <c:idx val="7"/>
              <c:layout>
                <c:manualLayout>
                  <c:x val="-2.6883861633959255E-2"/>
                  <c:y val="-5.41807557074234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353-4CBF-88BF-6F565D85C367}"/>
                </c:ext>
              </c:extLst>
            </c:dLbl>
            <c:dLbl>
              <c:idx val="8"/>
              <c:layout>
                <c:manualLayout>
                  <c:x val="-0.12966228356929449"/>
                  <c:y val="-1.1406328925865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353-4CBF-88BF-6F565D85C367}"/>
                </c:ext>
              </c:extLst>
            </c:dLbl>
            <c:dLbl>
              <c:idx val="9"/>
              <c:layout>
                <c:manualLayout>
                  <c:x val="-0.10619908675022534"/>
                  <c:y val="-7.0438291424938246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353-4CBF-88BF-6F565D85C367}"/>
                </c:ext>
              </c:extLst>
            </c:dLbl>
            <c:dLbl>
              <c:idx val="10"/>
              <c:layout>
                <c:manualLayout>
                  <c:x val="-6.080182405472178E-2"/>
                  <c:y val="-6.10149603989439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353-4CBF-88BF-6F565D85C367}"/>
                </c:ext>
              </c:extLst>
            </c:dLbl>
            <c:numFmt formatCode="0.0%" sourceLinked="0"/>
            <c:spPr>
              <a:noFill/>
              <a:ln>
                <a:noFill/>
              </a:ln>
              <a:effectLst/>
            </c:spPr>
            <c:txPr>
              <a:bodyPr/>
              <a:lstStyle/>
              <a:p>
                <a:pPr>
                  <a:defRPr sz="800" b="1"/>
                </a:pPr>
                <a:endParaRPr lang="es-GT"/>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Hoja1!$B$2:$B$12</c:f>
              <c:numCache>
                <c:formatCode>0.00%</c:formatCode>
                <c:ptCount val="11"/>
                <c:pt idx="0">
                  <c:v>0.10953264737896941</c:v>
                </c:pt>
                <c:pt idx="1">
                  <c:v>0.11128101557307478</c:v>
                </c:pt>
                <c:pt idx="2">
                  <c:v>0.10975635860671257</c:v>
                </c:pt>
                <c:pt idx="3">
                  <c:v>0.10447132107290816</c:v>
                </c:pt>
                <c:pt idx="4">
                  <c:v>0.10778739581375095</c:v>
                </c:pt>
                <c:pt idx="5">
                  <c:v>0.10772335588957116</c:v>
                </c:pt>
                <c:pt idx="6">
                  <c:v>0.10701466812499047</c:v>
                </c:pt>
                <c:pt idx="7">
                  <c:v>0.10601587719705946</c:v>
                </c:pt>
                <c:pt idx="8">
                  <c:v>0.10100000000000001</c:v>
                </c:pt>
                <c:pt idx="9">
                  <c:v>0.11700000000000001</c:v>
                </c:pt>
                <c:pt idx="10">
                  <c:v>0.121</c:v>
                </c:pt>
              </c:numCache>
            </c:numRef>
          </c:val>
          <c:smooth val="0"/>
          <c:extLst>
            <c:ext xmlns:c16="http://schemas.microsoft.com/office/drawing/2014/chart" uri="{C3380CC4-5D6E-409C-BE32-E72D297353CC}">
              <c16:uniqueId val="{00000009-4353-4CBF-88BF-6F565D85C367}"/>
            </c:ext>
          </c:extLst>
        </c:ser>
        <c:dLbls>
          <c:showLegendKey val="0"/>
          <c:showVal val="0"/>
          <c:showCatName val="0"/>
          <c:showSerName val="0"/>
          <c:showPercent val="0"/>
          <c:showBubbleSize val="0"/>
        </c:dLbls>
        <c:marker val="1"/>
        <c:smooth val="0"/>
        <c:axId val="198052480"/>
        <c:axId val="197730688"/>
      </c:lineChart>
      <c:catAx>
        <c:axId val="198052480"/>
        <c:scaling>
          <c:orientation val="minMax"/>
        </c:scaling>
        <c:delete val="0"/>
        <c:axPos val="b"/>
        <c:numFmt formatCode="General" sourceLinked="1"/>
        <c:majorTickMark val="out"/>
        <c:minorTickMark val="none"/>
        <c:tickLblPos val="low"/>
        <c:txPr>
          <a:bodyPr/>
          <a:lstStyle/>
          <a:p>
            <a:pPr>
              <a:defRPr sz="800" b="0"/>
            </a:pPr>
            <a:endParaRPr lang="es-GT"/>
          </a:p>
        </c:txPr>
        <c:crossAx val="197730688"/>
        <c:crosses val="autoZero"/>
        <c:auto val="1"/>
        <c:lblAlgn val="ctr"/>
        <c:lblOffset val="100"/>
        <c:noMultiLvlLbl val="0"/>
      </c:catAx>
      <c:valAx>
        <c:axId val="197730688"/>
        <c:scaling>
          <c:orientation val="minMax"/>
          <c:min val="0.1"/>
        </c:scaling>
        <c:delete val="0"/>
        <c:axPos val="l"/>
        <c:numFmt formatCode="0.0%" sourceLinked="0"/>
        <c:majorTickMark val="out"/>
        <c:minorTickMark val="none"/>
        <c:tickLblPos val="nextTo"/>
        <c:txPr>
          <a:bodyPr/>
          <a:lstStyle/>
          <a:p>
            <a:pPr>
              <a:defRPr sz="800" b="0"/>
            </a:pPr>
            <a:endParaRPr lang="es-GT"/>
          </a:p>
        </c:txPr>
        <c:crossAx val="198052480"/>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s-GT"/>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0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601642303559872"/>
          <c:y val="0.28034105204305076"/>
          <c:w val="0.65718461362207825"/>
          <c:h val="0.54506641303847581"/>
        </c:manualLayout>
      </c:layout>
      <c:pie3DChart>
        <c:varyColors val="1"/>
        <c:ser>
          <c:idx val="0"/>
          <c:order val="0"/>
          <c:tx>
            <c:strRef>
              <c:f>Hoja1!$B$1</c:f>
              <c:strCache>
                <c:ptCount val="1"/>
                <c:pt idx="0">
                  <c:v>Ventas</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C7C0-4452-949D-6DBAE8A0B82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C7C0-4452-949D-6DBAE8A0B826}"/>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C7C0-4452-949D-6DBAE8A0B826}"/>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C7C0-4452-949D-6DBAE8A0B826}"/>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C7C0-4452-949D-6DBAE8A0B826}"/>
              </c:ext>
            </c:extLst>
          </c:dPt>
          <c:dLbls>
            <c:dLbl>
              <c:idx val="0"/>
              <c:layout>
                <c:manualLayout>
                  <c:x val="-1.3289484447379893E-2"/>
                  <c:y val="0.16170873127551061"/>
                </c:manualLayout>
              </c:layout>
              <c:numFmt formatCode="0.0%" sourceLinked="0"/>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1"/>
              <c:showSerName val="0"/>
              <c:showPercent val="1"/>
              <c:showBubbleSize val="0"/>
              <c:extLst>
                <c:ext xmlns:c15="http://schemas.microsoft.com/office/drawing/2012/chart" uri="{CE6537A1-D6FC-4f65-9D91-7224C49458BB}">
                  <c15:layout>
                    <c:manualLayout>
                      <c:w val="0.46394524847533725"/>
                      <c:h val="0.17303024859535143"/>
                    </c:manualLayout>
                  </c15:layout>
                </c:ext>
                <c:ext xmlns:c16="http://schemas.microsoft.com/office/drawing/2014/chart" uri="{C3380CC4-5D6E-409C-BE32-E72D297353CC}">
                  <c16:uniqueId val="{00000001-C7C0-4452-949D-6DBAE8A0B826}"/>
                </c:ext>
              </c:extLst>
            </c:dLbl>
            <c:dLbl>
              <c:idx val="1"/>
              <c:layout>
                <c:manualLayout>
                  <c:x val="1.9238168526356291E-3"/>
                  <c:y val="-0.2809304678302364"/>
                </c:manualLayout>
              </c:layout>
              <c:numFmt formatCode="0.0%" sourceLinked="0"/>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1"/>
              <c:showSerName val="0"/>
              <c:showPercent val="1"/>
              <c:showBubbleSize val="0"/>
              <c:extLst>
                <c:ext xmlns:c15="http://schemas.microsoft.com/office/drawing/2012/chart" uri="{CE6537A1-D6FC-4f65-9D91-7224C49458BB}">
                  <c15:layout>
                    <c:manualLayout>
                      <c:w val="0.46263765894211278"/>
                      <c:h val="0.22157319163984551"/>
                    </c:manualLayout>
                  </c15:layout>
                </c:ext>
                <c:ext xmlns:c16="http://schemas.microsoft.com/office/drawing/2014/chart" uri="{C3380CC4-5D6E-409C-BE32-E72D297353CC}">
                  <c16:uniqueId val="{00000003-C7C0-4452-949D-6DBAE8A0B826}"/>
                </c:ext>
              </c:extLst>
            </c:dLbl>
            <c:dLbl>
              <c:idx val="2"/>
              <c:layout>
                <c:manualLayout>
                  <c:x val="-2.5644933090558916E-2"/>
                  <c:y val="-0.1708974766442995"/>
                </c:manualLayout>
              </c:layout>
              <c:numFmt formatCode="0.0%" sourceLinked="0"/>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1"/>
              <c:showSerName val="0"/>
              <c:showPercent val="1"/>
              <c:showBubbleSize val="0"/>
              <c:extLst>
                <c:ext xmlns:c15="http://schemas.microsoft.com/office/drawing/2012/chart" uri="{CE6537A1-D6FC-4f65-9D91-7224C49458BB}">
                  <c15:layout>
                    <c:manualLayout>
                      <c:w val="0.41713469444638002"/>
                      <c:h val="0.21439928735457245"/>
                    </c:manualLayout>
                  </c15:layout>
                </c:ext>
                <c:ext xmlns:c16="http://schemas.microsoft.com/office/drawing/2014/chart" uri="{C3380CC4-5D6E-409C-BE32-E72D297353CC}">
                  <c16:uniqueId val="{00000005-C7C0-4452-949D-6DBAE8A0B826}"/>
                </c:ext>
              </c:extLst>
            </c:dLbl>
            <c:dLbl>
              <c:idx val="3"/>
              <c:layout>
                <c:manualLayout>
                  <c:x val="1.923816852635615E-2"/>
                  <c:y val="-3.6306195807388773E-2"/>
                </c:manualLayout>
              </c:layout>
              <c:numFmt formatCode="0.0%" sourceLinked="0"/>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1"/>
              <c:showSerName val="0"/>
              <c:showPercent val="1"/>
              <c:showBubbleSize val="0"/>
              <c:extLst>
                <c:ext xmlns:c15="http://schemas.microsoft.com/office/drawing/2012/chart" uri="{CE6537A1-D6FC-4f65-9D91-7224C49458BB}">
                  <c15:layout>
                    <c:manualLayout>
                      <c:w val="0.18606671857437598"/>
                      <c:h val="0.24765100070279725"/>
                    </c:manualLayout>
                  </c15:layout>
                </c:ext>
                <c:ext xmlns:c16="http://schemas.microsoft.com/office/drawing/2014/chart" uri="{C3380CC4-5D6E-409C-BE32-E72D297353CC}">
                  <c16:uniqueId val="{00000007-C7C0-4452-949D-6DBAE8A0B826}"/>
                </c:ext>
              </c:extLst>
            </c:dLbl>
            <c:dLbl>
              <c:idx val="4"/>
              <c:layout>
                <c:manualLayout>
                  <c:x val="1.1201764458165174E-2"/>
                  <c:y val="5.3964761653229956E-2"/>
                </c:manualLayout>
              </c:layout>
              <c:numFmt formatCode="0.0%" sourceLinked="0"/>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1"/>
              <c:showSerName val="0"/>
              <c:showPercent val="1"/>
              <c:showBubbleSize val="0"/>
              <c:extLst>
                <c:ext xmlns:c15="http://schemas.microsoft.com/office/drawing/2012/chart" uri="{CE6537A1-D6FC-4f65-9D91-7224C49458BB}">
                  <c15:layout>
                    <c:manualLayout>
                      <c:w val="0.20936459510471925"/>
                      <c:h val="0.2474338945266861"/>
                    </c:manualLayout>
                  </c15:layout>
                </c:ext>
                <c:ext xmlns:c16="http://schemas.microsoft.com/office/drawing/2014/chart" uri="{C3380CC4-5D6E-409C-BE32-E72D297353CC}">
                  <c16:uniqueId val="{00000009-C7C0-4452-949D-6DBAE8A0B826}"/>
                </c:ext>
              </c:extLst>
            </c:dLbl>
            <c:numFmt formatCode="0.0%" sourceLinked="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Hoja1!$A$2:$A$6</c:f>
              <c:strCache>
                <c:ptCount val="5"/>
                <c:pt idx="0">
                  <c:v>Ingresos no Tributarios</c:v>
                </c:pt>
                <c:pt idx="1">
                  <c:v>Contribuciones a la Seguridad y Previsión Social</c:v>
                </c:pt>
                <c:pt idx="2">
                  <c:v>Venta de Bienes y Servicios de la Administración Pública</c:v>
                </c:pt>
                <c:pt idx="3">
                  <c:v>Rentas de la Propiedad</c:v>
                </c:pt>
                <c:pt idx="4">
                  <c:v>Transferencias Corrientes</c:v>
                </c:pt>
              </c:strCache>
            </c:strRef>
          </c:cat>
          <c:val>
            <c:numRef>
              <c:f>Hoja1!$B$2:$B$6</c:f>
              <c:numCache>
                <c:formatCode>General</c:formatCode>
                <c:ptCount val="5"/>
                <c:pt idx="0">
                  <c:v>918.91446870000004</c:v>
                </c:pt>
                <c:pt idx="1">
                  <c:v>2752.6807532299995</c:v>
                </c:pt>
                <c:pt idx="2">
                  <c:v>488.60245921999996</c:v>
                </c:pt>
                <c:pt idx="3">
                  <c:v>235.03009396000002</c:v>
                </c:pt>
                <c:pt idx="4">
                  <c:v>61.938793570000001</c:v>
                </c:pt>
              </c:numCache>
            </c:numRef>
          </c:val>
          <c:extLst>
            <c:ext xmlns:c16="http://schemas.microsoft.com/office/drawing/2014/chart" uri="{C3380CC4-5D6E-409C-BE32-E72D297353CC}">
              <c16:uniqueId val="{0000000A-C7C0-4452-949D-6DBAE8A0B826}"/>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withinLinear" id="14">
  <a:schemeClr val="accent1"/>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2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cap="flat" cmpd="sng" algn="ctr">
        <a:solidFill>
          <a:schemeClr val="tx1">
            <a:lumMod val="65000"/>
            <a:lumOff val="35000"/>
          </a:schemeClr>
        </a:solidFill>
        <a:round/>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15875" cap="flat" cmpd="sng" algn="ctr">
        <a:solidFill>
          <a:schemeClr val="tx1">
            <a:lumMod val="65000"/>
            <a:lumOff val="3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22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9050" cap="flat" cmpd="sng" algn="ctr">
        <a:solidFill>
          <a:schemeClr val="tx1">
            <a:lumMod val="15000"/>
            <a:lumOff val="8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99000">
              <a:schemeClr val="tx1">
                <a:lumMod val="25000"/>
                <a:lumOff val="75000"/>
              </a:schemeClr>
            </a:gs>
            <a:gs pos="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15000"/>
                <a:lumOff val="85000"/>
              </a:schemeClr>
            </a:gs>
            <a:gs pos="0">
              <a:schemeClr val="tx1">
                <a:lumMod val="5000"/>
                <a:lumOff val="9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8.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BFF4CB-6D61-4903-AE35-5198C15679CD}" type="doc">
      <dgm:prSet loTypeId="urn:microsoft.com/office/officeart/2005/8/layout/chevron2" loCatId="list" qsTypeId="urn:microsoft.com/office/officeart/2005/8/quickstyle/simple1" qsCatId="simple" csTypeId="urn:microsoft.com/office/officeart/2005/8/colors/accent1_4" csCatId="accent1" phldr="1"/>
      <dgm:spPr/>
      <dgm:t>
        <a:bodyPr/>
        <a:lstStyle/>
        <a:p>
          <a:endParaRPr lang="es-GT"/>
        </a:p>
      </dgm:t>
    </dgm:pt>
    <dgm:pt modelId="{B9CCAEE6-DBF1-4A58-8283-55F145B2D95D}">
      <dgm:prSet phldrT="[Texto]" custT="1"/>
      <dgm:spPr>
        <a:xfrm rot="5400000">
          <a:off x="-203711" y="502646"/>
          <a:ext cx="1358078" cy="950654"/>
        </a:xfrm>
        <a:prstGeom prst="chevron">
          <a:avLst/>
        </a:prstGeom>
        <a:solidFill>
          <a:srgbClr val="4472C4">
            <a:shade val="50000"/>
            <a:hueOff val="0"/>
            <a:satOff val="0"/>
            <a:lumOff val="0"/>
            <a:alphaOff val="0"/>
          </a:srgbClr>
        </a:solidFill>
        <a:ln w="12700" cap="flat" cmpd="sng" algn="ctr">
          <a:solidFill>
            <a:srgbClr val="5B9BD5">
              <a:lumMod val="50000"/>
            </a:srgbClr>
          </a:solidFill>
          <a:prstDash val="solid"/>
          <a:miter lim="800000"/>
        </a:ln>
        <a:effectLst/>
      </dgm:spPr>
      <dgm:t>
        <a:bodyPr/>
        <a:lstStyle/>
        <a:p>
          <a:pPr>
            <a:buNone/>
          </a:pPr>
          <a:r>
            <a:rPr lang="es-GT" sz="1100" b="1">
              <a:solidFill>
                <a:sysClr val="window" lastClr="FFFFFF"/>
              </a:solidFill>
              <a:latin typeface="Times New Roman" panose="02020603050405020304" pitchFamily="18" charset="0"/>
              <a:ea typeface="+mn-ea"/>
              <a:cs typeface="Times New Roman" panose="02020603050405020304" pitchFamily="18" charset="0"/>
            </a:rPr>
            <a:t>Gas Propano (Q570 millones)</a:t>
          </a:r>
        </a:p>
      </dgm:t>
    </dgm:pt>
    <dgm:pt modelId="{94BBAF7D-C258-49D8-A6F3-26F8D3D6C05F}" type="parTrans" cxnId="{E1BD933C-2747-4C2D-A9C9-3436D32C6BA7}">
      <dgm:prSet/>
      <dgm:spPr/>
      <dgm:t>
        <a:bodyPr/>
        <a:lstStyle/>
        <a:p>
          <a:endParaRPr lang="es-GT"/>
        </a:p>
      </dgm:t>
    </dgm:pt>
    <dgm:pt modelId="{B1F520B9-6E12-499B-8CFA-707BDE48DA93}" type="sibTrans" cxnId="{E1BD933C-2747-4C2D-A9C9-3436D32C6BA7}">
      <dgm:prSet/>
      <dgm:spPr/>
      <dgm:t>
        <a:bodyPr/>
        <a:lstStyle/>
        <a:p>
          <a:endParaRPr lang="es-GT"/>
        </a:p>
      </dgm:t>
    </dgm:pt>
    <dgm:pt modelId="{A49A0C08-792D-40F2-963C-0206C34A8748}">
      <dgm:prSet phldrT="[Texto]" custT="1"/>
      <dgm:spPr>
        <a:xfrm rot="5400000">
          <a:off x="2539546" y="-1527330"/>
          <a:ext cx="1357960" cy="4535745"/>
        </a:xfrm>
        <a:prstGeom prst="round2SameRect">
          <a:avLst/>
        </a:prstGeom>
        <a:solidFill>
          <a:sysClr val="window" lastClr="FFFFFF">
            <a:alpha val="90000"/>
            <a:hueOff val="0"/>
            <a:satOff val="0"/>
            <a:lumOff val="0"/>
            <a:alphaOff val="0"/>
          </a:sysClr>
        </a:solidFill>
        <a:ln w="12700" cap="flat" cmpd="sng" algn="ctr">
          <a:solidFill>
            <a:srgbClr val="4472C4">
              <a:shade val="50000"/>
              <a:hueOff val="0"/>
              <a:satOff val="0"/>
              <a:lumOff val="0"/>
              <a:alphaOff val="0"/>
            </a:srgbClr>
          </a:solidFill>
          <a:prstDash val="solid"/>
          <a:miter lim="800000"/>
        </a:ln>
        <a:effectLst/>
      </dgm:spPr>
      <dgm:t>
        <a:bodyPr/>
        <a:lstStyle/>
        <a:p>
          <a:pPr algn="just">
            <a:buChar char="•"/>
          </a:pPr>
          <a:r>
            <a:rPr lang="es-G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Se aprobaron 5 decretos (15-2021, 17-2022, 33-2022, 45-2022 y 55-2022) de apoyo temporal a los consumidores de gas propano, manteniéndose las condiciones del subsidio en cada decreto:</a:t>
          </a:r>
        </a:p>
      </dgm:t>
    </dgm:pt>
    <dgm:pt modelId="{4F8DFD97-C1DD-4D78-88C3-A949F82100AC}" type="parTrans" cxnId="{5D7D4542-1908-4FFC-9D66-0E5BE8AB3601}">
      <dgm:prSet/>
      <dgm:spPr/>
      <dgm:t>
        <a:bodyPr/>
        <a:lstStyle/>
        <a:p>
          <a:endParaRPr lang="es-GT"/>
        </a:p>
      </dgm:t>
    </dgm:pt>
    <dgm:pt modelId="{03A841B2-3F11-4DDF-BA04-D2B7282D325F}" type="sibTrans" cxnId="{5D7D4542-1908-4FFC-9D66-0E5BE8AB3601}">
      <dgm:prSet/>
      <dgm:spPr/>
      <dgm:t>
        <a:bodyPr/>
        <a:lstStyle/>
        <a:p>
          <a:endParaRPr lang="es-GT"/>
        </a:p>
      </dgm:t>
    </dgm:pt>
    <dgm:pt modelId="{0D8E6E9E-A844-4D17-986B-509517868F17}">
      <dgm:prSet phldrT="[Texto]" custT="1"/>
      <dgm:spPr>
        <a:xfrm rot="5400000">
          <a:off x="-203711" y="1938575"/>
          <a:ext cx="1358078" cy="950654"/>
        </a:xfrm>
        <a:prstGeom prst="chevron">
          <a:avLst/>
        </a:prstGeom>
        <a:solidFill>
          <a:srgbClr val="4472C4">
            <a:shade val="50000"/>
            <a:hueOff val="268329"/>
            <a:satOff val="-6535"/>
            <a:lumOff val="28597"/>
            <a:alphaOff val="0"/>
          </a:srgbClr>
        </a:solidFill>
        <a:ln w="12700" cap="flat" cmpd="sng" algn="ctr">
          <a:solidFill>
            <a:srgbClr val="5B9BD5">
              <a:lumMod val="50000"/>
            </a:srgbClr>
          </a:solidFill>
          <a:prstDash val="solid"/>
          <a:miter lim="800000"/>
        </a:ln>
        <a:effectLst/>
      </dgm:spPr>
      <dgm:t>
        <a:bodyPr/>
        <a:lstStyle/>
        <a:p>
          <a:pPr>
            <a:buNone/>
          </a:pPr>
          <a:r>
            <a:rPr lang="es-GT" sz="1100" b="1">
              <a:solidFill>
                <a:sysClr val="window" lastClr="FFFFFF"/>
              </a:solidFill>
              <a:latin typeface="Times New Roman" panose="02020603050405020304" pitchFamily="18" charset="0"/>
              <a:ea typeface="+mn-ea"/>
              <a:cs typeface="Times New Roman" panose="02020603050405020304" pitchFamily="18" charset="0"/>
            </a:rPr>
            <a:t>Combustibles (Q2,460 millones)</a:t>
          </a:r>
        </a:p>
      </dgm:t>
    </dgm:pt>
    <dgm:pt modelId="{889C9C2A-46CA-44C1-AB8D-FB74A668E6EA}" type="parTrans" cxnId="{0ECBB813-3DB4-45CA-809B-DB0582559F98}">
      <dgm:prSet/>
      <dgm:spPr/>
      <dgm:t>
        <a:bodyPr/>
        <a:lstStyle/>
        <a:p>
          <a:endParaRPr lang="es-GT"/>
        </a:p>
      </dgm:t>
    </dgm:pt>
    <dgm:pt modelId="{2DD62AEE-FCDB-494C-9A1C-886252C6C56A}" type="sibTrans" cxnId="{0ECBB813-3DB4-45CA-809B-DB0582559F98}">
      <dgm:prSet/>
      <dgm:spPr/>
      <dgm:t>
        <a:bodyPr/>
        <a:lstStyle/>
        <a:p>
          <a:endParaRPr lang="es-GT"/>
        </a:p>
      </dgm:t>
    </dgm:pt>
    <dgm:pt modelId="{7680425C-36E1-43EC-877D-634B88B1F8BC}">
      <dgm:prSet phldrT="[Texto]" custT="1"/>
      <dgm:spPr>
        <a:xfrm rot="5400000">
          <a:off x="2539903" y="-91633"/>
          <a:ext cx="1357247" cy="4535745"/>
        </a:xfrm>
        <a:prstGeom prst="round2SameRect">
          <a:avLst/>
        </a:prstGeom>
        <a:solidFill>
          <a:sysClr val="window" lastClr="FFFFFF">
            <a:alpha val="90000"/>
            <a:hueOff val="0"/>
            <a:satOff val="0"/>
            <a:lumOff val="0"/>
            <a:alphaOff val="0"/>
          </a:sysClr>
        </a:solidFill>
        <a:ln w="12700" cap="flat" cmpd="sng" algn="ctr">
          <a:solidFill>
            <a:srgbClr val="4472C4">
              <a:shade val="50000"/>
              <a:hueOff val="268329"/>
              <a:satOff val="-6535"/>
              <a:lumOff val="28597"/>
              <a:alphaOff val="0"/>
            </a:srgbClr>
          </a:solidFill>
          <a:prstDash val="solid"/>
          <a:miter lim="800000"/>
        </a:ln>
        <a:effectLst/>
      </dgm:spPr>
      <dgm:t>
        <a:bodyPr/>
        <a:lstStyle/>
        <a:p>
          <a:pPr algn="just">
            <a:buChar char="•"/>
          </a:pPr>
          <a:r>
            <a:rPr lang="es-G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Se aprobaron 3 decretos:</a:t>
          </a:r>
        </a:p>
      </dgm:t>
    </dgm:pt>
    <dgm:pt modelId="{BC3031BC-DE09-4FD9-96AA-50F51DB1AD5A}" type="parTrans" cxnId="{66809AAC-7C51-4C77-916E-DC7F939F5BA4}">
      <dgm:prSet/>
      <dgm:spPr/>
      <dgm:t>
        <a:bodyPr/>
        <a:lstStyle/>
        <a:p>
          <a:endParaRPr lang="es-GT"/>
        </a:p>
      </dgm:t>
    </dgm:pt>
    <dgm:pt modelId="{E2B54A47-CC3E-4764-A796-F99B98045754}" type="sibTrans" cxnId="{66809AAC-7C51-4C77-916E-DC7F939F5BA4}">
      <dgm:prSet/>
      <dgm:spPr/>
      <dgm:t>
        <a:bodyPr/>
        <a:lstStyle/>
        <a:p>
          <a:endParaRPr lang="es-GT"/>
        </a:p>
      </dgm:t>
    </dgm:pt>
    <dgm:pt modelId="{03A56EA5-D4F8-4EC6-A14C-572AC494B0C9}">
      <dgm:prSet phldrT="[Texto]" custT="1"/>
      <dgm:spPr>
        <a:xfrm rot="5400000">
          <a:off x="-203711" y="3348110"/>
          <a:ext cx="1358078" cy="950654"/>
        </a:xfrm>
        <a:prstGeom prst="chevron">
          <a:avLst/>
        </a:prstGeom>
        <a:solidFill>
          <a:srgbClr val="5B9BD5">
            <a:lumMod val="50000"/>
          </a:srgbClr>
        </a:solidFill>
        <a:ln w="12700" cap="flat" cmpd="sng" algn="ctr">
          <a:solidFill>
            <a:srgbClr val="5B9BD5">
              <a:lumMod val="50000"/>
            </a:srgbClr>
          </a:solidFill>
          <a:prstDash val="solid"/>
          <a:miter lim="800000"/>
        </a:ln>
        <a:effectLst/>
      </dgm:spPr>
      <dgm:t>
        <a:bodyPr/>
        <a:lstStyle/>
        <a:p>
          <a:pPr>
            <a:buNone/>
          </a:pPr>
          <a:endParaRPr lang="es-GT" sz="1050" b="1">
            <a:solidFill>
              <a:sysClr val="window" lastClr="FFFFFF"/>
            </a:solidFill>
            <a:latin typeface="Calibri" panose="020F0502020204030204"/>
            <a:ea typeface="+mn-ea"/>
            <a:cs typeface="+mn-cs"/>
          </a:endParaRPr>
        </a:p>
        <a:p>
          <a:pPr>
            <a:buNone/>
          </a:pPr>
          <a:r>
            <a:rPr lang="es-GT" sz="1100" b="1">
              <a:solidFill>
                <a:sysClr val="window" lastClr="FFFFFF"/>
              </a:solidFill>
              <a:latin typeface="Times New Roman" panose="02020603050405020304" pitchFamily="18" charset="0"/>
              <a:ea typeface="+mn-ea"/>
              <a:cs typeface="Times New Roman" panose="02020603050405020304" pitchFamily="18" charset="0"/>
            </a:rPr>
            <a:t>Tarifa Social Energía Eléctrica (Q227.5 millones)</a:t>
          </a:r>
        </a:p>
      </dgm:t>
    </dgm:pt>
    <dgm:pt modelId="{9665ED9F-2288-437D-99A4-366F2D55DD0C}" type="parTrans" cxnId="{AAF1402A-1A0E-413B-8D3C-84C02E3A42B0}">
      <dgm:prSet/>
      <dgm:spPr/>
      <dgm:t>
        <a:bodyPr/>
        <a:lstStyle/>
        <a:p>
          <a:endParaRPr lang="es-GT"/>
        </a:p>
      </dgm:t>
    </dgm:pt>
    <dgm:pt modelId="{C468CF5B-0037-400D-9873-19ED91BD535B}" type="sibTrans" cxnId="{AAF1402A-1A0E-413B-8D3C-84C02E3A42B0}">
      <dgm:prSet/>
      <dgm:spPr/>
      <dgm:t>
        <a:bodyPr/>
        <a:lstStyle/>
        <a:p>
          <a:endParaRPr lang="es-GT"/>
        </a:p>
      </dgm:t>
    </dgm:pt>
    <dgm:pt modelId="{BD00F985-5BF1-406F-B8A6-E69E74DCC2D0}">
      <dgm:prSet phldrT="[Texto]" custT="1"/>
      <dgm:spPr>
        <a:xfrm rot="5400000">
          <a:off x="2566298" y="1317901"/>
          <a:ext cx="1304458" cy="4535745"/>
        </a:xfrm>
        <a:prstGeom prst="round2SameRect">
          <a:avLst/>
        </a:prstGeom>
        <a:solidFill>
          <a:sysClr val="window" lastClr="FFFFFF">
            <a:alpha val="90000"/>
            <a:hueOff val="0"/>
            <a:satOff val="0"/>
            <a:lumOff val="0"/>
            <a:alphaOff val="0"/>
          </a:sysClr>
        </a:solidFill>
        <a:ln w="12700" cap="flat" cmpd="sng" algn="ctr">
          <a:solidFill>
            <a:srgbClr val="4472C4">
              <a:shade val="50000"/>
              <a:hueOff val="268329"/>
              <a:satOff val="-6535"/>
              <a:lumOff val="28597"/>
              <a:alphaOff val="0"/>
            </a:srgbClr>
          </a:solidFill>
          <a:prstDash val="solid"/>
          <a:miter lim="800000"/>
        </a:ln>
        <a:effectLst/>
      </dgm:spPr>
      <dgm:t>
        <a:bodyPr/>
        <a:lstStyle/>
        <a:p>
          <a:pPr algn="just">
            <a:buChar char="•"/>
          </a:pPr>
          <a:r>
            <a:rPr lang="es-G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Se aprobaron 2 decretos para el fortalecimiento al aporte social de la tarifa eléctrica, anteriormente la tarifa social unicamente aplicaba a rangos de consumo de 1 a 88 kWh:</a:t>
          </a:r>
        </a:p>
      </dgm:t>
    </dgm:pt>
    <dgm:pt modelId="{3160FA2A-57C6-4076-BC39-3710EE8D9636}" type="parTrans" cxnId="{A0136895-5402-4FAC-9B7C-1836421F7442}">
      <dgm:prSet/>
      <dgm:spPr/>
      <dgm:t>
        <a:bodyPr/>
        <a:lstStyle/>
        <a:p>
          <a:endParaRPr lang="es-GT"/>
        </a:p>
      </dgm:t>
    </dgm:pt>
    <dgm:pt modelId="{E6C88FBB-B0B4-451D-8645-BE5DCF0E94A1}" type="sibTrans" cxnId="{A0136895-5402-4FAC-9B7C-1836421F7442}">
      <dgm:prSet/>
      <dgm:spPr/>
      <dgm:t>
        <a:bodyPr/>
        <a:lstStyle/>
        <a:p>
          <a:endParaRPr lang="es-GT"/>
        </a:p>
      </dgm:t>
    </dgm:pt>
    <dgm:pt modelId="{45CFA25F-971B-47DE-B908-8A1262EE1320}">
      <dgm:prSet phldrT="[Texto]" custT="1"/>
      <dgm:spPr>
        <a:xfrm rot="5400000">
          <a:off x="2539546" y="-1527330"/>
          <a:ext cx="1357960" cy="4535745"/>
        </a:xfrm>
        <a:prstGeom prst="round2SameRect">
          <a:avLst/>
        </a:prstGeom>
        <a:solidFill>
          <a:sysClr val="window" lastClr="FFFFFF">
            <a:alpha val="90000"/>
            <a:hueOff val="0"/>
            <a:satOff val="0"/>
            <a:lumOff val="0"/>
            <a:alphaOff val="0"/>
          </a:sysClr>
        </a:solidFill>
        <a:ln w="12700" cap="flat" cmpd="sng" algn="ctr">
          <a:solidFill>
            <a:srgbClr val="4472C4">
              <a:shade val="50000"/>
              <a:hueOff val="0"/>
              <a:satOff val="0"/>
              <a:lumOff val="0"/>
              <a:alphaOff val="0"/>
            </a:srgbClr>
          </a:solidFill>
          <a:prstDash val="solid"/>
          <a:miter lim="800000"/>
        </a:ln>
        <a:effectLst/>
      </dgm:spPr>
      <dgm:t>
        <a:bodyPr/>
        <a:lstStyle/>
        <a:p>
          <a:pPr algn="just">
            <a:buChar char="•"/>
          </a:pPr>
          <a:r>
            <a:rPr lang="es-G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20 libras - Q16.00</a:t>
          </a:r>
        </a:p>
      </dgm:t>
    </dgm:pt>
    <dgm:pt modelId="{971B66EC-6520-467B-9A5F-612CBF104027}" type="sibTrans" cxnId="{15B7CFA5-32B6-4E47-8378-570EB2C152E0}">
      <dgm:prSet/>
      <dgm:spPr/>
      <dgm:t>
        <a:bodyPr/>
        <a:lstStyle/>
        <a:p>
          <a:endParaRPr lang="es-GT"/>
        </a:p>
      </dgm:t>
    </dgm:pt>
    <dgm:pt modelId="{748F79D9-6C32-4CC0-9DE3-3FE1D54EAC61}" type="parTrans" cxnId="{15B7CFA5-32B6-4E47-8378-570EB2C152E0}">
      <dgm:prSet/>
      <dgm:spPr/>
      <dgm:t>
        <a:bodyPr/>
        <a:lstStyle/>
        <a:p>
          <a:endParaRPr lang="es-GT"/>
        </a:p>
      </dgm:t>
    </dgm:pt>
    <dgm:pt modelId="{C7FC55D6-6B8F-4819-AFE7-1F604745E109}">
      <dgm:prSet phldrT="[Texto]" custT="1"/>
      <dgm:spPr>
        <a:xfrm rot="5400000">
          <a:off x="2539546" y="-1527330"/>
          <a:ext cx="1357960" cy="4535745"/>
        </a:xfrm>
        <a:prstGeom prst="round2SameRect">
          <a:avLst/>
        </a:prstGeom>
        <a:solidFill>
          <a:sysClr val="window" lastClr="FFFFFF">
            <a:alpha val="90000"/>
            <a:hueOff val="0"/>
            <a:satOff val="0"/>
            <a:lumOff val="0"/>
            <a:alphaOff val="0"/>
          </a:sysClr>
        </a:solidFill>
        <a:ln w="12700" cap="flat" cmpd="sng" algn="ctr">
          <a:solidFill>
            <a:srgbClr val="4472C4">
              <a:shade val="50000"/>
              <a:hueOff val="0"/>
              <a:satOff val="0"/>
              <a:lumOff val="0"/>
              <a:alphaOff val="0"/>
            </a:srgbClr>
          </a:solidFill>
          <a:prstDash val="solid"/>
          <a:miter lim="800000"/>
        </a:ln>
        <a:effectLst/>
      </dgm:spPr>
      <dgm:t>
        <a:bodyPr/>
        <a:lstStyle/>
        <a:p>
          <a:pPr algn="just">
            <a:buChar char="•"/>
          </a:pPr>
          <a:r>
            <a:rPr lang="es-G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25 libras - Q20.00</a:t>
          </a:r>
        </a:p>
      </dgm:t>
    </dgm:pt>
    <dgm:pt modelId="{57DE69A8-5EA9-48D7-B578-6F5975BF72EF}" type="sibTrans" cxnId="{49C60116-26E1-4180-BFB8-BDCBF32B1A45}">
      <dgm:prSet/>
      <dgm:spPr/>
      <dgm:t>
        <a:bodyPr/>
        <a:lstStyle/>
        <a:p>
          <a:endParaRPr lang="es-GT"/>
        </a:p>
      </dgm:t>
    </dgm:pt>
    <dgm:pt modelId="{27305780-F8B2-451F-8CA6-C3BBD1BE17F2}" type="parTrans" cxnId="{49C60116-26E1-4180-BFB8-BDCBF32B1A45}">
      <dgm:prSet/>
      <dgm:spPr/>
      <dgm:t>
        <a:bodyPr/>
        <a:lstStyle/>
        <a:p>
          <a:endParaRPr lang="es-GT"/>
        </a:p>
      </dgm:t>
    </dgm:pt>
    <dgm:pt modelId="{93F6ED90-DE5E-4C60-B4BD-9272BF069B9C}">
      <dgm:prSet phldrT="[Texto]" custT="1"/>
      <dgm:spPr>
        <a:xfrm rot="5400000">
          <a:off x="2539546" y="-1527330"/>
          <a:ext cx="1357960" cy="4535745"/>
        </a:xfrm>
        <a:prstGeom prst="round2SameRect">
          <a:avLst/>
        </a:prstGeom>
        <a:solidFill>
          <a:sysClr val="window" lastClr="FFFFFF">
            <a:alpha val="90000"/>
            <a:hueOff val="0"/>
            <a:satOff val="0"/>
            <a:lumOff val="0"/>
            <a:alphaOff val="0"/>
          </a:sysClr>
        </a:solidFill>
        <a:ln w="12700" cap="flat" cmpd="sng" algn="ctr">
          <a:solidFill>
            <a:srgbClr val="4472C4">
              <a:shade val="50000"/>
              <a:hueOff val="0"/>
              <a:satOff val="0"/>
              <a:lumOff val="0"/>
              <a:alphaOff val="0"/>
            </a:srgbClr>
          </a:solidFill>
          <a:prstDash val="solid"/>
          <a:miter lim="800000"/>
        </a:ln>
        <a:effectLst/>
      </dgm:spPr>
      <dgm:t>
        <a:bodyPr/>
        <a:lstStyle/>
        <a:p>
          <a:pPr algn="just">
            <a:buChar char="•"/>
          </a:pPr>
          <a:r>
            <a:rPr lang="es-G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35 libras - Q28.00</a:t>
          </a:r>
        </a:p>
      </dgm:t>
    </dgm:pt>
    <dgm:pt modelId="{1CEB2C6E-432F-43BE-B639-ECE177EBC5B2}" type="sibTrans" cxnId="{70C96CB6-7A18-442E-8A29-B029749AF5E7}">
      <dgm:prSet/>
      <dgm:spPr/>
      <dgm:t>
        <a:bodyPr/>
        <a:lstStyle/>
        <a:p>
          <a:endParaRPr lang="es-GT"/>
        </a:p>
      </dgm:t>
    </dgm:pt>
    <dgm:pt modelId="{2AE256DF-92D5-4947-A5D4-3A0FF6FE8A88}" type="parTrans" cxnId="{70C96CB6-7A18-442E-8A29-B029749AF5E7}">
      <dgm:prSet/>
      <dgm:spPr/>
      <dgm:t>
        <a:bodyPr/>
        <a:lstStyle/>
        <a:p>
          <a:endParaRPr lang="es-GT"/>
        </a:p>
      </dgm:t>
    </dgm:pt>
    <dgm:pt modelId="{88C32BA9-F59C-4213-AA4C-DC1C81195C36}">
      <dgm:prSet phldrT="[Texto]" custT="1"/>
      <dgm:spPr>
        <a:xfrm rot="5400000">
          <a:off x="2539546" y="-1527330"/>
          <a:ext cx="1357960" cy="4535745"/>
        </a:xfrm>
        <a:prstGeom prst="round2SameRect">
          <a:avLst/>
        </a:prstGeom>
        <a:solidFill>
          <a:sysClr val="window" lastClr="FFFFFF">
            <a:alpha val="90000"/>
            <a:hueOff val="0"/>
            <a:satOff val="0"/>
            <a:lumOff val="0"/>
            <a:alphaOff val="0"/>
          </a:sysClr>
        </a:solidFill>
        <a:ln w="12700" cap="flat" cmpd="sng" algn="ctr">
          <a:solidFill>
            <a:srgbClr val="4472C4">
              <a:shade val="50000"/>
              <a:hueOff val="0"/>
              <a:satOff val="0"/>
              <a:lumOff val="0"/>
              <a:alphaOff val="0"/>
            </a:srgbClr>
          </a:solidFill>
          <a:prstDash val="solid"/>
          <a:miter lim="800000"/>
        </a:ln>
        <a:effectLst/>
      </dgm:spPr>
      <dgm:t>
        <a:bodyPr/>
        <a:lstStyle/>
        <a:p>
          <a:pPr algn="just">
            <a:buChar char="•"/>
          </a:pPr>
          <a:r>
            <a:rPr lang="es-G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 libras - Q8.00</a:t>
          </a:r>
        </a:p>
      </dgm:t>
    </dgm:pt>
    <dgm:pt modelId="{3CD4CA2E-3E56-4E73-A29F-83B29CA19A0A}" type="parTrans" cxnId="{118E2F1E-C342-480E-9389-E1E3D9C612C4}">
      <dgm:prSet/>
      <dgm:spPr/>
      <dgm:t>
        <a:bodyPr/>
        <a:lstStyle/>
        <a:p>
          <a:endParaRPr lang="es-GT"/>
        </a:p>
      </dgm:t>
    </dgm:pt>
    <dgm:pt modelId="{3045F446-7B67-41C9-876C-B5738C7DE13B}" type="sibTrans" cxnId="{118E2F1E-C342-480E-9389-E1E3D9C612C4}">
      <dgm:prSet/>
      <dgm:spPr/>
      <dgm:t>
        <a:bodyPr/>
        <a:lstStyle/>
        <a:p>
          <a:endParaRPr lang="es-GT"/>
        </a:p>
      </dgm:t>
    </dgm:pt>
    <dgm:pt modelId="{3C1543B5-7FF6-4E5F-93FA-FA497D7CA727}">
      <dgm:prSet phldrT="[Texto]" custT="1"/>
      <dgm:spPr>
        <a:xfrm rot="5400000">
          <a:off x="2539903" y="-91633"/>
          <a:ext cx="1357247" cy="4535745"/>
        </a:xfrm>
        <a:prstGeom prst="round2SameRect">
          <a:avLst/>
        </a:prstGeom>
        <a:solidFill>
          <a:sysClr val="window" lastClr="FFFFFF">
            <a:alpha val="90000"/>
            <a:hueOff val="0"/>
            <a:satOff val="0"/>
            <a:lumOff val="0"/>
            <a:alphaOff val="0"/>
          </a:sysClr>
        </a:solidFill>
        <a:ln w="12700" cap="flat" cmpd="sng" algn="ctr">
          <a:solidFill>
            <a:srgbClr val="4472C4">
              <a:shade val="50000"/>
              <a:hueOff val="268329"/>
              <a:satOff val="-6535"/>
              <a:lumOff val="28597"/>
              <a:alphaOff val="0"/>
            </a:srgbClr>
          </a:solidFill>
          <a:prstDash val="solid"/>
          <a:miter lim="800000"/>
        </a:ln>
        <a:effectLst/>
      </dgm:spPr>
      <dgm:t>
        <a:bodyPr/>
        <a:lstStyle/>
        <a:p>
          <a:pPr algn="just">
            <a:buChar char="•"/>
          </a:pPr>
          <a:r>
            <a:rPr lang="es-G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Decreto 20-2022 considero un subsidio a los consumidores de diésel siendo Q5.00 por galon y Q2.50 a los consumidores de gasolina regular</a:t>
          </a:r>
        </a:p>
      </dgm:t>
    </dgm:pt>
    <dgm:pt modelId="{2203E417-D9C4-402B-9C6D-BE4A80BB0143}" type="parTrans" cxnId="{F86A3493-BC02-4B63-ADFE-CE9ADC4E4390}">
      <dgm:prSet/>
      <dgm:spPr/>
      <dgm:t>
        <a:bodyPr/>
        <a:lstStyle/>
        <a:p>
          <a:endParaRPr lang="es-GT"/>
        </a:p>
      </dgm:t>
    </dgm:pt>
    <dgm:pt modelId="{3E820E41-2F03-4E85-8315-457FC40DE3D8}" type="sibTrans" cxnId="{F86A3493-BC02-4B63-ADFE-CE9ADC4E4390}">
      <dgm:prSet/>
      <dgm:spPr/>
      <dgm:t>
        <a:bodyPr/>
        <a:lstStyle/>
        <a:p>
          <a:endParaRPr lang="es-GT"/>
        </a:p>
      </dgm:t>
    </dgm:pt>
    <dgm:pt modelId="{AE732180-FA6B-4959-97B2-CFF254F928C8}">
      <dgm:prSet phldrT="[Texto]" custT="1"/>
      <dgm:spPr>
        <a:xfrm rot="5400000">
          <a:off x="2539903" y="-91633"/>
          <a:ext cx="1357247" cy="4535745"/>
        </a:xfrm>
        <a:prstGeom prst="round2SameRect">
          <a:avLst/>
        </a:prstGeom>
        <a:solidFill>
          <a:sysClr val="window" lastClr="FFFFFF">
            <a:alpha val="90000"/>
            <a:hueOff val="0"/>
            <a:satOff val="0"/>
            <a:lumOff val="0"/>
            <a:alphaOff val="0"/>
          </a:sysClr>
        </a:solidFill>
        <a:ln w="12700" cap="flat" cmpd="sng" algn="ctr">
          <a:solidFill>
            <a:srgbClr val="4472C4">
              <a:shade val="50000"/>
              <a:hueOff val="268329"/>
              <a:satOff val="-6535"/>
              <a:lumOff val="28597"/>
              <a:alphaOff val="0"/>
            </a:srgbClr>
          </a:solidFill>
          <a:prstDash val="solid"/>
          <a:miter lim="800000"/>
        </a:ln>
        <a:effectLst/>
      </dgm:spPr>
      <dgm:t>
        <a:bodyPr/>
        <a:lstStyle/>
        <a:p>
          <a:pPr algn="just">
            <a:buChar char="•"/>
          </a:pPr>
          <a:r>
            <a:rPr lang="es-G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Decreto 42-2022, en este decreto unicamente se considera al combustible diésel (Q5.00 por galón)  </a:t>
          </a:r>
        </a:p>
      </dgm:t>
    </dgm:pt>
    <dgm:pt modelId="{9964B640-41BB-4E51-B5FE-875639E1E335}" type="parTrans" cxnId="{BF1D3455-FBA0-47D9-AD6E-13B86E8F86F6}">
      <dgm:prSet/>
      <dgm:spPr/>
      <dgm:t>
        <a:bodyPr/>
        <a:lstStyle/>
        <a:p>
          <a:endParaRPr lang="es-GT"/>
        </a:p>
      </dgm:t>
    </dgm:pt>
    <dgm:pt modelId="{B1597D36-2703-4B8F-927C-41648ED264EC}" type="sibTrans" cxnId="{BF1D3455-FBA0-47D9-AD6E-13B86E8F86F6}">
      <dgm:prSet/>
      <dgm:spPr/>
      <dgm:t>
        <a:bodyPr/>
        <a:lstStyle/>
        <a:p>
          <a:endParaRPr lang="es-GT"/>
        </a:p>
      </dgm:t>
    </dgm:pt>
    <dgm:pt modelId="{74F6701F-3794-46D8-B467-2A06CD453442}">
      <dgm:prSet phldrT="[Texto]" custT="1"/>
      <dgm:spPr>
        <a:xfrm rot="5400000">
          <a:off x="2566298" y="1317901"/>
          <a:ext cx="1304458" cy="4535745"/>
        </a:xfrm>
        <a:prstGeom prst="round2SameRect">
          <a:avLst/>
        </a:prstGeom>
        <a:solidFill>
          <a:sysClr val="window" lastClr="FFFFFF">
            <a:alpha val="90000"/>
            <a:hueOff val="0"/>
            <a:satOff val="0"/>
            <a:lumOff val="0"/>
            <a:alphaOff val="0"/>
          </a:sysClr>
        </a:solidFill>
        <a:ln w="12700" cap="flat" cmpd="sng" algn="ctr">
          <a:solidFill>
            <a:srgbClr val="4472C4">
              <a:shade val="50000"/>
              <a:hueOff val="268329"/>
              <a:satOff val="-6535"/>
              <a:lumOff val="28597"/>
              <a:alphaOff val="0"/>
            </a:srgbClr>
          </a:solidFill>
          <a:prstDash val="solid"/>
          <a:miter lim="800000"/>
        </a:ln>
        <a:effectLst/>
      </dgm:spPr>
      <dgm:t>
        <a:bodyPr/>
        <a:lstStyle/>
        <a:p>
          <a:pPr algn="just">
            <a:buChar char="•"/>
          </a:pPr>
          <a:r>
            <a:rPr lang="es-G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Decreto 25-2022, estuvo enfocado en usuarios regulados de distribución final de energía eléctrica que consuman mensualmente entre 89 kWh hasta 100 kWh al mes, pagando una tarifa de Q1.00 por kWh</a:t>
          </a:r>
        </a:p>
      </dgm:t>
    </dgm:pt>
    <dgm:pt modelId="{4373CC5E-2261-4C31-8642-BD87C17D6EB9}" type="parTrans" cxnId="{87C601F0-C3AE-47F8-958E-B73837F2DF5D}">
      <dgm:prSet/>
      <dgm:spPr/>
      <dgm:t>
        <a:bodyPr/>
        <a:lstStyle/>
        <a:p>
          <a:endParaRPr lang="es-GT"/>
        </a:p>
      </dgm:t>
    </dgm:pt>
    <dgm:pt modelId="{E1B59FC9-7900-43D8-A93E-8768B715EA31}" type="sibTrans" cxnId="{87C601F0-C3AE-47F8-958E-B73837F2DF5D}">
      <dgm:prSet/>
      <dgm:spPr/>
      <dgm:t>
        <a:bodyPr/>
        <a:lstStyle/>
        <a:p>
          <a:endParaRPr lang="es-GT"/>
        </a:p>
      </dgm:t>
    </dgm:pt>
    <dgm:pt modelId="{C92D4F64-54DA-480C-BCE1-9FB85BBDBD28}">
      <dgm:prSet phldrT="[Texto]" custT="1"/>
      <dgm:spPr>
        <a:xfrm rot="5400000">
          <a:off x="2566298" y="1317901"/>
          <a:ext cx="1304458" cy="4535745"/>
        </a:xfrm>
        <a:prstGeom prst="round2SameRect">
          <a:avLst/>
        </a:prstGeom>
        <a:solidFill>
          <a:sysClr val="window" lastClr="FFFFFF">
            <a:alpha val="90000"/>
            <a:hueOff val="0"/>
            <a:satOff val="0"/>
            <a:lumOff val="0"/>
            <a:alphaOff val="0"/>
          </a:sysClr>
        </a:solidFill>
        <a:ln w="12700" cap="flat" cmpd="sng" algn="ctr">
          <a:solidFill>
            <a:srgbClr val="4472C4">
              <a:shade val="50000"/>
              <a:hueOff val="268329"/>
              <a:satOff val="-6535"/>
              <a:lumOff val="28597"/>
              <a:alphaOff val="0"/>
            </a:srgbClr>
          </a:solidFill>
          <a:prstDash val="solid"/>
          <a:miter lim="800000"/>
        </a:ln>
        <a:effectLst/>
      </dgm:spPr>
      <dgm:t>
        <a:bodyPr/>
        <a:lstStyle/>
        <a:p>
          <a:pPr algn="just">
            <a:buChar char="•"/>
          </a:pPr>
          <a:r>
            <a:rPr lang="es-G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Decreto 43-2022, amplia a los beneficiarios del aporte social a la energía eléctrica al cubrir a los usuarios regulados que consuman entre 101 kWh hasta 125 kWh. </a:t>
          </a:r>
        </a:p>
      </dgm:t>
    </dgm:pt>
    <dgm:pt modelId="{34FC9B6B-3317-48F8-8F4A-BD0FBDE3B13C}" type="parTrans" cxnId="{F3E23064-6645-46A3-9FD8-A9FD0DA5893E}">
      <dgm:prSet/>
      <dgm:spPr/>
      <dgm:t>
        <a:bodyPr/>
        <a:lstStyle/>
        <a:p>
          <a:endParaRPr lang="es-GT"/>
        </a:p>
      </dgm:t>
    </dgm:pt>
    <dgm:pt modelId="{358A23D5-F96C-4461-B278-63D5E684A175}" type="sibTrans" cxnId="{F3E23064-6645-46A3-9FD8-A9FD0DA5893E}">
      <dgm:prSet/>
      <dgm:spPr/>
      <dgm:t>
        <a:bodyPr/>
        <a:lstStyle/>
        <a:p>
          <a:endParaRPr lang="es-GT"/>
        </a:p>
      </dgm:t>
    </dgm:pt>
    <dgm:pt modelId="{6161273B-8538-4209-93A4-C2355D48D3AD}">
      <dgm:prSet phldrT="[Texto]" custT="1"/>
      <dgm:spPr>
        <a:xfrm rot="5400000">
          <a:off x="2539903" y="-91633"/>
          <a:ext cx="1357247" cy="4535745"/>
        </a:xfrm>
        <a:prstGeom prst="round2SameRect">
          <a:avLst/>
        </a:prstGeom>
        <a:solidFill>
          <a:sysClr val="window" lastClr="FFFFFF">
            <a:alpha val="90000"/>
            <a:hueOff val="0"/>
            <a:satOff val="0"/>
            <a:lumOff val="0"/>
            <a:alphaOff val="0"/>
          </a:sysClr>
        </a:solidFill>
        <a:ln w="12700" cap="flat" cmpd="sng" algn="ctr">
          <a:solidFill>
            <a:srgbClr val="4472C4">
              <a:shade val="50000"/>
              <a:hueOff val="268329"/>
              <a:satOff val="-6535"/>
              <a:lumOff val="28597"/>
              <a:alphaOff val="0"/>
            </a:srgbClr>
          </a:solidFill>
          <a:prstDash val="solid"/>
          <a:miter lim="800000"/>
        </a:ln>
        <a:effectLst/>
      </dgm:spPr>
      <dgm:t>
        <a:bodyPr/>
        <a:lstStyle/>
        <a:p>
          <a:pPr algn="just">
            <a:buChar char="•"/>
          </a:pPr>
          <a:r>
            <a:rPr lang="es-G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Decreto 28-2022, se amplió el apoyo temporal a los consumidores de diésel a Q7.00 por galón y gasolina regular Q5.00 por galón y se incluyó a la gasolina superior Q5.00 por galón</a:t>
          </a:r>
        </a:p>
      </dgm:t>
    </dgm:pt>
    <dgm:pt modelId="{84557D97-9FA6-4A3C-9B31-6B7CA62A1A0F}" type="parTrans" cxnId="{BFBA3826-7430-48F9-AB91-1ABF81E1C449}">
      <dgm:prSet/>
      <dgm:spPr/>
      <dgm:t>
        <a:bodyPr/>
        <a:lstStyle/>
        <a:p>
          <a:endParaRPr lang="es-GT"/>
        </a:p>
      </dgm:t>
    </dgm:pt>
    <dgm:pt modelId="{9B44B7B9-AD0D-4D24-B7B4-60CBE1945B1A}" type="sibTrans" cxnId="{BFBA3826-7430-48F9-AB91-1ABF81E1C449}">
      <dgm:prSet/>
      <dgm:spPr/>
      <dgm:t>
        <a:bodyPr/>
        <a:lstStyle/>
        <a:p>
          <a:endParaRPr lang="es-GT"/>
        </a:p>
      </dgm:t>
    </dgm:pt>
    <dgm:pt modelId="{03EC9564-8A28-401E-B9C6-992EA8B7778E}" type="pres">
      <dgm:prSet presAssocID="{5FBFF4CB-6D61-4903-AE35-5198C15679CD}" presName="linearFlow" presStyleCnt="0">
        <dgm:presLayoutVars>
          <dgm:dir/>
          <dgm:animLvl val="lvl"/>
          <dgm:resizeHandles val="exact"/>
        </dgm:presLayoutVars>
      </dgm:prSet>
      <dgm:spPr/>
    </dgm:pt>
    <dgm:pt modelId="{F9C4B97F-0B04-4C52-AB79-10D0B5F7047E}" type="pres">
      <dgm:prSet presAssocID="{B9CCAEE6-DBF1-4A58-8283-55F145B2D95D}" presName="composite" presStyleCnt="0"/>
      <dgm:spPr/>
    </dgm:pt>
    <dgm:pt modelId="{C41B02D8-8A1D-42B6-9D65-A25EB00D6AA5}" type="pres">
      <dgm:prSet presAssocID="{B9CCAEE6-DBF1-4A58-8283-55F145B2D95D}" presName="parentText" presStyleLbl="alignNode1" presStyleIdx="0" presStyleCnt="3">
        <dgm:presLayoutVars>
          <dgm:chMax val="1"/>
          <dgm:bulletEnabled val="1"/>
        </dgm:presLayoutVars>
      </dgm:prSet>
      <dgm:spPr/>
    </dgm:pt>
    <dgm:pt modelId="{7F15AAFB-C41D-4E5C-8958-7E3A1351D8D6}" type="pres">
      <dgm:prSet presAssocID="{B9CCAEE6-DBF1-4A58-8283-55F145B2D95D}" presName="descendantText" presStyleLbl="alignAcc1" presStyleIdx="0" presStyleCnt="3" custScaleY="128634">
        <dgm:presLayoutVars>
          <dgm:bulletEnabled val="1"/>
        </dgm:presLayoutVars>
      </dgm:prSet>
      <dgm:spPr/>
    </dgm:pt>
    <dgm:pt modelId="{67ACF56A-E9AD-4993-99B8-4B026BCF96B7}" type="pres">
      <dgm:prSet presAssocID="{B1F520B9-6E12-499B-8CFA-707BDE48DA93}" presName="sp" presStyleCnt="0"/>
      <dgm:spPr/>
    </dgm:pt>
    <dgm:pt modelId="{FC74235A-250D-499B-ACB3-0D72E2C3BDF7}" type="pres">
      <dgm:prSet presAssocID="{0D8E6E9E-A844-4D17-986B-509517868F17}" presName="composite" presStyleCnt="0"/>
      <dgm:spPr/>
    </dgm:pt>
    <dgm:pt modelId="{02854CE8-8D42-4870-A4B2-C197234DDB8D}" type="pres">
      <dgm:prSet presAssocID="{0D8E6E9E-A844-4D17-986B-509517868F17}" presName="parentText" presStyleLbl="alignNode1" presStyleIdx="1" presStyleCnt="3">
        <dgm:presLayoutVars>
          <dgm:chMax val="1"/>
          <dgm:bulletEnabled val="1"/>
        </dgm:presLayoutVars>
      </dgm:prSet>
      <dgm:spPr/>
    </dgm:pt>
    <dgm:pt modelId="{29506806-400B-403D-8F74-34021F55C601}" type="pres">
      <dgm:prSet presAssocID="{0D8E6E9E-A844-4D17-986B-509517868F17}" presName="descendantText" presStyleLbl="alignAcc1" presStyleIdx="1" presStyleCnt="3" custScaleY="133623">
        <dgm:presLayoutVars>
          <dgm:bulletEnabled val="1"/>
        </dgm:presLayoutVars>
      </dgm:prSet>
      <dgm:spPr/>
    </dgm:pt>
    <dgm:pt modelId="{73E23A84-8C0B-4BBA-A83A-96661243AFEC}" type="pres">
      <dgm:prSet presAssocID="{2DD62AEE-FCDB-494C-9A1C-886252C6C56A}" presName="sp" presStyleCnt="0"/>
      <dgm:spPr/>
    </dgm:pt>
    <dgm:pt modelId="{09F3FFB6-AC82-48F0-AFE7-660406B796A4}" type="pres">
      <dgm:prSet presAssocID="{03A56EA5-D4F8-4EC6-A14C-572AC494B0C9}" presName="composite" presStyleCnt="0"/>
      <dgm:spPr/>
    </dgm:pt>
    <dgm:pt modelId="{4E846E43-CFA7-42C4-9D36-63725B338952}" type="pres">
      <dgm:prSet presAssocID="{03A56EA5-D4F8-4EC6-A14C-572AC494B0C9}" presName="parentText" presStyleLbl="alignNode1" presStyleIdx="2" presStyleCnt="3">
        <dgm:presLayoutVars>
          <dgm:chMax val="1"/>
          <dgm:bulletEnabled val="1"/>
        </dgm:presLayoutVars>
      </dgm:prSet>
      <dgm:spPr/>
    </dgm:pt>
    <dgm:pt modelId="{2C059829-FA43-4B35-828E-A42751D5BE0E}" type="pres">
      <dgm:prSet presAssocID="{03A56EA5-D4F8-4EC6-A14C-572AC494B0C9}" presName="descendantText" presStyleLbl="alignAcc1" presStyleIdx="2" presStyleCnt="3" custScaleY="154065">
        <dgm:presLayoutVars>
          <dgm:bulletEnabled val="1"/>
        </dgm:presLayoutVars>
      </dgm:prSet>
      <dgm:spPr/>
    </dgm:pt>
  </dgm:ptLst>
  <dgm:cxnLst>
    <dgm:cxn modelId="{B0698201-B054-4258-9F5B-BAD67DEF44BB}" type="presOf" srcId="{B9CCAEE6-DBF1-4A58-8283-55F145B2D95D}" destId="{C41B02D8-8A1D-42B6-9D65-A25EB00D6AA5}" srcOrd="0" destOrd="0" presId="urn:microsoft.com/office/officeart/2005/8/layout/chevron2"/>
    <dgm:cxn modelId="{0C51A112-D125-4EAB-8B3E-B4E83D1B2361}" type="presOf" srcId="{0D8E6E9E-A844-4D17-986B-509517868F17}" destId="{02854CE8-8D42-4870-A4B2-C197234DDB8D}" srcOrd="0" destOrd="0" presId="urn:microsoft.com/office/officeart/2005/8/layout/chevron2"/>
    <dgm:cxn modelId="{0ECBB813-3DB4-45CA-809B-DB0582559F98}" srcId="{5FBFF4CB-6D61-4903-AE35-5198C15679CD}" destId="{0D8E6E9E-A844-4D17-986B-509517868F17}" srcOrd="1" destOrd="0" parTransId="{889C9C2A-46CA-44C1-AB8D-FB74A668E6EA}" sibTransId="{2DD62AEE-FCDB-494C-9A1C-886252C6C56A}"/>
    <dgm:cxn modelId="{49C60116-26E1-4180-BFB8-BDCBF32B1A45}" srcId="{A49A0C08-792D-40F2-963C-0206C34A8748}" destId="{C7FC55D6-6B8F-4819-AFE7-1F604745E109}" srcOrd="2" destOrd="0" parTransId="{27305780-F8B2-451F-8CA6-C3BBD1BE17F2}" sibTransId="{57DE69A8-5EA9-48D7-B578-6F5975BF72EF}"/>
    <dgm:cxn modelId="{994B0D1C-9D34-4EB6-9892-DFEABF17F25F}" type="presOf" srcId="{45CFA25F-971B-47DE-B908-8A1262EE1320}" destId="{7F15AAFB-C41D-4E5C-8958-7E3A1351D8D6}" srcOrd="0" destOrd="2" presId="urn:microsoft.com/office/officeart/2005/8/layout/chevron2"/>
    <dgm:cxn modelId="{118E2F1E-C342-480E-9389-E1E3D9C612C4}" srcId="{A49A0C08-792D-40F2-963C-0206C34A8748}" destId="{88C32BA9-F59C-4213-AA4C-DC1C81195C36}" srcOrd="0" destOrd="0" parTransId="{3CD4CA2E-3E56-4E73-A29F-83B29CA19A0A}" sibTransId="{3045F446-7B67-41C9-876C-B5738C7DE13B}"/>
    <dgm:cxn modelId="{B4424420-10B5-4991-8595-656B29C51D96}" type="presOf" srcId="{5FBFF4CB-6D61-4903-AE35-5198C15679CD}" destId="{03EC9564-8A28-401E-B9C6-992EA8B7778E}" srcOrd="0" destOrd="0" presId="urn:microsoft.com/office/officeart/2005/8/layout/chevron2"/>
    <dgm:cxn modelId="{BFBA3826-7430-48F9-AB91-1ABF81E1C449}" srcId="{7680425C-36E1-43EC-877D-634B88B1F8BC}" destId="{6161273B-8538-4209-93A4-C2355D48D3AD}" srcOrd="1" destOrd="0" parTransId="{84557D97-9FA6-4A3C-9B31-6B7CA62A1A0F}" sibTransId="{9B44B7B9-AD0D-4D24-B7B4-60CBE1945B1A}"/>
    <dgm:cxn modelId="{AAF1402A-1A0E-413B-8D3C-84C02E3A42B0}" srcId="{5FBFF4CB-6D61-4903-AE35-5198C15679CD}" destId="{03A56EA5-D4F8-4EC6-A14C-572AC494B0C9}" srcOrd="2" destOrd="0" parTransId="{9665ED9F-2288-437D-99A4-366F2D55DD0C}" sibTransId="{C468CF5B-0037-400D-9873-19ED91BD535B}"/>
    <dgm:cxn modelId="{E1BD933C-2747-4C2D-A9C9-3436D32C6BA7}" srcId="{5FBFF4CB-6D61-4903-AE35-5198C15679CD}" destId="{B9CCAEE6-DBF1-4A58-8283-55F145B2D95D}" srcOrd="0" destOrd="0" parTransId="{94BBAF7D-C258-49D8-A6F3-26F8D3D6C05F}" sibTransId="{B1F520B9-6E12-499B-8CFA-707BDE48DA93}"/>
    <dgm:cxn modelId="{5D7D4542-1908-4FFC-9D66-0E5BE8AB3601}" srcId="{B9CCAEE6-DBF1-4A58-8283-55F145B2D95D}" destId="{A49A0C08-792D-40F2-963C-0206C34A8748}" srcOrd="0" destOrd="0" parTransId="{4F8DFD97-C1DD-4D78-88C3-A949F82100AC}" sibTransId="{03A841B2-3F11-4DDF-BA04-D2B7282D325F}"/>
    <dgm:cxn modelId="{BEEA3143-7A6C-410E-8A24-3DB47B4BC470}" type="presOf" srcId="{BD00F985-5BF1-406F-B8A6-E69E74DCC2D0}" destId="{2C059829-FA43-4B35-828E-A42751D5BE0E}" srcOrd="0" destOrd="0" presId="urn:microsoft.com/office/officeart/2005/8/layout/chevron2"/>
    <dgm:cxn modelId="{F3E23064-6645-46A3-9FD8-A9FD0DA5893E}" srcId="{BD00F985-5BF1-406F-B8A6-E69E74DCC2D0}" destId="{C92D4F64-54DA-480C-BCE1-9FB85BBDBD28}" srcOrd="1" destOrd="0" parTransId="{34FC9B6B-3317-48F8-8F4A-BD0FBDE3B13C}" sibTransId="{358A23D5-F96C-4461-B278-63D5E684A175}"/>
    <dgm:cxn modelId="{4E515B48-A51D-4695-87FE-B7A867797F36}" type="presOf" srcId="{03A56EA5-D4F8-4EC6-A14C-572AC494B0C9}" destId="{4E846E43-CFA7-42C4-9D36-63725B338952}" srcOrd="0" destOrd="0" presId="urn:microsoft.com/office/officeart/2005/8/layout/chevron2"/>
    <dgm:cxn modelId="{C9B3BC6C-0097-4234-A5F1-86AA400FC3EC}" type="presOf" srcId="{7680425C-36E1-43EC-877D-634B88B1F8BC}" destId="{29506806-400B-403D-8F74-34021F55C601}" srcOrd="0" destOrd="0" presId="urn:microsoft.com/office/officeart/2005/8/layout/chevron2"/>
    <dgm:cxn modelId="{BF1D3455-FBA0-47D9-AD6E-13B86E8F86F6}" srcId="{7680425C-36E1-43EC-877D-634B88B1F8BC}" destId="{AE732180-FA6B-4959-97B2-CFF254F928C8}" srcOrd="2" destOrd="0" parTransId="{9964B640-41BB-4E51-B5FE-875639E1E335}" sibTransId="{B1597D36-2703-4B8F-927C-41648ED264EC}"/>
    <dgm:cxn modelId="{2B465056-B735-45D9-A366-5C56B65798BD}" type="presOf" srcId="{C92D4F64-54DA-480C-BCE1-9FB85BBDBD28}" destId="{2C059829-FA43-4B35-828E-A42751D5BE0E}" srcOrd="0" destOrd="2" presId="urn:microsoft.com/office/officeart/2005/8/layout/chevron2"/>
    <dgm:cxn modelId="{314AB277-FB25-4EF7-994F-7A33092E3AA5}" type="presOf" srcId="{AE732180-FA6B-4959-97B2-CFF254F928C8}" destId="{29506806-400B-403D-8F74-34021F55C601}" srcOrd="0" destOrd="3" presId="urn:microsoft.com/office/officeart/2005/8/layout/chevron2"/>
    <dgm:cxn modelId="{94EC8559-04F0-4F0D-B52E-D5B6FF390F58}" type="presOf" srcId="{6161273B-8538-4209-93A4-C2355D48D3AD}" destId="{29506806-400B-403D-8F74-34021F55C601}" srcOrd="0" destOrd="2" presId="urn:microsoft.com/office/officeart/2005/8/layout/chevron2"/>
    <dgm:cxn modelId="{F86A3493-BC02-4B63-ADFE-CE9ADC4E4390}" srcId="{7680425C-36E1-43EC-877D-634B88B1F8BC}" destId="{3C1543B5-7FF6-4E5F-93FA-FA497D7CA727}" srcOrd="0" destOrd="0" parTransId="{2203E417-D9C4-402B-9C6D-BE4A80BB0143}" sibTransId="{3E820E41-2F03-4E85-8315-457FC40DE3D8}"/>
    <dgm:cxn modelId="{A0136895-5402-4FAC-9B7C-1836421F7442}" srcId="{03A56EA5-D4F8-4EC6-A14C-572AC494B0C9}" destId="{BD00F985-5BF1-406F-B8A6-E69E74DCC2D0}" srcOrd="0" destOrd="0" parTransId="{3160FA2A-57C6-4076-BC39-3710EE8D9636}" sibTransId="{E6C88FBB-B0B4-451D-8645-BE5DCF0E94A1}"/>
    <dgm:cxn modelId="{011D3E9B-0CF3-4866-A7D5-7E624E2C0E40}" type="presOf" srcId="{93F6ED90-DE5E-4C60-B4BD-9272BF069B9C}" destId="{7F15AAFB-C41D-4E5C-8958-7E3A1351D8D6}" srcOrd="0" destOrd="4" presId="urn:microsoft.com/office/officeart/2005/8/layout/chevron2"/>
    <dgm:cxn modelId="{15B7CFA5-32B6-4E47-8378-570EB2C152E0}" srcId="{A49A0C08-792D-40F2-963C-0206C34A8748}" destId="{45CFA25F-971B-47DE-B908-8A1262EE1320}" srcOrd="1" destOrd="0" parTransId="{748F79D9-6C32-4CC0-9DE3-3FE1D54EAC61}" sibTransId="{971B66EC-6520-467B-9A5F-612CBF104027}"/>
    <dgm:cxn modelId="{66809AAC-7C51-4C77-916E-DC7F939F5BA4}" srcId="{0D8E6E9E-A844-4D17-986B-509517868F17}" destId="{7680425C-36E1-43EC-877D-634B88B1F8BC}" srcOrd="0" destOrd="0" parTransId="{BC3031BC-DE09-4FD9-96AA-50F51DB1AD5A}" sibTransId="{E2B54A47-CC3E-4764-A796-F99B98045754}"/>
    <dgm:cxn modelId="{BC620BB4-80AC-4F33-9A63-7DB826C81791}" type="presOf" srcId="{3C1543B5-7FF6-4E5F-93FA-FA497D7CA727}" destId="{29506806-400B-403D-8F74-34021F55C601}" srcOrd="0" destOrd="1" presId="urn:microsoft.com/office/officeart/2005/8/layout/chevron2"/>
    <dgm:cxn modelId="{70C96CB6-7A18-442E-8A29-B029749AF5E7}" srcId="{A49A0C08-792D-40F2-963C-0206C34A8748}" destId="{93F6ED90-DE5E-4C60-B4BD-9272BF069B9C}" srcOrd="3" destOrd="0" parTransId="{2AE256DF-92D5-4947-A5D4-3A0FF6FE8A88}" sibTransId="{1CEB2C6E-432F-43BE-B639-ECE177EBC5B2}"/>
    <dgm:cxn modelId="{3D21A6BB-6CC8-4F5A-90DE-9CE2435BF243}" type="presOf" srcId="{88C32BA9-F59C-4213-AA4C-DC1C81195C36}" destId="{7F15AAFB-C41D-4E5C-8958-7E3A1351D8D6}" srcOrd="0" destOrd="1" presId="urn:microsoft.com/office/officeart/2005/8/layout/chevron2"/>
    <dgm:cxn modelId="{578DBDD0-A702-4C30-9749-EBD561F77429}" type="presOf" srcId="{74F6701F-3794-46D8-B467-2A06CD453442}" destId="{2C059829-FA43-4B35-828E-A42751D5BE0E}" srcOrd="0" destOrd="1" presId="urn:microsoft.com/office/officeart/2005/8/layout/chevron2"/>
    <dgm:cxn modelId="{E1458AE2-E420-4CB1-A0F8-755C7444EB3D}" type="presOf" srcId="{C7FC55D6-6B8F-4819-AFE7-1F604745E109}" destId="{7F15AAFB-C41D-4E5C-8958-7E3A1351D8D6}" srcOrd="0" destOrd="3" presId="urn:microsoft.com/office/officeart/2005/8/layout/chevron2"/>
    <dgm:cxn modelId="{87C601F0-C3AE-47F8-958E-B73837F2DF5D}" srcId="{BD00F985-5BF1-406F-B8A6-E69E74DCC2D0}" destId="{74F6701F-3794-46D8-B467-2A06CD453442}" srcOrd="0" destOrd="0" parTransId="{4373CC5E-2261-4C31-8642-BD87C17D6EB9}" sibTransId="{E1B59FC9-7900-43D8-A93E-8768B715EA31}"/>
    <dgm:cxn modelId="{E2E0FEF9-11FE-4C68-826E-E0B04077184B}" type="presOf" srcId="{A49A0C08-792D-40F2-963C-0206C34A8748}" destId="{7F15AAFB-C41D-4E5C-8958-7E3A1351D8D6}" srcOrd="0" destOrd="0" presId="urn:microsoft.com/office/officeart/2005/8/layout/chevron2"/>
    <dgm:cxn modelId="{160DC113-B3AD-47E3-B267-692BB5AE9FC9}" type="presParOf" srcId="{03EC9564-8A28-401E-B9C6-992EA8B7778E}" destId="{F9C4B97F-0B04-4C52-AB79-10D0B5F7047E}" srcOrd="0" destOrd="0" presId="urn:microsoft.com/office/officeart/2005/8/layout/chevron2"/>
    <dgm:cxn modelId="{8D2A13C8-5017-4BBB-937E-E0689C1F9FCA}" type="presParOf" srcId="{F9C4B97F-0B04-4C52-AB79-10D0B5F7047E}" destId="{C41B02D8-8A1D-42B6-9D65-A25EB00D6AA5}" srcOrd="0" destOrd="0" presId="urn:microsoft.com/office/officeart/2005/8/layout/chevron2"/>
    <dgm:cxn modelId="{5DECF8AF-D642-45E9-B618-D53767D67583}" type="presParOf" srcId="{F9C4B97F-0B04-4C52-AB79-10D0B5F7047E}" destId="{7F15AAFB-C41D-4E5C-8958-7E3A1351D8D6}" srcOrd="1" destOrd="0" presId="urn:microsoft.com/office/officeart/2005/8/layout/chevron2"/>
    <dgm:cxn modelId="{2E357276-765A-40B9-8064-FCAC3A7229CC}" type="presParOf" srcId="{03EC9564-8A28-401E-B9C6-992EA8B7778E}" destId="{67ACF56A-E9AD-4993-99B8-4B026BCF96B7}" srcOrd="1" destOrd="0" presId="urn:microsoft.com/office/officeart/2005/8/layout/chevron2"/>
    <dgm:cxn modelId="{CDE6B994-6A22-4FAF-8D8B-CFABC91151B7}" type="presParOf" srcId="{03EC9564-8A28-401E-B9C6-992EA8B7778E}" destId="{FC74235A-250D-499B-ACB3-0D72E2C3BDF7}" srcOrd="2" destOrd="0" presId="urn:microsoft.com/office/officeart/2005/8/layout/chevron2"/>
    <dgm:cxn modelId="{4E2A68B1-39DA-49E4-984F-7663BB9A268D}" type="presParOf" srcId="{FC74235A-250D-499B-ACB3-0D72E2C3BDF7}" destId="{02854CE8-8D42-4870-A4B2-C197234DDB8D}" srcOrd="0" destOrd="0" presId="urn:microsoft.com/office/officeart/2005/8/layout/chevron2"/>
    <dgm:cxn modelId="{A30E3A99-8D04-4A49-A466-84C54A75B449}" type="presParOf" srcId="{FC74235A-250D-499B-ACB3-0D72E2C3BDF7}" destId="{29506806-400B-403D-8F74-34021F55C601}" srcOrd="1" destOrd="0" presId="urn:microsoft.com/office/officeart/2005/8/layout/chevron2"/>
    <dgm:cxn modelId="{F82FA9AF-FF01-4A03-BBA7-A33A1ABCEE77}" type="presParOf" srcId="{03EC9564-8A28-401E-B9C6-992EA8B7778E}" destId="{73E23A84-8C0B-4BBA-A83A-96661243AFEC}" srcOrd="3" destOrd="0" presId="urn:microsoft.com/office/officeart/2005/8/layout/chevron2"/>
    <dgm:cxn modelId="{F6967AD5-D0BC-47B2-B0D7-7F806573B99C}" type="presParOf" srcId="{03EC9564-8A28-401E-B9C6-992EA8B7778E}" destId="{09F3FFB6-AC82-48F0-AFE7-660406B796A4}" srcOrd="4" destOrd="0" presId="urn:microsoft.com/office/officeart/2005/8/layout/chevron2"/>
    <dgm:cxn modelId="{1A8582EA-7E06-4FD6-916A-EFFA6D8AE7AF}" type="presParOf" srcId="{09F3FFB6-AC82-48F0-AFE7-660406B796A4}" destId="{4E846E43-CFA7-42C4-9D36-63725B338952}" srcOrd="0" destOrd="0" presId="urn:microsoft.com/office/officeart/2005/8/layout/chevron2"/>
    <dgm:cxn modelId="{454A16AB-32B8-4D2B-A648-9C397FEE7952}" type="presParOf" srcId="{09F3FFB6-AC82-48F0-AFE7-660406B796A4}" destId="{2C059829-FA43-4B35-828E-A42751D5BE0E}" srcOrd="1" destOrd="0" presId="urn:microsoft.com/office/officeart/2005/8/layout/chevron2"/>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681C0B2-2EA8-40C5-A6BA-B48D6A1A6D43}" type="doc">
      <dgm:prSet loTypeId="urn:microsoft.com/office/officeart/2008/layout/HorizontalMultiLevelHierarchy" loCatId="hierarchy" qsTypeId="urn:microsoft.com/office/officeart/2005/8/quickstyle/3d3" qsCatId="3D" csTypeId="urn:microsoft.com/office/officeart/2005/8/colors/accent0_2" csCatId="mainScheme" phldr="1"/>
      <dgm:spPr/>
      <dgm:t>
        <a:bodyPr/>
        <a:lstStyle/>
        <a:p>
          <a:endParaRPr lang="es-ES"/>
        </a:p>
      </dgm:t>
    </dgm:pt>
    <dgm:pt modelId="{7A80290F-F723-432A-AD4F-4F7D47BF18A6}">
      <dgm:prSet phldrT="[Texto]" custT="1"/>
      <dgm:spPr/>
      <dgm:t>
        <a:bodyPr/>
        <a:lstStyle/>
        <a:p>
          <a:r>
            <a:rPr lang="es-ES" sz="800">
              <a:solidFill>
                <a:sysClr val="windowText" lastClr="000000"/>
              </a:solidFill>
              <a:latin typeface="Times New Roman" panose="02020603050405020304" pitchFamily="18" charset="0"/>
              <a:cs typeface="Times New Roman" panose="02020603050405020304" pitchFamily="18" charset="0"/>
            </a:rPr>
            <a:t>Sector Público</a:t>
          </a:r>
        </a:p>
      </dgm:t>
    </dgm:pt>
    <dgm:pt modelId="{1F1683BE-9315-4255-B400-9BF4AC7A9A1A}" type="parTrans" cxnId="{C78FEE63-483B-4BF4-8FD7-CD636B5B8A54}">
      <dgm:prSet/>
      <dgm:spPr/>
      <dgm:t>
        <a:bodyPr/>
        <a:lstStyle/>
        <a:p>
          <a:endParaRPr lang="es-ES" sz="800">
            <a:solidFill>
              <a:sysClr val="windowText" lastClr="000000"/>
            </a:solidFill>
            <a:latin typeface="Times New Roman" panose="02020603050405020304" pitchFamily="18" charset="0"/>
            <a:cs typeface="Times New Roman" panose="02020603050405020304" pitchFamily="18" charset="0"/>
          </a:endParaRPr>
        </a:p>
      </dgm:t>
    </dgm:pt>
    <dgm:pt modelId="{946A2467-F1C9-4A22-B60E-A720D674450F}" type="sibTrans" cxnId="{C78FEE63-483B-4BF4-8FD7-CD636B5B8A54}">
      <dgm:prSet/>
      <dgm:spPr/>
      <dgm:t>
        <a:bodyPr/>
        <a:lstStyle/>
        <a:p>
          <a:endParaRPr lang="es-ES" sz="800">
            <a:solidFill>
              <a:sysClr val="windowText" lastClr="000000"/>
            </a:solidFill>
            <a:latin typeface="Times New Roman" panose="02020603050405020304" pitchFamily="18" charset="0"/>
            <a:cs typeface="Times New Roman" panose="02020603050405020304" pitchFamily="18" charset="0"/>
          </a:endParaRPr>
        </a:p>
      </dgm:t>
    </dgm:pt>
    <dgm:pt modelId="{8B890290-C711-4278-9C0F-810D40A8CBA9}">
      <dgm:prSet phldrT="[Texto]" custT="1"/>
      <dgm:spPr>
        <a:solidFill>
          <a:schemeClr val="accent6">
            <a:lumMod val="40000"/>
            <a:lumOff val="60000"/>
          </a:schemeClr>
        </a:solidFill>
        <a:ln w="28575">
          <a:solidFill>
            <a:srgbClr val="FF0000"/>
          </a:solidFill>
        </a:ln>
      </dgm:spPr>
      <dgm:t>
        <a:bodyPr/>
        <a:lstStyle/>
        <a:p>
          <a:r>
            <a:rPr lang="es-ES" sz="800">
              <a:solidFill>
                <a:sysClr val="windowText" lastClr="000000"/>
              </a:solidFill>
              <a:latin typeface="Times New Roman" panose="02020603050405020304" pitchFamily="18" charset="0"/>
              <a:cs typeface="Times New Roman" panose="02020603050405020304" pitchFamily="18" charset="0"/>
            </a:rPr>
            <a:t>Gobierno General</a:t>
          </a:r>
        </a:p>
      </dgm:t>
    </dgm:pt>
    <dgm:pt modelId="{A8703346-FEE3-492F-B8B3-8E7F3B9860C8}" type="parTrans" cxnId="{9C78567F-242A-4E5B-B790-E7655DAE0CD5}">
      <dgm:prSet custT="1"/>
      <dgm:spPr/>
      <dgm:t>
        <a:bodyPr/>
        <a:lstStyle/>
        <a:p>
          <a:endParaRPr lang="es-ES" sz="800">
            <a:solidFill>
              <a:sysClr val="windowText" lastClr="000000"/>
            </a:solidFill>
            <a:latin typeface="Times New Roman" panose="02020603050405020304" pitchFamily="18" charset="0"/>
            <a:cs typeface="Times New Roman" panose="02020603050405020304" pitchFamily="18" charset="0"/>
          </a:endParaRPr>
        </a:p>
      </dgm:t>
    </dgm:pt>
    <dgm:pt modelId="{D19BDAA3-C51A-4D7D-B6F9-C2C87C7A9145}" type="sibTrans" cxnId="{9C78567F-242A-4E5B-B790-E7655DAE0CD5}">
      <dgm:prSet/>
      <dgm:spPr/>
      <dgm:t>
        <a:bodyPr/>
        <a:lstStyle/>
        <a:p>
          <a:endParaRPr lang="es-ES" sz="800">
            <a:solidFill>
              <a:sysClr val="windowText" lastClr="000000"/>
            </a:solidFill>
            <a:latin typeface="Times New Roman" panose="02020603050405020304" pitchFamily="18" charset="0"/>
            <a:cs typeface="Times New Roman" panose="02020603050405020304" pitchFamily="18" charset="0"/>
          </a:endParaRPr>
        </a:p>
      </dgm:t>
    </dgm:pt>
    <dgm:pt modelId="{749A17C7-FF49-4F8F-918A-3614BC07C9AD}">
      <dgm:prSet phldrT="[Texto]" custT="1"/>
      <dgm:spPr/>
      <dgm:t>
        <a:bodyPr/>
        <a:lstStyle/>
        <a:p>
          <a:r>
            <a:rPr lang="es-ES" sz="800">
              <a:solidFill>
                <a:sysClr val="windowText" lastClr="000000"/>
              </a:solidFill>
              <a:latin typeface="Times New Roman" panose="02020603050405020304" pitchFamily="18" charset="0"/>
              <a:cs typeface="Times New Roman" panose="02020603050405020304" pitchFamily="18" charset="0"/>
            </a:rPr>
            <a:t>Gobierno Central</a:t>
          </a:r>
        </a:p>
      </dgm:t>
    </dgm:pt>
    <dgm:pt modelId="{D5E5A1DB-4AAD-4710-B9DA-A4EB5BA77E76}" type="parTrans" cxnId="{A8780999-31C7-4EE8-9E2D-056D651C88B7}">
      <dgm:prSet custT="1"/>
      <dgm:spPr/>
      <dgm:t>
        <a:bodyPr/>
        <a:lstStyle/>
        <a:p>
          <a:endParaRPr lang="es-ES" sz="800">
            <a:solidFill>
              <a:sysClr val="windowText" lastClr="000000"/>
            </a:solidFill>
            <a:latin typeface="Times New Roman" panose="02020603050405020304" pitchFamily="18" charset="0"/>
            <a:cs typeface="Times New Roman" panose="02020603050405020304" pitchFamily="18" charset="0"/>
          </a:endParaRPr>
        </a:p>
      </dgm:t>
    </dgm:pt>
    <dgm:pt modelId="{4F9B0E16-7AFC-447D-87C0-19D9204D5B39}" type="sibTrans" cxnId="{A8780999-31C7-4EE8-9E2D-056D651C88B7}">
      <dgm:prSet/>
      <dgm:spPr/>
      <dgm:t>
        <a:bodyPr/>
        <a:lstStyle/>
        <a:p>
          <a:endParaRPr lang="es-ES" sz="800">
            <a:solidFill>
              <a:sysClr val="windowText" lastClr="000000"/>
            </a:solidFill>
            <a:latin typeface="Times New Roman" panose="02020603050405020304" pitchFamily="18" charset="0"/>
            <a:cs typeface="Times New Roman" panose="02020603050405020304" pitchFamily="18" charset="0"/>
          </a:endParaRPr>
        </a:p>
      </dgm:t>
    </dgm:pt>
    <dgm:pt modelId="{C66FEA0C-BE51-4437-9032-158E4B88A06C}">
      <dgm:prSet phldrT="[Texto]" custT="1"/>
      <dgm:spPr/>
      <dgm:t>
        <a:bodyPr/>
        <a:lstStyle/>
        <a:p>
          <a:r>
            <a:rPr lang="es-ES" sz="800">
              <a:solidFill>
                <a:sysClr val="windowText" lastClr="000000"/>
              </a:solidFill>
              <a:latin typeface="Times New Roman" panose="02020603050405020304" pitchFamily="18" charset="0"/>
              <a:cs typeface="Times New Roman" panose="02020603050405020304" pitchFamily="18" charset="0"/>
            </a:rPr>
            <a:t>Gobierno Locales</a:t>
          </a:r>
        </a:p>
      </dgm:t>
    </dgm:pt>
    <dgm:pt modelId="{AEF87CCA-F7E3-48EB-B011-CA779D93D72E}" type="parTrans" cxnId="{33ADCFF1-1DC3-4B66-80DF-0ED44B8B6ACD}">
      <dgm:prSet custT="1"/>
      <dgm:spPr/>
      <dgm:t>
        <a:bodyPr/>
        <a:lstStyle/>
        <a:p>
          <a:endParaRPr lang="es-ES" sz="800">
            <a:solidFill>
              <a:sysClr val="windowText" lastClr="000000"/>
            </a:solidFill>
            <a:latin typeface="Times New Roman" panose="02020603050405020304" pitchFamily="18" charset="0"/>
            <a:cs typeface="Times New Roman" panose="02020603050405020304" pitchFamily="18" charset="0"/>
          </a:endParaRPr>
        </a:p>
      </dgm:t>
    </dgm:pt>
    <dgm:pt modelId="{F1C2C07B-1F04-4BA5-91AD-EF309EB33C4F}" type="sibTrans" cxnId="{33ADCFF1-1DC3-4B66-80DF-0ED44B8B6ACD}">
      <dgm:prSet/>
      <dgm:spPr/>
      <dgm:t>
        <a:bodyPr/>
        <a:lstStyle/>
        <a:p>
          <a:endParaRPr lang="es-ES" sz="800">
            <a:solidFill>
              <a:sysClr val="windowText" lastClr="000000"/>
            </a:solidFill>
            <a:latin typeface="Times New Roman" panose="02020603050405020304" pitchFamily="18" charset="0"/>
            <a:cs typeface="Times New Roman" panose="02020603050405020304" pitchFamily="18" charset="0"/>
          </a:endParaRPr>
        </a:p>
      </dgm:t>
    </dgm:pt>
    <dgm:pt modelId="{37665383-F808-496E-A886-FCD23A382442}">
      <dgm:prSet phldrT="[Texto]" custT="1"/>
      <dgm:spPr>
        <a:solidFill>
          <a:schemeClr val="accent6">
            <a:lumMod val="60000"/>
            <a:lumOff val="40000"/>
          </a:schemeClr>
        </a:solidFill>
        <a:ln w="38100">
          <a:solidFill>
            <a:srgbClr val="FF0000"/>
          </a:solidFill>
        </a:ln>
      </dgm:spPr>
      <dgm:t>
        <a:bodyPr/>
        <a:lstStyle/>
        <a:p>
          <a:r>
            <a:rPr lang="es-ES" sz="800">
              <a:solidFill>
                <a:sysClr val="windowText" lastClr="000000"/>
              </a:solidFill>
              <a:latin typeface="Times New Roman" panose="02020603050405020304" pitchFamily="18" charset="0"/>
              <a:cs typeface="Times New Roman" panose="02020603050405020304" pitchFamily="18" charset="0"/>
            </a:rPr>
            <a:t>No financieras</a:t>
          </a:r>
        </a:p>
      </dgm:t>
    </dgm:pt>
    <dgm:pt modelId="{F3F23B5D-511A-4971-8759-B142278FB6E5}" type="parTrans" cxnId="{CBDBE37A-CC18-46EF-B332-8A8CEF16C275}">
      <dgm:prSet custT="1"/>
      <dgm:spPr/>
      <dgm:t>
        <a:bodyPr/>
        <a:lstStyle/>
        <a:p>
          <a:endParaRPr lang="es-ES" sz="800">
            <a:solidFill>
              <a:sysClr val="windowText" lastClr="000000"/>
            </a:solidFill>
            <a:latin typeface="Times New Roman" panose="02020603050405020304" pitchFamily="18" charset="0"/>
            <a:cs typeface="Times New Roman" panose="02020603050405020304" pitchFamily="18" charset="0"/>
          </a:endParaRPr>
        </a:p>
      </dgm:t>
    </dgm:pt>
    <dgm:pt modelId="{96F0C225-0EE9-48EE-A2CD-2DFD084E9551}" type="sibTrans" cxnId="{CBDBE37A-CC18-46EF-B332-8A8CEF16C275}">
      <dgm:prSet/>
      <dgm:spPr/>
      <dgm:t>
        <a:bodyPr/>
        <a:lstStyle/>
        <a:p>
          <a:endParaRPr lang="es-ES" sz="800">
            <a:solidFill>
              <a:sysClr val="windowText" lastClr="000000"/>
            </a:solidFill>
            <a:latin typeface="Times New Roman" panose="02020603050405020304" pitchFamily="18" charset="0"/>
            <a:cs typeface="Times New Roman" panose="02020603050405020304" pitchFamily="18" charset="0"/>
          </a:endParaRPr>
        </a:p>
      </dgm:t>
    </dgm:pt>
    <dgm:pt modelId="{4CBC2F9A-FA95-4886-BE3B-544D55F769C7}">
      <dgm:prSet phldrT="[Texto]" custT="1"/>
      <dgm:spPr/>
      <dgm:t>
        <a:bodyPr/>
        <a:lstStyle/>
        <a:p>
          <a:r>
            <a:rPr lang="es-ES" sz="800">
              <a:solidFill>
                <a:sysClr val="windowText" lastClr="000000"/>
              </a:solidFill>
              <a:latin typeface="Times New Roman" panose="02020603050405020304" pitchFamily="18" charset="0"/>
              <a:cs typeface="Times New Roman" panose="02020603050405020304" pitchFamily="18" charset="0"/>
            </a:rPr>
            <a:t>Financieras</a:t>
          </a:r>
        </a:p>
      </dgm:t>
    </dgm:pt>
    <dgm:pt modelId="{EB8329EE-98BF-4AEE-8B35-A2C4DA43A9EA}" type="parTrans" cxnId="{9AB1C6E8-040C-4E22-9F2C-B1A0FDF64E0C}">
      <dgm:prSet custT="1"/>
      <dgm:spPr/>
      <dgm:t>
        <a:bodyPr/>
        <a:lstStyle/>
        <a:p>
          <a:endParaRPr lang="es-ES" sz="800">
            <a:solidFill>
              <a:sysClr val="windowText" lastClr="000000"/>
            </a:solidFill>
            <a:latin typeface="Times New Roman" panose="02020603050405020304" pitchFamily="18" charset="0"/>
            <a:cs typeface="Times New Roman" panose="02020603050405020304" pitchFamily="18" charset="0"/>
          </a:endParaRPr>
        </a:p>
      </dgm:t>
    </dgm:pt>
    <dgm:pt modelId="{DEBE0399-1F49-4677-AAA9-6C48391FBAD2}" type="sibTrans" cxnId="{9AB1C6E8-040C-4E22-9F2C-B1A0FDF64E0C}">
      <dgm:prSet/>
      <dgm:spPr/>
      <dgm:t>
        <a:bodyPr/>
        <a:lstStyle/>
        <a:p>
          <a:endParaRPr lang="es-ES" sz="800">
            <a:solidFill>
              <a:sysClr val="windowText" lastClr="000000"/>
            </a:solidFill>
            <a:latin typeface="Times New Roman" panose="02020603050405020304" pitchFamily="18" charset="0"/>
            <a:cs typeface="Times New Roman" panose="02020603050405020304" pitchFamily="18" charset="0"/>
          </a:endParaRPr>
        </a:p>
      </dgm:t>
    </dgm:pt>
    <dgm:pt modelId="{7FD84D5B-2308-4A2C-A067-2EDC4BE32B99}">
      <dgm:prSet phldrT="[Texto]" custT="1"/>
      <dgm:spPr>
        <a:solidFill>
          <a:schemeClr val="accent6">
            <a:lumMod val="40000"/>
            <a:lumOff val="60000"/>
          </a:schemeClr>
        </a:solidFill>
        <a:ln w="28575">
          <a:solidFill>
            <a:srgbClr val="FF0000"/>
          </a:solidFill>
        </a:ln>
      </dgm:spPr>
      <dgm:t>
        <a:bodyPr/>
        <a:lstStyle/>
        <a:p>
          <a:r>
            <a:rPr lang="es-ES" sz="800">
              <a:solidFill>
                <a:sysClr val="windowText" lastClr="000000"/>
              </a:solidFill>
              <a:latin typeface="Times New Roman" panose="02020603050405020304" pitchFamily="18" charset="0"/>
              <a:cs typeface="Times New Roman" panose="02020603050405020304" pitchFamily="18" charset="0"/>
            </a:rPr>
            <a:t>Presupuestario</a:t>
          </a:r>
        </a:p>
      </dgm:t>
    </dgm:pt>
    <dgm:pt modelId="{9473C394-755B-4F60-9E08-CD6D5C14CF46}" type="parTrans" cxnId="{6D4935D6-4373-4252-922C-D5ADDDF31213}">
      <dgm:prSet custT="1"/>
      <dgm:spPr/>
      <dgm:t>
        <a:bodyPr/>
        <a:lstStyle/>
        <a:p>
          <a:endParaRPr lang="es-ES" sz="800">
            <a:solidFill>
              <a:sysClr val="windowText" lastClr="000000"/>
            </a:solidFill>
            <a:latin typeface="Times New Roman" panose="02020603050405020304" pitchFamily="18" charset="0"/>
            <a:cs typeface="Times New Roman" panose="02020603050405020304" pitchFamily="18" charset="0"/>
          </a:endParaRPr>
        </a:p>
      </dgm:t>
    </dgm:pt>
    <dgm:pt modelId="{97CE79FC-A527-4B00-B6C7-4DBC8B8B9BE5}" type="sibTrans" cxnId="{6D4935D6-4373-4252-922C-D5ADDDF31213}">
      <dgm:prSet/>
      <dgm:spPr/>
      <dgm:t>
        <a:bodyPr/>
        <a:lstStyle/>
        <a:p>
          <a:endParaRPr lang="es-ES" sz="800">
            <a:solidFill>
              <a:sysClr val="windowText" lastClr="000000"/>
            </a:solidFill>
            <a:latin typeface="Times New Roman" panose="02020603050405020304" pitchFamily="18" charset="0"/>
            <a:cs typeface="Times New Roman" panose="02020603050405020304" pitchFamily="18" charset="0"/>
          </a:endParaRPr>
        </a:p>
      </dgm:t>
    </dgm:pt>
    <dgm:pt modelId="{4416514E-C43C-4E86-B2FB-0FCC10ADE048}">
      <dgm:prSet phldrT="[Texto]" custT="1"/>
      <dgm:spPr/>
      <dgm:t>
        <a:bodyPr/>
        <a:lstStyle/>
        <a:p>
          <a:r>
            <a:rPr lang="es-ES" sz="800">
              <a:solidFill>
                <a:sysClr val="windowText" lastClr="000000"/>
              </a:solidFill>
              <a:latin typeface="Times New Roman" panose="02020603050405020304" pitchFamily="18" charset="0"/>
              <a:cs typeface="Times New Roman" panose="02020603050405020304" pitchFamily="18" charset="0"/>
            </a:rPr>
            <a:t>Extrapresupuestario </a:t>
          </a:r>
        </a:p>
      </dgm:t>
    </dgm:pt>
    <dgm:pt modelId="{22FDBEB1-A98C-40F7-BDFE-78F3BC242C58}" type="parTrans" cxnId="{5CCF14AC-E2A7-4025-BAE6-354F781E93BE}">
      <dgm:prSet custT="1"/>
      <dgm:spPr/>
      <dgm:t>
        <a:bodyPr/>
        <a:lstStyle/>
        <a:p>
          <a:endParaRPr lang="es-ES" sz="800">
            <a:solidFill>
              <a:sysClr val="windowText" lastClr="000000"/>
            </a:solidFill>
            <a:latin typeface="Times New Roman" panose="02020603050405020304" pitchFamily="18" charset="0"/>
            <a:cs typeface="Times New Roman" panose="02020603050405020304" pitchFamily="18" charset="0"/>
          </a:endParaRPr>
        </a:p>
      </dgm:t>
    </dgm:pt>
    <dgm:pt modelId="{4D2681D1-1B20-4FE4-96F2-C9AF07CB3374}" type="sibTrans" cxnId="{5CCF14AC-E2A7-4025-BAE6-354F781E93BE}">
      <dgm:prSet/>
      <dgm:spPr/>
      <dgm:t>
        <a:bodyPr/>
        <a:lstStyle/>
        <a:p>
          <a:endParaRPr lang="es-ES" sz="800">
            <a:solidFill>
              <a:sysClr val="windowText" lastClr="000000"/>
            </a:solidFill>
            <a:latin typeface="Times New Roman" panose="02020603050405020304" pitchFamily="18" charset="0"/>
            <a:cs typeface="Times New Roman" panose="02020603050405020304" pitchFamily="18" charset="0"/>
          </a:endParaRPr>
        </a:p>
      </dgm:t>
    </dgm:pt>
    <dgm:pt modelId="{A03B4039-2F9E-4251-9CAC-D9CB403361A5}">
      <dgm:prSet phldrT="[Texto]" custT="1"/>
      <dgm:spPr/>
      <dgm:t>
        <a:bodyPr/>
        <a:lstStyle/>
        <a:p>
          <a:r>
            <a:rPr lang="es-ES" sz="800">
              <a:solidFill>
                <a:sysClr val="windowText" lastClr="000000"/>
              </a:solidFill>
              <a:latin typeface="Times New Roman" panose="02020603050405020304" pitchFamily="18" charset="0"/>
              <a:cs typeface="Times New Roman" panose="02020603050405020304" pitchFamily="18" charset="0"/>
            </a:rPr>
            <a:t>De depósito</a:t>
          </a:r>
        </a:p>
      </dgm:t>
    </dgm:pt>
    <dgm:pt modelId="{ECDEF5A3-57FB-4DD0-A5FC-AFAF2C64C6A3}" type="parTrans" cxnId="{2E15E630-F9BD-46DE-80D3-E89DD2A86EA4}">
      <dgm:prSet custT="1"/>
      <dgm:spPr/>
      <dgm:t>
        <a:bodyPr/>
        <a:lstStyle/>
        <a:p>
          <a:endParaRPr lang="es-ES" sz="800">
            <a:solidFill>
              <a:sysClr val="windowText" lastClr="000000"/>
            </a:solidFill>
            <a:latin typeface="Times New Roman" panose="02020603050405020304" pitchFamily="18" charset="0"/>
            <a:cs typeface="Times New Roman" panose="02020603050405020304" pitchFamily="18" charset="0"/>
          </a:endParaRPr>
        </a:p>
      </dgm:t>
    </dgm:pt>
    <dgm:pt modelId="{1C7F6FDF-4081-40B2-9068-E772875ABE20}" type="sibTrans" cxnId="{2E15E630-F9BD-46DE-80D3-E89DD2A86EA4}">
      <dgm:prSet/>
      <dgm:spPr/>
      <dgm:t>
        <a:bodyPr/>
        <a:lstStyle/>
        <a:p>
          <a:endParaRPr lang="es-ES" sz="800">
            <a:solidFill>
              <a:sysClr val="windowText" lastClr="000000"/>
            </a:solidFill>
            <a:latin typeface="Times New Roman" panose="02020603050405020304" pitchFamily="18" charset="0"/>
            <a:cs typeface="Times New Roman" panose="02020603050405020304" pitchFamily="18" charset="0"/>
          </a:endParaRPr>
        </a:p>
      </dgm:t>
    </dgm:pt>
    <dgm:pt modelId="{1212D7EE-AE55-4627-8584-507D5756A0D2}">
      <dgm:prSet phldrT="[Texto]" custT="1"/>
      <dgm:spPr/>
      <dgm:t>
        <a:bodyPr/>
        <a:lstStyle/>
        <a:p>
          <a:r>
            <a:rPr lang="es-ES" sz="800">
              <a:solidFill>
                <a:sysClr val="windowText" lastClr="000000"/>
              </a:solidFill>
              <a:latin typeface="Times New Roman" panose="02020603050405020304" pitchFamily="18" charset="0"/>
              <a:cs typeface="Times New Roman" panose="02020603050405020304" pitchFamily="18" charset="0"/>
            </a:rPr>
            <a:t>Otras sociedades públicas financieras</a:t>
          </a:r>
        </a:p>
      </dgm:t>
    </dgm:pt>
    <dgm:pt modelId="{6687F422-3A96-46A1-BD7C-B076209F75EB}" type="parTrans" cxnId="{80B7D812-8507-4436-A149-B034D4344D86}">
      <dgm:prSet custT="1"/>
      <dgm:spPr/>
      <dgm:t>
        <a:bodyPr/>
        <a:lstStyle/>
        <a:p>
          <a:endParaRPr lang="es-ES" sz="800">
            <a:solidFill>
              <a:sysClr val="windowText" lastClr="000000"/>
            </a:solidFill>
            <a:latin typeface="Times New Roman" panose="02020603050405020304" pitchFamily="18" charset="0"/>
            <a:cs typeface="Times New Roman" panose="02020603050405020304" pitchFamily="18" charset="0"/>
          </a:endParaRPr>
        </a:p>
      </dgm:t>
    </dgm:pt>
    <dgm:pt modelId="{9168B082-77BC-49D2-B1C4-5C3FAB645F74}" type="sibTrans" cxnId="{80B7D812-8507-4436-A149-B034D4344D86}">
      <dgm:prSet/>
      <dgm:spPr/>
      <dgm:t>
        <a:bodyPr/>
        <a:lstStyle/>
        <a:p>
          <a:endParaRPr lang="es-ES" sz="800">
            <a:solidFill>
              <a:sysClr val="windowText" lastClr="000000"/>
            </a:solidFill>
            <a:latin typeface="Times New Roman" panose="02020603050405020304" pitchFamily="18" charset="0"/>
            <a:cs typeface="Times New Roman" panose="02020603050405020304" pitchFamily="18" charset="0"/>
          </a:endParaRPr>
        </a:p>
      </dgm:t>
    </dgm:pt>
    <dgm:pt modelId="{EF977685-AAB3-4B0D-9FAB-16494B0B4298}">
      <dgm:prSet phldrT="[Texto]" custT="1"/>
      <dgm:spPr/>
      <dgm:t>
        <a:bodyPr/>
        <a:lstStyle/>
        <a:p>
          <a:r>
            <a:rPr lang="es-ES" sz="800">
              <a:solidFill>
                <a:sysClr val="windowText" lastClr="000000"/>
              </a:solidFill>
              <a:latin typeface="Times New Roman" panose="02020603050405020304" pitchFamily="18" charset="0"/>
              <a:cs typeface="Times New Roman" panose="02020603050405020304" pitchFamily="18" charset="0"/>
            </a:rPr>
            <a:t>Sociedades Públicas</a:t>
          </a:r>
        </a:p>
      </dgm:t>
    </dgm:pt>
    <dgm:pt modelId="{05748153-11C5-408F-A69A-51687CD0541C}" type="sibTrans" cxnId="{709570A5-4A20-476F-BE25-7E618E839A3A}">
      <dgm:prSet/>
      <dgm:spPr/>
      <dgm:t>
        <a:bodyPr/>
        <a:lstStyle/>
        <a:p>
          <a:endParaRPr lang="es-ES" sz="800">
            <a:solidFill>
              <a:sysClr val="windowText" lastClr="000000"/>
            </a:solidFill>
            <a:latin typeface="Times New Roman" panose="02020603050405020304" pitchFamily="18" charset="0"/>
            <a:cs typeface="Times New Roman" panose="02020603050405020304" pitchFamily="18" charset="0"/>
          </a:endParaRPr>
        </a:p>
      </dgm:t>
    </dgm:pt>
    <dgm:pt modelId="{6AF030DF-12F2-4F57-A02B-63E7EE6BD6C8}" type="parTrans" cxnId="{709570A5-4A20-476F-BE25-7E618E839A3A}">
      <dgm:prSet custT="1"/>
      <dgm:spPr/>
      <dgm:t>
        <a:bodyPr/>
        <a:lstStyle/>
        <a:p>
          <a:endParaRPr lang="es-ES" sz="800">
            <a:solidFill>
              <a:sysClr val="windowText" lastClr="000000"/>
            </a:solidFill>
            <a:latin typeface="Times New Roman" panose="02020603050405020304" pitchFamily="18" charset="0"/>
            <a:cs typeface="Times New Roman" panose="02020603050405020304" pitchFamily="18" charset="0"/>
          </a:endParaRPr>
        </a:p>
      </dgm:t>
    </dgm:pt>
    <dgm:pt modelId="{2D598BD1-8082-4599-B4C7-7DE2BDDFAD07}">
      <dgm:prSet phldrT="[Texto]" custT="1"/>
      <dgm:spPr/>
      <dgm:t>
        <a:bodyPr/>
        <a:lstStyle/>
        <a:p>
          <a:r>
            <a:rPr lang="es-ES" sz="800">
              <a:solidFill>
                <a:sysClr val="windowText" lastClr="000000"/>
              </a:solidFill>
              <a:latin typeface="Times New Roman" panose="02020603050405020304" pitchFamily="18" charset="0"/>
              <a:cs typeface="Times New Roman" panose="02020603050405020304" pitchFamily="18" charset="0"/>
            </a:rPr>
            <a:t>Fondos de Seguridad Social</a:t>
          </a:r>
        </a:p>
      </dgm:t>
    </dgm:pt>
    <dgm:pt modelId="{A2954519-7A96-4331-B451-8017F60C5B14}" type="parTrans" cxnId="{C37F901F-AE6F-4049-96FA-E18B1E561482}">
      <dgm:prSet custT="1"/>
      <dgm:spPr/>
      <dgm:t>
        <a:bodyPr/>
        <a:lstStyle/>
        <a:p>
          <a:endParaRPr lang="es-GT" sz="800">
            <a:solidFill>
              <a:sysClr val="windowText" lastClr="000000"/>
            </a:solidFill>
            <a:latin typeface="Times New Roman" panose="02020603050405020304" pitchFamily="18" charset="0"/>
            <a:cs typeface="Times New Roman" panose="02020603050405020304" pitchFamily="18" charset="0"/>
          </a:endParaRPr>
        </a:p>
      </dgm:t>
    </dgm:pt>
    <dgm:pt modelId="{FDFE5A17-6AA9-46BC-AC2B-62099EF4154E}" type="sibTrans" cxnId="{C37F901F-AE6F-4049-96FA-E18B1E561482}">
      <dgm:prSet/>
      <dgm:spPr/>
      <dgm:t>
        <a:bodyPr/>
        <a:lstStyle/>
        <a:p>
          <a:endParaRPr lang="es-GT" sz="800">
            <a:solidFill>
              <a:sysClr val="windowText" lastClr="000000"/>
            </a:solidFill>
            <a:latin typeface="Times New Roman" panose="02020603050405020304" pitchFamily="18" charset="0"/>
            <a:cs typeface="Times New Roman" panose="02020603050405020304" pitchFamily="18" charset="0"/>
          </a:endParaRPr>
        </a:p>
      </dgm:t>
    </dgm:pt>
    <dgm:pt modelId="{44FA791A-F1AD-4671-B82D-FD6B35107B31}" type="pres">
      <dgm:prSet presAssocID="{D681C0B2-2EA8-40C5-A6BA-B48D6A1A6D43}" presName="Name0" presStyleCnt="0">
        <dgm:presLayoutVars>
          <dgm:chPref val="1"/>
          <dgm:dir/>
          <dgm:animOne val="branch"/>
          <dgm:animLvl val="lvl"/>
          <dgm:resizeHandles val="exact"/>
        </dgm:presLayoutVars>
      </dgm:prSet>
      <dgm:spPr/>
    </dgm:pt>
    <dgm:pt modelId="{FC409002-64D3-4F5C-BFA4-00BED3CAC065}" type="pres">
      <dgm:prSet presAssocID="{7A80290F-F723-432A-AD4F-4F7D47BF18A6}" presName="root1" presStyleCnt="0"/>
      <dgm:spPr/>
    </dgm:pt>
    <dgm:pt modelId="{97AF53B9-E39D-4D13-A5BA-798804F384F0}" type="pres">
      <dgm:prSet presAssocID="{7A80290F-F723-432A-AD4F-4F7D47BF18A6}" presName="LevelOneTextNode" presStyleLbl="node0" presStyleIdx="0" presStyleCnt="1">
        <dgm:presLayoutVars>
          <dgm:chPref val="3"/>
        </dgm:presLayoutVars>
      </dgm:prSet>
      <dgm:spPr/>
    </dgm:pt>
    <dgm:pt modelId="{31A44CD2-3FDB-4E58-896A-B724368521BC}" type="pres">
      <dgm:prSet presAssocID="{7A80290F-F723-432A-AD4F-4F7D47BF18A6}" presName="level2hierChild" presStyleCnt="0"/>
      <dgm:spPr/>
    </dgm:pt>
    <dgm:pt modelId="{A88113A6-8101-46EF-97A2-10A651268964}" type="pres">
      <dgm:prSet presAssocID="{A8703346-FEE3-492F-B8B3-8E7F3B9860C8}" presName="conn2-1" presStyleLbl="parChTrans1D2" presStyleIdx="0" presStyleCnt="2"/>
      <dgm:spPr/>
    </dgm:pt>
    <dgm:pt modelId="{BE0F96B6-9122-4B0C-B7A2-75B96132C7C5}" type="pres">
      <dgm:prSet presAssocID="{A8703346-FEE3-492F-B8B3-8E7F3B9860C8}" presName="connTx" presStyleLbl="parChTrans1D2" presStyleIdx="0" presStyleCnt="2"/>
      <dgm:spPr/>
    </dgm:pt>
    <dgm:pt modelId="{AFA17229-E259-41F4-B3F2-30D896DAA3B9}" type="pres">
      <dgm:prSet presAssocID="{8B890290-C711-4278-9C0F-810D40A8CBA9}" presName="root2" presStyleCnt="0"/>
      <dgm:spPr/>
    </dgm:pt>
    <dgm:pt modelId="{84719F2D-717A-4153-8DC2-FE122C73ED29}" type="pres">
      <dgm:prSet presAssocID="{8B890290-C711-4278-9C0F-810D40A8CBA9}" presName="LevelTwoTextNode" presStyleLbl="node2" presStyleIdx="0" presStyleCnt="2">
        <dgm:presLayoutVars>
          <dgm:chPref val="3"/>
        </dgm:presLayoutVars>
      </dgm:prSet>
      <dgm:spPr/>
    </dgm:pt>
    <dgm:pt modelId="{EFDE52CA-59E9-4D75-BF2B-CA5736990FF0}" type="pres">
      <dgm:prSet presAssocID="{8B890290-C711-4278-9C0F-810D40A8CBA9}" presName="level3hierChild" presStyleCnt="0"/>
      <dgm:spPr/>
    </dgm:pt>
    <dgm:pt modelId="{B91D9E09-FFBE-40F3-9C4B-00B3764EAA26}" type="pres">
      <dgm:prSet presAssocID="{D5E5A1DB-4AAD-4710-B9DA-A4EB5BA77E76}" presName="conn2-1" presStyleLbl="parChTrans1D3" presStyleIdx="0" presStyleCnt="5"/>
      <dgm:spPr/>
    </dgm:pt>
    <dgm:pt modelId="{1C96449C-EBE4-4B3B-B8DD-EED2F04C77B9}" type="pres">
      <dgm:prSet presAssocID="{D5E5A1DB-4AAD-4710-B9DA-A4EB5BA77E76}" presName="connTx" presStyleLbl="parChTrans1D3" presStyleIdx="0" presStyleCnt="5"/>
      <dgm:spPr/>
    </dgm:pt>
    <dgm:pt modelId="{BD88E704-6B7F-40D0-AE96-9EEC52759CAB}" type="pres">
      <dgm:prSet presAssocID="{749A17C7-FF49-4F8F-918A-3614BC07C9AD}" presName="root2" presStyleCnt="0"/>
      <dgm:spPr/>
    </dgm:pt>
    <dgm:pt modelId="{F08246C8-8069-47BF-AF31-E366D5BC5CCD}" type="pres">
      <dgm:prSet presAssocID="{749A17C7-FF49-4F8F-918A-3614BC07C9AD}" presName="LevelTwoTextNode" presStyleLbl="node3" presStyleIdx="0" presStyleCnt="5">
        <dgm:presLayoutVars>
          <dgm:chPref val="3"/>
        </dgm:presLayoutVars>
      </dgm:prSet>
      <dgm:spPr/>
    </dgm:pt>
    <dgm:pt modelId="{A0368DEE-C03F-437C-A5C4-02410D6B4A50}" type="pres">
      <dgm:prSet presAssocID="{749A17C7-FF49-4F8F-918A-3614BC07C9AD}" presName="level3hierChild" presStyleCnt="0"/>
      <dgm:spPr/>
    </dgm:pt>
    <dgm:pt modelId="{39B67397-863B-4AE7-AFC4-94D71AC942DC}" type="pres">
      <dgm:prSet presAssocID="{9473C394-755B-4F60-9E08-CD6D5C14CF46}" presName="conn2-1" presStyleLbl="parChTrans1D4" presStyleIdx="0" presStyleCnt="4"/>
      <dgm:spPr/>
    </dgm:pt>
    <dgm:pt modelId="{5DDB85B6-3B18-4371-B9BB-EF31D71A8442}" type="pres">
      <dgm:prSet presAssocID="{9473C394-755B-4F60-9E08-CD6D5C14CF46}" presName="connTx" presStyleLbl="parChTrans1D4" presStyleIdx="0" presStyleCnt="4"/>
      <dgm:spPr/>
    </dgm:pt>
    <dgm:pt modelId="{20B7D345-37F2-4E17-BA12-DE0C50F66DBA}" type="pres">
      <dgm:prSet presAssocID="{7FD84D5B-2308-4A2C-A067-2EDC4BE32B99}" presName="root2" presStyleCnt="0"/>
      <dgm:spPr/>
    </dgm:pt>
    <dgm:pt modelId="{90B2A33F-F5C4-49C7-88B9-A593099CAA99}" type="pres">
      <dgm:prSet presAssocID="{7FD84D5B-2308-4A2C-A067-2EDC4BE32B99}" presName="LevelTwoTextNode" presStyleLbl="node4" presStyleIdx="0" presStyleCnt="4">
        <dgm:presLayoutVars>
          <dgm:chPref val="3"/>
        </dgm:presLayoutVars>
      </dgm:prSet>
      <dgm:spPr/>
    </dgm:pt>
    <dgm:pt modelId="{23F18C69-5926-4C37-B345-EA52AAE5E4D0}" type="pres">
      <dgm:prSet presAssocID="{7FD84D5B-2308-4A2C-A067-2EDC4BE32B99}" presName="level3hierChild" presStyleCnt="0"/>
      <dgm:spPr/>
    </dgm:pt>
    <dgm:pt modelId="{69AB9193-4AF2-43AC-A0D1-C1EE44CFE77E}" type="pres">
      <dgm:prSet presAssocID="{22FDBEB1-A98C-40F7-BDFE-78F3BC242C58}" presName="conn2-1" presStyleLbl="parChTrans1D4" presStyleIdx="1" presStyleCnt="4"/>
      <dgm:spPr/>
    </dgm:pt>
    <dgm:pt modelId="{EF853A99-32BD-47D5-8AC1-A22D044B7F65}" type="pres">
      <dgm:prSet presAssocID="{22FDBEB1-A98C-40F7-BDFE-78F3BC242C58}" presName="connTx" presStyleLbl="parChTrans1D4" presStyleIdx="1" presStyleCnt="4"/>
      <dgm:spPr/>
    </dgm:pt>
    <dgm:pt modelId="{FB325890-E212-4065-BA0A-6664D7D3C7FE}" type="pres">
      <dgm:prSet presAssocID="{4416514E-C43C-4E86-B2FB-0FCC10ADE048}" presName="root2" presStyleCnt="0"/>
      <dgm:spPr/>
    </dgm:pt>
    <dgm:pt modelId="{E712BBC7-1FA1-4325-9D92-B4F9CE49082E}" type="pres">
      <dgm:prSet presAssocID="{4416514E-C43C-4E86-B2FB-0FCC10ADE048}" presName="LevelTwoTextNode" presStyleLbl="node4" presStyleIdx="1" presStyleCnt="4">
        <dgm:presLayoutVars>
          <dgm:chPref val="3"/>
        </dgm:presLayoutVars>
      </dgm:prSet>
      <dgm:spPr/>
    </dgm:pt>
    <dgm:pt modelId="{8C8C9F84-63E3-4E15-8209-7383B1272781}" type="pres">
      <dgm:prSet presAssocID="{4416514E-C43C-4E86-B2FB-0FCC10ADE048}" presName="level3hierChild" presStyleCnt="0"/>
      <dgm:spPr/>
    </dgm:pt>
    <dgm:pt modelId="{3654DC10-3D22-41FF-ACFF-573DD7526C2B}" type="pres">
      <dgm:prSet presAssocID="{AEF87CCA-F7E3-48EB-B011-CA779D93D72E}" presName="conn2-1" presStyleLbl="parChTrans1D3" presStyleIdx="1" presStyleCnt="5"/>
      <dgm:spPr/>
    </dgm:pt>
    <dgm:pt modelId="{112D54B7-1D29-42EF-8726-A66C1E936200}" type="pres">
      <dgm:prSet presAssocID="{AEF87CCA-F7E3-48EB-B011-CA779D93D72E}" presName="connTx" presStyleLbl="parChTrans1D3" presStyleIdx="1" presStyleCnt="5"/>
      <dgm:spPr/>
    </dgm:pt>
    <dgm:pt modelId="{8C7B108F-699E-4243-B2C4-AE294E3CCE03}" type="pres">
      <dgm:prSet presAssocID="{C66FEA0C-BE51-4437-9032-158E4B88A06C}" presName="root2" presStyleCnt="0"/>
      <dgm:spPr/>
    </dgm:pt>
    <dgm:pt modelId="{C1731FAD-79DD-49CC-8C58-FB15CB2A049A}" type="pres">
      <dgm:prSet presAssocID="{C66FEA0C-BE51-4437-9032-158E4B88A06C}" presName="LevelTwoTextNode" presStyleLbl="node3" presStyleIdx="1" presStyleCnt="5">
        <dgm:presLayoutVars>
          <dgm:chPref val="3"/>
        </dgm:presLayoutVars>
      </dgm:prSet>
      <dgm:spPr/>
    </dgm:pt>
    <dgm:pt modelId="{95C8756C-B3CE-4EAB-9411-97EB8F08A63C}" type="pres">
      <dgm:prSet presAssocID="{C66FEA0C-BE51-4437-9032-158E4B88A06C}" presName="level3hierChild" presStyleCnt="0"/>
      <dgm:spPr/>
    </dgm:pt>
    <dgm:pt modelId="{D7E5B178-F8BD-4140-AB9D-E9BA15B756D4}" type="pres">
      <dgm:prSet presAssocID="{A2954519-7A96-4331-B451-8017F60C5B14}" presName="conn2-1" presStyleLbl="parChTrans1D3" presStyleIdx="2" presStyleCnt="5"/>
      <dgm:spPr/>
    </dgm:pt>
    <dgm:pt modelId="{9157E60A-16DE-44E5-9B02-26316D736A5D}" type="pres">
      <dgm:prSet presAssocID="{A2954519-7A96-4331-B451-8017F60C5B14}" presName="connTx" presStyleLbl="parChTrans1D3" presStyleIdx="2" presStyleCnt="5"/>
      <dgm:spPr/>
    </dgm:pt>
    <dgm:pt modelId="{5D34C244-25AE-45B4-822F-FE5657B0414F}" type="pres">
      <dgm:prSet presAssocID="{2D598BD1-8082-4599-B4C7-7DE2BDDFAD07}" presName="root2" presStyleCnt="0"/>
      <dgm:spPr/>
    </dgm:pt>
    <dgm:pt modelId="{BA8F22A0-AED2-44D9-A9A5-7D3C4D7DD7E9}" type="pres">
      <dgm:prSet presAssocID="{2D598BD1-8082-4599-B4C7-7DE2BDDFAD07}" presName="LevelTwoTextNode" presStyleLbl="node3" presStyleIdx="2" presStyleCnt="5">
        <dgm:presLayoutVars>
          <dgm:chPref val="3"/>
        </dgm:presLayoutVars>
      </dgm:prSet>
      <dgm:spPr/>
    </dgm:pt>
    <dgm:pt modelId="{DBD0061C-1A1F-4A11-BADB-D9DBE273E151}" type="pres">
      <dgm:prSet presAssocID="{2D598BD1-8082-4599-B4C7-7DE2BDDFAD07}" presName="level3hierChild" presStyleCnt="0"/>
      <dgm:spPr/>
    </dgm:pt>
    <dgm:pt modelId="{F81B984B-F38C-4F9A-9F96-C0D3D10EBC0B}" type="pres">
      <dgm:prSet presAssocID="{6AF030DF-12F2-4F57-A02B-63E7EE6BD6C8}" presName="conn2-1" presStyleLbl="parChTrans1D2" presStyleIdx="1" presStyleCnt="2"/>
      <dgm:spPr/>
    </dgm:pt>
    <dgm:pt modelId="{97C9EBC8-F1BE-490E-8CA6-5E4850C5CF28}" type="pres">
      <dgm:prSet presAssocID="{6AF030DF-12F2-4F57-A02B-63E7EE6BD6C8}" presName="connTx" presStyleLbl="parChTrans1D2" presStyleIdx="1" presStyleCnt="2"/>
      <dgm:spPr/>
    </dgm:pt>
    <dgm:pt modelId="{01AABF48-B16E-456B-AF39-E9812B1BDFC1}" type="pres">
      <dgm:prSet presAssocID="{EF977685-AAB3-4B0D-9FAB-16494B0B4298}" presName="root2" presStyleCnt="0"/>
      <dgm:spPr/>
    </dgm:pt>
    <dgm:pt modelId="{327CF8F1-9540-46EA-87CA-646B6C0ECDA0}" type="pres">
      <dgm:prSet presAssocID="{EF977685-AAB3-4B0D-9FAB-16494B0B4298}" presName="LevelTwoTextNode" presStyleLbl="node2" presStyleIdx="1" presStyleCnt="2">
        <dgm:presLayoutVars>
          <dgm:chPref val="3"/>
        </dgm:presLayoutVars>
      </dgm:prSet>
      <dgm:spPr/>
    </dgm:pt>
    <dgm:pt modelId="{C461BC34-F558-4E10-A69F-4FE378AC6A8C}" type="pres">
      <dgm:prSet presAssocID="{EF977685-AAB3-4B0D-9FAB-16494B0B4298}" presName="level3hierChild" presStyleCnt="0"/>
      <dgm:spPr/>
    </dgm:pt>
    <dgm:pt modelId="{2AA26576-1749-4A56-BEE4-9043164BE6F8}" type="pres">
      <dgm:prSet presAssocID="{F3F23B5D-511A-4971-8759-B142278FB6E5}" presName="conn2-1" presStyleLbl="parChTrans1D3" presStyleIdx="3" presStyleCnt="5"/>
      <dgm:spPr/>
    </dgm:pt>
    <dgm:pt modelId="{FCCAC6F6-0190-4CC6-8C4F-07EE089282E9}" type="pres">
      <dgm:prSet presAssocID="{F3F23B5D-511A-4971-8759-B142278FB6E5}" presName="connTx" presStyleLbl="parChTrans1D3" presStyleIdx="3" presStyleCnt="5"/>
      <dgm:spPr/>
    </dgm:pt>
    <dgm:pt modelId="{9AE55339-FC08-4DE1-8F96-10E6341197A7}" type="pres">
      <dgm:prSet presAssocID="{37665383-F808-496E-A886-FCD23A382442}" presName="root2" presStyleCnt="0"/>
      <dgm:spPr/>
    </dgm:pt>
    <dgm:pt modelId="{A07DC19F-30B7-4020-A8E2-723B732B9608}" type="pres">
      <dgm:prSet presAssocID="{37665383-F808-496E-A886-FCD23A382442}" presName="LevelTwoTextNode" presStyleLbl="node3" presStyleIdx="3" presStyleCnt="5">
        <dgm:presLayoutVars>
          <dgm:chPref val="3"/>
        </dgm:presLayoutVars>
      </dgm:prSet>
      <dgm:spPr/>
    </dgm:pt>
    <dgm:pt modelId="{F423CFD8-0E5D-48A8-8F11-2E623303D80E}" type="pres">
      <dgm:prSet presAssocID="{37665383-F808-496E-A886-FCD23A382442}" presName="level3hierChild" presStyleCnt="0"/>
      <dgm:spPr/>
    </dgm:pt>
    <dgm:pt modelId="{6537BB23-4B05-43EE-AF81-3662FAF6C7BE}" type="pres">
      <dgm:prSet presAssocID="{EB8329EE-98BF-4AEE-8B35-A2C4DA43A9EA}" presName="conn2-1" presStyleLbl="parChTrans1D3" presStyleIdx="4" presStyleCnt="5"/>
      <dgm:spPr/>
    </dgm:pt>
    <dgm:pt modelId="{A13F1886-3FA4-4DA9-9D2C-E0363DDFC0EA}" type="pres">
      <dgm:prSet presAssocID="{EB8329EE-98BF-4AEE-8B35-A2C4DA43A9EA}" presName="connTx" presStyleLbl="parChTrans1D3" presStyleIdx="4" presStyleCnt="5"/>
      <dgm:spPr/>
    </dgm:pt>
    <dgm:pt modelId="{EE646110-5147-45F0-889E-99E88D8F545B}" type="pres">
      <dgm:prSet presAssocID="{4CBC2F9A-FA95-4886-BE3B-544D55F769C7}" presName="root2" presStyleCnt="0"/>
      <dgm:spPr/>
    </dgm:pt>
    <dgm:pt modelId="{E8093928-4344-4CF3-AAAE-094C2B47DA4D}" type="pres">
      <dgm:prSet presAssocID="{4CBC2F9A-FA95-4886-BE3B-544D55F769C7}" presName="LevelTwoTextNode" presStyleLbl="node3" presStyleIdx="4" presStyleCnt="5">
        <dgm:presLayoutVars>
          <dgm:chPref val="3"/>
        </dgm:presLayoutVars>
      </dgm:prSet>
      <dgm:spPr/>
    </dgm:pt>
    <dgm:pt modelId="{D1AA012B-B469-4689-B4F9-EB24A3CD2C77}" type="pres">
      <dgm:prSet presAssocID="{4CBC2F9A-FA95-4886-BE3B-544D55F769C7}" presName="level3hierChild" presStyleCnt="0"/>
      <dgm:spPr/>
    </dgm:pt>
    <dgm:pt modelId="{05E3CC04-10F1-430C-85D0-0896D101C3DC}" type="pres">
      <dgm:prSet presAssocID="{ECDEF5A3-57FB-4DD0-A5FC-AFAF2C64C6A3}" presName="conn2-1" presStyleLbl="parChTrans1D4" presStyleIdx="2" presStyleCnt="4"/>
      <dgm:spPr/>
    </dgm:pt>
    <dgm:pt modelId="{108EB368-6AE7-4256-A8A3-C70C65C73D95}" type="pres">
      <dgm:prSet presAssocID="{ECDEF5A3-57FB-4DD0-A5FC-AFAF2C64C6A3}" presName="connTx" presStyleLbl="parChTrans1D4" presStyleIdx="2" presStyleCnt="4"/>
      <dgm:spPr/>
    </dgm:pt>
    <dgm:pt modelId="{05D2CDD5-2E0E-481A-8674-18A87CD87A8F}" type="pres">
      <dgm:prSet presAssocID="{A03B4039-2F9E-4251-9CAC-D9CB403361A5}" presName="root2" presStyleCnt="0"/>
      <dgm:spPr/>
    </dgm:pt>
    <dgm:pt modelId="{557B9BD5-88F8-4DD8-938B-FD24C22D76F5}" type="pres">
      <dgm:prSet presAssocID="{A03B4039-2F9E-4251-9CAC-D9CB403361A5}" presName="LevelTwoTextNode" presStyleLbl="node4" presStyleIdx="2" presStyleCnt="4">
        <dgm:presLayoutVars>
          <dgm:chPref val="3"/>
        </dgm:presLayoutVars>
      </dgm:prSet>
      <dgm:spPr/>
    </dgm:pt>
    <dgm:pt modelId="{A24FC90A-D247-4EDC-B22A-AC852887514A}" type="pres">
      <dgm:prSet presAssocID="{A03B4039-2F9E-4251-9CAC-D9CB403361A5}" presName="level3hierChild" presStyleCnt="0"/>
      <dgm:spPr/>
    </dgm:pt>
    <dgm:pt modelId="{791C797B-3D93-4A69-9D97-BEB2E95152E8}" type="pres">
      <dgm:prSet presAssocID="{6687F422-3A96-46A1-BD7C-B076209F75EB}" presName="conn2-1" presStyleLbl="parChTrans1D4" presStyleIdx="3" presStyleCnt="4"/>
      <dgm:spPr/>
    </dgm:pt>
    <dgm:pt modelId="{75613EF0-BE02-4AB4-A882-32863335D308}" type="pres">
      <dgm:prSet presAssocID="{6687F422-3A96-46A1-BD7C-B076209F75EB}" presName="connTx" presStyleLbl="parChTrans1D4" presStyleIdx="3" presStyleCnt="4"/>
      <dgm:spPr/>
    </dgm:pt>
    <dgm:pt modelId="{3492F492-BE85-40A1-AEAF-DBDF77C5EE5D}" type="pres">
      <dgm:prSet presAssocID="{1212D7EE-AE55-4627-8584-507D5756A0D2}" presName="root2" presStyleCnt="0"/>
      <dgm:spPr/>
    </dgm:pt>
    <dgm:pt modelId="{3EA8F71C-4C27-41E8-84CF-75EEF65B99D1}" type="pres">
      <dgm:prSet presAssocID="{1212D7EE-AE55-4627-8584-507D5756A0D2}" presName="LevelTwoTextNode" presStyleLbl="node4" presStyleIdx="3" presStyleCnt="4">
        <dgm:presLayoutVars>
          <dgm:chPref val="3"/>
        </dgm:presLayoutVars>
      </dgm:prSet>
      <dgm:spPr/>
    </dgm:pt>
    <dgm:pt modelId="{53739532-F0A1-4CB3-8338-7F4C2BF93643}" type="pres">
      <dgm:prSet presAssocID="{1212D7EE-AE55-4627-8584-507D5756A0D2}" presName="level3hierChild" presStyleCnt="0"/>
      <dgm:spPr/>
    </dgm:pt>
  </dgm:ptLst>
  <dgm:cxnLst>
    <dgm:cxn modelId="{C9240D08-E9B0-40AE-91EB-623A56D6969A}" type="presOf" srcId="{749A17C7-FF49-4F8F-918A-3614BC07C9AD}" destId="{F08246C8-8069-47BF-AF31-E366D5BC5CCD}" srcOrd="0" destOrd="0" presId="urn:microsoft.com/office/officeart/2008/layout/HorizontalMultiLevelHierarchy"/>
    <dgm:cxn modelId="{7989FE08-95C7-4D40-8E3D-C5875B37E8E9}" type="presOf" srcId="{F3F23B5D-511A-4971-8759-B142278FB6E5}" destId="{FCCAC6F6-0190-4CC6-8C4F-07EE089282E9}" srcOrd="1" destOrd="0" presId="urn:microsoft.com/office/officeart/2008/layout/HorizontalMultiLevelHierarchy"/>
    <dgm:cxn modelId="{5C621F0C-72C4-4925-811A-B0FD6F1C6BE3}" type="presOf" srcId="{EB8329EE-98BF-4AEE-8B35-A2C4DA43A9EA}" destId="{6537BB23-4B05-43EE-AF81-3662FAF6C7BE}" srcOrd="0" destOrd="0" presId="urn:microsoft.com/office/officeart/2008/layout/HorizontalMultiLevelHierarchy"/>
    <dgm:cxn modelId="{C972DF0D-207C-4DDB-BA8C-D60B4879927B}" type="presOf" srcId="{6687F422-3A96-46A1-BD7C-B076209F75EB}" destId="{75613EF0-BE02-4AB4-A882-32863335D308}" srcOrd="1" destOrd="0" presId="urn:microsoft.com/office/officeart/2008/layout/HorizontalMultiLevelHierarchy"/>
    <dgm:cxn modelId="{309D880E-C085-445D-A886-E79E40BD8BCB}" type="presOf" srcId="{6AF030DF-12F2-4F57-A02B-63E7EE6BD6C8}" destId="{F81B984B-F38C-4F9A-9F96-C0D3D10EBC0B}" srcOrd="0" destOrd="0" presId="urn:microsoft.com/office/officeart/2008/layout/HorizontalMultiLevelHierarchy"/>
    <dgm:cxn modelId="{80B7D812-8507-4436-A149-B034D4344D86}" srcId="{4CBC2F9A-FA95-4886-BE3B-544D55F769C7}" destId="{1212D7EE-AE55-4627-8584-507D5756A0D2}" srcOrd="1" destOrd="0" parTransId="{6687F422-3A96-46A1-BD7C-B076209F75EB}" sibTransId="{9168B082-77BC-49D2-B1C4-5C3FAB645F74}"/>
    <dgm:cxn modelId="{C37F901F-AE6F-4049-96FA-E18B1E561482}" srcId="{8B890290-C711-4278-9C0F-810D40A8CBA9}" destId="{2D598BD1-8082-4599-B4C7-7DE2BDDFAD07}" srcOrd="2" destOrd="0" parTransId="{A2954519-7A96-4331-B451-8017F60C5B14}" sibTransId="{FDFE5A17-6AA9-46BC-AC2B-62099EF4154E}"/>
    <dgm:cxn modelId="{8EF09A1F-BA41-495A-A643-73EFAD1EE7DE}" type="presOf" srcId="{4CBC2F9A-FA95-4886-BE3B-544D55F769C7}" destId="{E8093928-4344-4CF3-AAAE-094C2B47DA4D}" srcOrd="0" destOrd="0" presId="urn:microsoft.com/office/officeart/2008/layout/HorizontalMultiLevelHierarchy"/>
    <dgm:cxn modelId="{2A9FC120-1561-400D-81EF-D44D8180A94E}" type="presOf" srcId="{7FD84D5B-2308-4A2C-A067-2EDC4BE32B99}" destId="{90B2A33F-F5C4-49C7-88B9-A593099CAA99}" srcOrd="0" destOrd="0" presId="urn:microsoft.com/office/officeart/2008/layout/HorizontalMultiLevelHierarchy"/>
    <dgm:cxn modelId="{0E0FE829-A52D-46BC-89E4-7688EE5A8119}" type="presOf" srcId="{A8703346-FEE3-492F-B8B3-8E7F3B9860C8}" destId="{BE0F96B6-9122-4B0C-B7A2-75B96132C7C5}" srcOrd="1" destOrd="0" presId="urn:microsoft.com/office/officeart/2008/layout/HorizontalMultiLevelHierarchy"/>
    <dgm:cxn modelId="{78BA902C-7D7E-4636-9DA6-95033E21E2B5}" type="presOf" srcId="{A2954519-7A96-4331-B451-8017F60C5B14}" destId="{D7E5B178-F8BD-4140-AB9D-E9BA15B756D4}" srcOrd="0" destOrd="0" presId="urn:microsoft.com/office/officeart/2008/layout/HorizontalMultiLevelHierarchy"/>
    <dgm:cxn modelId="{2E15E630-F9BD-46DE-80D3-E89DD2A86EA4}" srcId="{4CBC2F9A-FA95-4886-BE3B-544D55F769C7}" destId="{A03B4039-2F9E-4251-9CAC-D9CB403361A5}" srcOrd="0" destOrd="0" parTransId="{ECDEF5A3-57FB-4DD0-A5FC-AFAF2C64C6A3}" sibTransId="{1C7F6FDF-4081-40B2-9068-E772875ABE20}"/>
    <dgm:cxn modelId="{42BFC732-8DC5-4343-BB5C-02F90AD17673}" type="presOf" srcId="{22FDBEB1-A98C-40F7-BDFE-78F3BC242C58}" destId="{EF853A99-32BD-47D5-8AC1-A22D044B7F65}" srcOrd="1" destOrd="0" presId="urn:microsoft.com/office/officeart/2008/layout/HorizontalMultiLevelHierarchy"/>
    <dgm:cxn modelId="{0C80E837-5220-48BD-8DC1-2D8C940B8D4C}" type="presOf" srcId="{4416514E-C43C-4E86-B2FB-0FCC10ADE048}" destId="{E712BBC7-1FA1-4325-9D92-B4F9CE49082E}" srcOrd="0" destOrd="0" presId="urn:microsoft.com/office/officeart/2008/layout/HorizontalMultiLevelHierarchy"/>
    <dgm:cxn modelId="{C78FEE63-483B-4BF4-8FD7-CD636B5B8A54}" srcId="{D681C0B2-2EA8-40C5-A6BA-B48D6A1A6D43}" destId="{7A80290F-F723-432A-AD4F-4F7D47BF18A6}" srcOrd="0" destOrd="0" parTransId="{1F1683BE-9315-4255-B400-9BF4AC7A9A1A}" sibTransId="{946A2467-F1C9-4A22-B60E-A720D674450F}"/>
    <dgm:cxn modelId="{8F999266-D1F2-4A03-A73A-4D9C44769CB7}" type="presOf" srcId="{AEF87CCA-F7E3-48EB-B011-CA779D93D72E}" destId="{3654DC10-3D22-41FF-ACFF-573DD7526C2B}" srcOrd="0" destOrd="0" presId="urn:microsoft.com/office/officeart/2008/layout/HorizontalMultiLevelHierarchy"/>
    <dgm:cxn modelId="{34EC7349-E154-4FF7-B6E6-A402CFCC26F7}" type="presOf" srcId="{6AF030DF-12F2-4F57-A02B-63E7EE6BD6C8}" destId="{97C9EBC8-F1BE-490E-8CA6-5E4850C5CF28}" srcOrd="1" destOrd="0" presId="urn:microsoft.com/office/officeart/2008/layout/HorizontalMultiLevelHierarchy"/>
    <dgm:cxn modelId="{79D3E449-2F75-4340-B71F-9482D55415B1}" type="presOf" srcId="{A03B4039-2F9E-4251-9CAC-D9CB403361A5}" destId="{557B9BD5-88F8-4DD8-938B-FD24C22D76F5}" srcOrd="0" destOrd="0" presId="urn:microsoft.com/office/officeart/2008/layout/HorizontalMultiLevelHierarchy"/>
    <dgm:cxn modelId="{5FDCFD71-8B56-406F-B35B-4669F88B7B98}" type="presOf" srcId="{D5E5A1DB-4AAD-4710-B9DA-A4EB5BA77E76}" destId="{B91D9E09-FFBE-40F3-9C4B-00B3764EAA26}" srcOrd="0" destOrd="0" presId="urn:microsoft.com/office/officeart/2008/layout/HorizontalMultiLevelHierarchy"/>
    <dgm:cxn modelId="{2D044252-6C84-4D63-A85D-9DCDF3BD2884}" type="presOf" srcId="{37665383-F808-496E-A886-FCD23A382442}" destId="{A07DC19F-30B7-4020-A8E2-723B732B9608}" srcOrd="0" destOrd="0" presId="urn:microsoft.com/office/officeart/2008/layout/HorizontalMultiLevelHierarchy"/>
    <dgm:cxn modelId="{96C66F58-B84A-44CE-ACAA-BA59797531C0}" type="presOf" srcId="{ECDEF5A3-57FB-4DD0-A5FC-AFAF2C64C6A3}" destId="{05E3CC04-10F1-430C-85D0-0896D101C3DC}" srcOrd="0" destOrd="0" presId="urn:microsoft.com/office/officeart/2008/layout/HorizontalMultiLevelHierarchy"/>
    <dgm:cxn modelId="{CBDBE37A-CC18-46EF-B332-8A8CEF16C275}" srcId="{EF977685-AAB3-4B0D-9FAB-16494B0B4298}" destId="{37665383-F808-496E-A886-FCD23A382442}" srcOrd="0" destOrd="0" parTransId="{F3F23B5D-511A-4971-8759-B142278FB6E5}" sibTransId="{96F0C225-0EE9-48EE-A2CD-2DFD084E9551}"/>
    <dgm:cxn modelId="{F2296D7E-E0C9-4A20-AD68-0195A49D97C0}" type="presOf" srcId="{EB8329EE-98BF-4AEE-8B35-A2C4DA43A9EA}" destId="{A13F1886-3FA4-4DA9-9D2C-E0363DDFC0EA}" srcOrd="1" destOrd="0" presId="urn:microsoft.com/office/officeart/2008/layout/HorizontalMultiLevelHierarchy"/>
    <dgm:cxn modelId="{9C78567F-242A-4E5B-B790-E7655DAE0CD5}" srcId="{7A80290F-F723-432A-AD4F-4F7D47BF18A6}" destId="{8B890290-C711-4278-9C0F-810D40A8CBA9}" srcOrd="0" destOrd="0" parTransId="{A8703346-FEE3-492F-B8B3-8E7F3B9860C8}" sibTransId="{D19BDAA3-C51A-4D7D-B6F9-C2C87C7A9145}"/>
    <dgm:cxn modelId="{ACBF4081-EDB7-4F63-AA48-E355E6C2FF6C}" type="presOf" srcId="{22FDBEB1-A98C-40F7-BDFE-78F3BC242C58}" destId="{69AB9193-4AF2-43AC-A0D1-C1EE44CFE77E}" srcOrd="0" destOrd="0" presId="urn:microsoft.com/office/officeart/2008/layout/HorizontalMultiLevelHierarchy"/>
    <dgm:cxn modelId="{F0EE218C-4C41-4AEE-9B9C-B65239D238F9}" type="presOf" srcId="{D681C0B2-2EA8-40C5-A6BA-B48D6A1A6D43}" destId="{44FA791A-F1AD-4671-B82D-FD6B35107B31}" srcOrd="0" destOrd="0" presId="urn:microsoft.com/office/officeart/2008/layout/HorizontalMultiLevelHierarchy"/>
    <dgm:cxn modelId="{5F3E1498-4CD9-4545-B1A6-03834945936B}" type="presOf" srcId="{8B890290-C711-4278-9C0F-810D40A8CBA9}" destId="{84719F2D-717A-4153-8DC2-FE122C73ED29}" srcOrd="0" destOrd="0" presId="urn:microsoft.com/office/officeart/2008/layout/HorizontalMultiLevelHierarchy"/>
    <dgm:cxn modelId="{A8780999-31C7-4EE8-9E2D-056D651C88B7}" srcId="{8B890290-C711-4278-9C0F-810D40A8CBA9}" destId="{749A17C7-FF49-4F8F-918A-3614BC07C9AD}" srcOrd="0" destOrd="0" parTransId="{D5E5A1DB-4AAD-4710-B9DA-A4EB5BA77E76}" sibTransId="{4F9B0E16-7AFC-447D-87C0-19D9204D5B39}"/>
    <dgm:cxn modelId="{45D4239B-94C2-45BA-BCA8-68439FBCAEBC}" type="presOf" srcId="{A2954519-7A96-4331-B451-8017F60C5B14}" destId="{9157E60A-16DE-44E5-9B02-26316D736A5D}" srcOrd="1" destOrd="0" presId="urn:microsoft.com/office/officeart/2008/layout/HorizontalMultiLevelHierarchy"/>
    <dgm:cxn modelId="{5BFAD69D-BE65-45CF-BA2D-BB3FD70312AB}" type="presOf" srcId="{7A80290F-F723-432A-AD4F-4F7D47BF18A6}" destId="{97AF53B9-E39D-4D13-A5BA-798804F384F0}" srcOrd="0" destOrd="0" presId="urn:microsoft.com/office/officeart/2008/layout/HorizontalMultiLevelHierarchy"/>
    <dgm:cxn modelId="{709570A5-4A20-476F-BE25-7E618E839A3A}" srcId="{7A80290F-F723-432A-AD4F-4F7D47BF18A6}" destId="{EF977685-AAB3-4B0D-9FAB-16494B0B4298}" srcOrd="1" destOrd="0" parTransId="{6AF030DF-12F2-4F57-A02B-63E7EE6BD6C8}" sibTransId="{05748153-11C5-408F-A69A-51687CD0541C}"/>
    <dgm:cxn modelId="{6DF659A8-BE05-4601-AD4C-CBA7DBCD315E}" type="presOf" srcId="{AEF87CCA-F7E3-48EB-B011-CA779D93D72E}" destId="{112D54B7-1D29-42EF-8726-A66C1E936200}" srcOrd="1" destOrd="0" presId="urn:microsoft.com/office/officeart/2008/layout/HorizontalMultiLevelHierarchy"/>
    <dgm:cxn modelId="{640881AB-7E79-40FF-91CF-2E719B9C1934}" type="presOf" srcId="{6687F422-3A96-46A1-BD7C-B076209F75EB}" destId="{791C797B-3D93-4A69-9D97-BEB2E95152E8}" srcOrd="0" destOrd="0" presId="urn:microsoft.com/office/officeart/2008/layout/HorizontalMultiLevelHierarchy"/>
    <dgm:cxn modelId="{5CCF14AC-E2A7-4025-BAE6-354F781E93BE}" srcId="{749A17C7-FF49-4F8F-918A-3614BC07C9AD}" destId="{4416514E-C43C-4E86-B2FB-0FCC10ADE048}" srcOrd="1" destOrd="0" parTransId="{22FDBEB1-A98C-40F7-BDFE-78F3BC242C58}" sibTransId="{4D2681D1-1B20-4FE4-96F2-C9AF07CB3374}"/>
    <dgm:cxn modelId="{F7AD4AB5-0B18-416D-8280-7BF71A6E1FF9}" type="presOf" srcId="{EF977685-AAB3-4B0D-9FAB-16494B0B4298}" destId="{327CF8F1-9540-46EA-87CA-646B6C0ECDA0}" srcOrd="0" destOrd="0" presId="urn:microsoft.com/office/officeart/2008/layout/HorizontalMultiLevelHierarchy"/>
    <dgm:cxn modelId="{6B298FB9-00CF-410A-9B00-2C2A684741C5}" type="presOf" srcId="{D5E5A1DB-4AAD-4710-B9DA-A4EB5BA77E76}" destId="{1C96449C-EBE4-4B3B-B8DD-EED2F04C77B9}" srcOrd="1" destOrd="0" presId="urn:microsoft.com/office/officeart/2008/layout/HorizontalMultiLevelHierarchy"/>
    <dgm:cxn modelId="{9803ECB9-8011-46E1-A1AC-AC7F65DCF103}" type="presOf" srcId="{F3F23B5D-511A-4971-8759-B142278FB6E5}" destId="{2AA26576-1749-4A56-BEE4-9043164BE6F8}" srcOrd="0" destOrd="0" presId="urn:microsoft.com/office/officeart/2008/layout/HorizontalMultiLevelHierarchy"/>
    <dgm:cxn modelId="{948F21C4-8437-4062-82B0-3A0F6CA286D6}" type="presOf" srcId="{9473C394-755B-4F60-9E08-CD6D5C14CF46}" destId="{5DDB85B6-3B18-4371-B9BB-EF31D71A8442}" srcOrd="1" destOrd="0" presId="urn:microsoft.com/office/officeart/2008/layout/HorizontalMultiLevelHierarchy"/>
    <dgm:cxn modelId="{3F91DDCE-193B-4961-8211-640A2336ECE0}" type="presOf" srcId="{ECDEF5A3-57FB-4DD0-A5FC-AFAF2C64C6A3}" destId="{108EB368-6AE7-4256-A8A3-C70C65C73D95}" srcOrd="1" destOrd="0" presId="urn:microsoft.com/office/officeart/2008/layout/HorizontalMultiLevelHierarchy"/>
    <dgm:cxn modelId="{6D4935D6-4373-4252-922C-D5ADDDF31213}" srcId="{749A17C7-FF49-4F8F-918A-3614BC07C9AD}" destId="{7FD84D5B-2308-4A2C-A067-2EDC4BE32B99}" srcOrd="0" destOrd="0" parTransId="{9473C394-755B-4F60-9E08-CD6D5C14CF46}" sibTransId="{97CE79FC-A527-4B00-B6C7-4DBC8B8B9BE5}"/>
    <dgm:cxn modelId="{91703CE2-0A00-4543-8A62-266FB5DB5744}" type="presOf" srcId="{9473C394-755B-4F60-9E08-CD6D5C14CF46}" destId="{39B67397-863B-4AE7-AFC4-94D71AC942DC}" srcOrd="0" destOrd="0" presId="urn:microsoft.com/office/officeart/2008/layout/HorizontalMultiLevelHierarchy"/>
    <dgm:cxn modelId="{B34F42E5-FE97-401B-A3E0-DCB247ECA872}" type="presOf" srcId="{2D598BD1-8082-4599-B4C7-7DE2BDDFAD07}" destId="{BA8F22A0-AED2-44D9-A9A5-7D3C4D7DD7E9}" srcOrd="0" destOrd="0" presId="urn:microsoft.com/office/officeart/2008/layout/HorizontalMultiLevelHierarchy"/>
    <dgm:cxn modelId="{831D4FE5-98DF-4244-BA65-54E816681730}" type="presOf" srcId="{C66FEA0C-BE51-4437-9032-158E4B88A06C}" destId="{C1731FAD-79DD-49CC-8C58-FB15CB2A049A}" srcOrd="0" destOrd="0" presId="urn:microsoft.com/office/officeart/2008/layout/HorizontalMultiLevelHierarchy"/>
    <dgm:cxn modelId="{9AB1C6E8-040C-4E22-9F2C-B1A0FDF64E0C}" srcId="{EF977685-AAB3-4B0D-9FAB-16494B0B4298}" destId="{4CBC2F9A-FA95-4886-BE3B-544D55F769C7}" srcOrd="1" destOrd="0" parTransId="{EB8329EE-98BF-4AEE-8B35-A2C4DA43A9EA}" sibTransId="{DEBE0399-1F49-4677-AAA9-6C48391FBAD2}"/>
    <dgm:cxn modelId="{896E92EC-CA81-41FE-92E9-5BE3CA28931F}" type="presOf" srcId="{1212D7EE-AE55-4627-8584-507D5756A0D2}" destId="{3EA8F71C-4C27-41E8-84CF-75EEF65B99D1}" srcOrd="0" destOrd="0" presId="urn:microsoft.com/office/officeart/2008/layout/HorizontalMultiLevelHierarchy"/>
    <dgm:cxn modelId="{1909A2F1-4E71-45C3-AD4C-D5167B674D6B}" type="presOf" srcId="{A8703346-FEE3-492F-B8B3-8E7F3B9860C8}" destId="{A88113A6-8101-46EF-97A2-10A651268964}" srcOrd="0" destOrd="0" presId="urn:microsoft.com/office/officeart/2008/layout/HorizontalMultiLevelHierarchy"/>
    <dgm:cxn modelId="{33ADCFF1-1DC3-4B66-80DF-0ED44B8B6ACD}" srcId="{8B890290-C711-4278-9C0F-810D40A8CBA9}" destId="{C66FEA0C-BE51-4437-9032-158E4B88A06C}" srcOrd="1" destOrd="0" parTransId="{AEF87CCA-F7E3-48EB-B011-CA779D93D72E}" sibTransId="{F1C2C07B-1F04-4BA5-91AD-EF309EB33C4F}"/>
    <dgm:cxn modelId="{CC3BB392-E166-4CC7-89BD-3202A8130684}" type="presParOf" srcId="{44FA791A-F1AD-4671-B82D-FD6B35107B31}" destId="{FC409002-64D3-4F5C-BFA4-00BED3CAC065}" srcOrd="0" destOrd="0" presId="urn:microsoft.com/office/officeart/2008/layout/HorizontalMultiLevelHierarchy"/>
    <dgm:cxn modelId="{D9161CCA-3DA2-4F02-ADF6-D776558303BA}" type="presParOf" srcId="{FC409002-64D3-4F5C-BFA4-00BED3CAC065}" destId="{97AF53B9-E39D-4D13-A5BA-798804F384F0}" srcOrd="0" destOrd="0" presId="urn:microsoft.com/office/officeart/2008/layout/HorizontalMultiLevelHierarchy"/>
    <dgm:cxn modelId="{C695311E-3DE6-4C79-9418-1C6F7ACFF006}" type="presParOf" srcId="{FC409002-64D3-4F5C-BFA4-00BED3CAC065}" destId="{31A44CD2-3FDB-4E58-896A-B724368521BC}" srcOrd="1" destOrd="0" presId="urn:microsoft.com/office/officeart/2008/layout/HorizontalMultiLevelHierarchy"/>
    <dgm:cxn modelId="{89479DE9-EB13-4F27-801C-3CCA79398DE1}" type="presParOf" srcId="{31A44CD2-3FDB-4E58-896A-B724368521BC}" destId="{A88113A6-8101-46EF-97A2-10A651268964}" srcOrd="0" destOrd="0" presId="urn:microsoft.com/office/officeart/2008/layout/HorizontalMultiLevelHierarchy"/>
    <dgm:cxn modelId="{CB76BC72-09E7-4606-A4B9-B130E2981246}" type="presParOf" srcId="{A88113A6-8101-46EF-97A2-10A651268964}" destId="{BE0F96B6-9122-4B0C-B7A2-75B96132C7C5}" srcOrd="0" destOrd="0" presId="urn:microsoft.com/office/officeart/2008/layout/HorizontalMultiLevelHierarchy"/>
    <dgm:cxn modelId="{7BBC753D-3C07-4153-B556-74DF45E35BCC}" type="presParOf" srcId="{31A44CD2-3FDB-4E58-896A-B724368521BC}" destId="{AFA17229-E259-41F4-B3F2-30D896DAA3B9}" srcOrd="1" destOrd="0" presId="urn:microsoft.com/office/officeart/2008/layout/HorizontalMultiLevelHierarchy"/>
    <dgm:cxn modelId="{675A490D-9CB6-4BA8-A542-983161BBD8CF}" type="presParOf" srcId="{AFA17229-E259-41F4-B3F2-30D896DAA3B9}" destId="{84719F2D-717A-4153-8DC2-FE122C73ED29}" srcOrd="0" destOrd="0" presId="urn:microsoft.com/office/officeart/2008/layout/HorizontalMultiLevelHierarchy"/>
    <dgm:cxn modelId="{B5F31F31-6AAD-42D1-83E9-23586FAA460C}" type="presParOf" srcId="{AFA17229-E259-41F4-B3F2-30D896DAA3B9}" destId="{EFDE52CA-59E9-4D75-BF2B-CA5736990FF0}" srcOrd="1" destOrd="0" presId="urn:microsoft.com/office/officeart/2008/layout/HorizontalMultiLevelHierarchy"/>
    <dgm:cxn modelId="{A65C329E-4672-4FD8-9F73-21302D1B458C}" type="presParOf" srcId="{EFDE52CA-59E9-4D75-BF2B-CA5736990FF0}" destId="{B91D9E09-FFBE-40F3-9C4B-00B3764EAA26}" srcOrd="0" destOrd="0" presId="urn:microsoft.com/office/officeart/2008/layout/HorizontalMultiLevelHierarchy"/>
    <dgm:cxn modelId="{A0FC3157-CD25-4A37-B171-EB6A15B1F11A}" type="presParOf" srcId="{B91D9E09-FFBE-40F3-9C4B-00B3764EAA26}" destId="{1C96449C-EBE4-4B3B-B8DD-EED2F04C77B9}" srcOrd="0" destOrd="0" presId="urn:microsoft.com/office/officeart/2008/layout/HorizontalMultiLevelHierarchy"/>
    <dgm:cxn modelId="{D2ECD512-2AE1-42E0-B137-29B6096020B6}" type="presParOf" srcId="{EFDE52CA-59E9-4D75-BF2B-CA5736990FF0}" destId="{BD88E704-6B7F-40D0-AE96-9EEC52759CAB}" srcOrd="1" destOrd="0" presId="urn:microsoft.com/office/officeart/2008/layout/HorizontalMultiLevelHierarchy"/>
    <dgm:cxn modelId="{C512E5C2-D484-4590-922F-0E3F41FBBB23}" type="presParOf" srcId="{BD88E704-6B7F-40D0-AE96-9EEC52759CAB}" destId="{F08246C8-8069-47BF-AF31-E366D5BC5CCD}" srcOrd="0" destOrd="0" presId="urn:microsoft.com/office/officeart/2008/layout/HorizontalMultiLevelHierarchy"/>
    <dgm:cxn modelId="{D74A7117-5AF6-4C24-AA62-75815D490D6F}" type="presParOf" srcId="{BD88E704-6B7F-40D0-AE96-9EEC52759CAB}" destId="{A0368DEE-C03F-437C-A5C4-02410D6B4A50}" srcOrd="1" destOrd="0" presId="urn:microsoft.com/office/officeart/2008/layout/HorizontalMultiLevelHierarchy"/>
    <dgm:cxn modelId="{32A422DF-96CA-4386-8FD3-BC2D7764F9F2}" type="presParOf" srcId="{A0368DEE-C03F-437C-A5C4-02410D6B4A50}" destId="{39B67397-863B-4AE7-AFC4-94D71AC942DC}" srcOrd="0" destOrd="0" presId="urn:microsoft.com/office/officeart/2008/layout/HorizontalMultiLevelHierarchy"/>
    <dgm:cxn modelId="{9DC073F2-8E38-4AD1-AE71-D1174DB86C72}" type="presParOf" srcId="{39B67397-863B-4AE7-AFC4-94D71AC942DC}" destId="{5DDB85B6-3B18-4371-B9BB-EF31D71A8442}" srcOrd="0" destOrd="0" presId="urn:microsoft.com/office/officeart/2008/layout/HorizontalMultiLevelHierarchy"/>
    <dgm:cxn modelId="{22DDADC2-CAAA-4519-9DFC-924C7B4111A8}" type="presParOf" srcId="{A0368DEE-C03F-437C-A5C4-02410D6B4A50}" destId="{20B7D345-37F2-4E17-BA12-DE0C50F66DBA}" srcOrd="1" destOrd="0" presId="urn:microsoft.com/office/officeart/2008/layout/HorizontalMultiLevelHierarchy"/>
    <dgm:cxn modelId="{D5935799-D629-41FD-8214-B51B37A4D04A}" type="presParOf" srcId="{20B7D345-37F2-4E17-BA12-DE0C50F66DBA}" destId="{90B2A33F-F5C4-49C7-88B9-A593099CAA99}" srcOrd="0" destOrd="0" presId="urn:microsoft.com/office/officeart/2008/layout/HorizontalMultiLevelHierarchy"/>
    <dgm:cxn modelId="{A5359794-7675-4E78-87B4-F034A5AFF715}" type="presParOf" srcId="{20B7D345-37F2-4E17-BA12-DE0C50F66DBA}" destId="{23F18C69-5926-4C37-B345-EA52AAE5E4D0}" srcOrd="1" destOrd="0" presId="urn:microsoft.com/office/officeart/2008/layout/HorizontalMultiLevelHierarchy"/>
    <dgm:cxn modelId="{84E57DFC-C28F-4CEA-AE09-75BB4D5812A8}" type="presParOf" srcId="{A0368DEE-C03F-437C-A5C4-02410D6B4A50}" destId="{69AB9193-4AF2-43AC-A0D1-C1EE44CFE77E}" srcOrd="2" destOrd="0" presId="urn:microsoft.com/office/officeart/2008/layout/HorizontalMultiLevelHierarchy"/>
    <dgm:cxn modelId="{C50D1490-2898-41B1-9DEE-D966B4D757E6}" type="presParOf" srcId="{69AB9193-4AF2-43AC-A0D1-C1EE44CFE77E}" destId="{EF853A99-32BD-47D5-8AC1-A22D044B7F65}" srcOrd="0" destOrd="0" presId="urn:microsoft.com/office/officeart/2008/layout/HorizontalMultiLevelHierarchy"/>
    <dgm:cxn modelId="{8EEF9A18-3A1B-4CA4-B93E-220DEFEEF874}" type="presParOf" srcId="{A0368DEE-C03F-437C-A5C4-02410D6B4A50}" destId="{FB325890-E212-4065-BA0A-6664D7D3C7FE}" srcOrd="3" destOrd="0" presId="urn:microsoft.com/office/officeart/2008/layout/HorizontalMultiLevelHierarchy"/>
    <dgm:cxn modelId="{A59FCCC9-740D-4623-A1ED-FBAA638B7F1D}" type="presParOf" srcId="{FB325890-E212-4065-BA0A-6664D7D3C7FE}" destId="{E712BBC7-1FA1-4325-9D92-B4F9CE49082E}" srcOrd="0" destOrd="0" presId="urn:microsoft.com/office/officeart/2008/layout/HorizontalMultiLevelHierarchy"/>
    <dgm:cxn modelId="{F18C34F5-EC95-4034-8CB4-8CD4215060B6}" type="presParOf" srcId="{FB325890-E212-4065-BA0A-6664D7D3C7FE}" destId="{8C8C9F84-63E3-4E15-8209-7383B1272781}" srcOrd="1" destOrd="0" presId="urn:microsoft.com/office/officeart/2008/layout/HorizontalMultiLevelHierarchy"/>
    <dgm:cxn modelId="{8ED9BA17-C8C3-4749-BEF2-BE35761040F4}" type="presParOf" srcId="{EFDE52CA-59E9-4D75-BF2B-CA5736990FF0}" destId="{3654DC10-3D22-41FF-ACFF-573DD7526C2B}" srcOrd="2" destOrd="0" presId="urn:microsoft.com/office/officeart/2008/layout/HorizontalMultiLevelHierarchy"/>
    <dgm:cxn modelId="{58995AAD-6D58-4366-BC23-7876BA3F6FC3}" type="presParOf" srcId="{3654DC10-3D22-41FF-ACFF-573DD7526C2B}" destId="{112D54B7-1D29-42EF-8726-A66C1E936200}" srcOrd="0" destOrd="0" presId="urn:microsoft.com/office/officeart/2008/layout/HorizontalMultiLevelHierarchy"/>
    <dgm:cxn modelId="{B37FE3C4-6C5B-4985-A894-D94F30CD00E4}" type="presParOf" srcId="{EFDE52CA-59E9-4D75-BF2B-CA5736990FF0}" destId="{8C7B108F-699E-4243-B2C4-AE294E3CCE03}" srcOrd="3" destOrd="0" presId="urn:microsoft.com/office/officeart/2008/layout/HorizontalMultiLevelHierarchy"/>
    <dgm:cxn modelId="{DE3473DC-5416-4806-89A3-DC4A608ED3AA}" type="presParOf" srcId="{8C7B108F-699E-4243-B2C4-AE294E3CCE03}" destId="{C1731FAD-79DD-49CC-8C58-FB15CB2A049A}" srcOrd="0" destOrd="0" presId="urn:microsoft.com/office/officeart/2008/layout/HorizontalMultiLevelHierarchy"/>
    <dgm:cxn modelId="{234A0303-3349-47A5-9F91-9BBB66D0DB77}" type="presParOf" srcId="{8C7B108F-699E-4243-B2C4-AE294E3CCE03}" destId="{95C8756C-B3CE-4EAB-9411-97EB8F08A63C}" srcOrd="1" destOrd="0" presId="urn:microsoft.com/office/officeart/2008/layout/HorizontalMultiLevelHierarchy"/>
    <dgm:cxn modelId="{0F5F4E4F-9423-4BAB-8E84-12521AB3C4E3}" type="presParOf" srcId="{EFDE52CA-59E9-4D75-BF2B-CA5736990FF0}" destId="{D7E5B178-F8BD-4140-AB9D-E9BA15B756D4}" srcOrd="4" destOrd="0" presId="urn:microsoft.com/office/officeart/2008/layout/HorizontalMultiLevelHierarchy"/>
    <dgm:cxn modelId="{11EA94BB-68B0-42BE-94B3-DC36D954FCC3}" type="presParOf" srcId="{D7E5B178-F8BD-4140-AB9D-E9BA15B756D4}" destId="{9157E60A-16DE-44E5-9B02-26316D736A5D}" srcOrd="0" destOrd="0" presId="urn:microsoft.com/office/officeart/2008/layout/HorizontalMultiLevelHierarchy"/>
    <dgm:cxn modelId="{F06D2170-0F32-43DE-B08E-88EB80CDFA87}" type="presParOf" srcId="{EFDE52CA-59E9-4D75-BF2B-CA5736990FF0}" destId="{5D34C244-25AE-45B4-822F-FE5657B0414F}" srcOrd="5" destOrd="0" presId="urn:microsoft.com/office/officeart/2008/layout/HorizontalMultiLevelHierarchy"/>
    <dgm:cxn modelId="{FE53C728-D22C-440F-BD0B-4081E384069E}" type="presParOf" srcId="{5D34C244-25AE-45B4-822F-FE5657B0414F}" destId="{BA8F22A0-AED2-44D9-A9A5-7D3C4D7DD7E9}" srcOrd="0" destOrd="0" presId="urn:microsoft.com/office/officeart/2008/layout/HorizontalMultiLevelHierarchy"/>
    <dgm:cxn modelId="{18AE9069-9831-42E0-A45C-F8F57A03F867}" type="presParOf" srcId="{5D34C244-25AE-45B4-822F-FE5657B0414F}" destId="{DBD0061C-1A1F-4A11-BADB-D9DBE273E151}" srcOrd="1" destOrd="0" presId="urn:microsoft.com/office/officeart/2008/layout/HorizontalMultiLevelHierarchy"/>
    <dgm:cxn modelId="{1E2C4829-B781-40C9-AAFC-44BE3B5F7EEF}" type="presParOf" srcId="{31A44CD2-3FDB-4E58-896A-B724368521BC}" destId="{F81B984B-F38C-4F9A-9F96-C0D3D10EBC0B}" srcOrd="2" destOrd="0" presId="urn:microsoft.com/office/officeart/2008/layout/HorizontalMultiLevelHierarchy"/>
    <dgm:cxn modelId="{53C3B4C6-5425-4294-A655-AE7DD880A212}" type="presParOf" srcId="{F81B984B-F38C-4F9A-9F96-C0D3D10EBC0B}" destId="{97C9EBC8-F1BE-490E-8CA6-5E4850C5CF28}" srcOrd="0" destOrd="0" presId="urn:microsoft.com/office/officeart/2008/layout/HorizontalMultiLevelHierarchy"/>
    <dgm:cxn modelId="{39B77785-3AE9-4887-8F68-6C6C0EB0A5B6}" type="presParOf" srcId="{31A44CD2-3FDB-4E58-896A-B724368521BC}" destId="{01AABF48-B16E-456B-AF39-E9812B1BDFC1}" srcOrd="3" destOrd="0" presId="urn:microsoft.com/office/officeart/2008/layout/HorizontalMultiLevelHierarchy"/>
    <dgm:cxn modelId="{31675AFB-C675-4962-9C00-8297E9031A0F}" type="presParOf" srcId="{01AABF48-B16E-456B-AF39-E9812B1BDFC1}" destId="{327CF8F1-9540-46EA-87CA-646B6C0ECDA0}" srcOrd="0" destOrd="0" presId="urn:microsoft.com/office/officeart/2008/layout/HorizontalMultiLevelHierarchy"/>
    <dgm:cxn modelId="{89E36499-8E1B-4069-A381-13F20101BC4F}" type="presParOf" srcId="{01AABF48-B16E-456B-AF39-E9812B1BDFC1}" destId="{C461BC34-F558-4E10-A69F-4FE378AC6A8C}" srcOrd="1" destOrd="0" presId="urn:microsoft.com/office/officeart/2008/layout/HorizontalMultiLevelHierarchy"/>
    <dgm:cxn modelId="{98D0E47B-C73D-4EEF-99B2-8ECA6D6BAB06}" type="presParOf" srcId="{C461BC34-F558-4E10-A69F-4FE378AC6A8C}" destId="{2AA26576-1749-4A56-BEE4-9043164BE6F8}" srcOrd="0" destOrd="0" presId="urn:microsoft.com/office/officeart/2008/layout/HorizontalMultiLevelHierarchy"/>
    <dgm:cxn modelId="{D4B97A35-26D1-46FB-816B-CADC1B14586F}" type="presParOf" srcId="{2AA26576-1749-4A56-BEE4-9043164BE6F8}" destId="{FCCAC6F6-0190-4CC6-8C4F-07EE089282E9}" srcOrd="0" destOrd="0" presId="urn:microsoft.com/office/officeart/2008/layout/HorizontalMultiLevelHierarchy"/>
    <dgm:cxn modelId="{7D1F9DAC-D4FF-42CB-BF87-3222731BC8C4}" type="presParOf" srcId="{C461BC34-F558-4E10-A69F-4FE378AC6A8C}" destId="{9AE55339-FC08-4DE1-8F96-10E6341197A7}" srcOrd="1" destOrd="0" presId="urn:microsoft.com/office/officeart/2008/layout/HorizontalMultiLevelHierarchy"/>
    <dgm:cxn modelId="{1631AEF7-DB39-4B5C-8C79-BBE48CD27B67}" type="presParOf" srcId="{9AE55339-FC08-4DE1-8F96-10E6341197A7}" destId="{A07DC19F-30B7-4020-A8E2-723B732B9608}" srcOrd="0" destOrd="0" presId="urn:microsoft.com/office/officeart/2008/layout/HorizontalMultiLevelHierarchy"/>
    <dgm:cxn modelId="{4D793B52-06D2-4D67-B825-8C2958EECC49}" type="presParOf" srcId="{9AE55339-FC08-4DE1-8F96-10E6341197A7}" destId="{F423CFD8-0E5D-48A8-8F11-2E623303D80E}" srcOrd="1" destOrd="0" presId="urn:microsoft.com/office/officeart/2008/layout/HorizontalMultiLevelHierarchy"/>
    <dgm:cxn modelId="{BB842234-31CE-4BFA-B370-7B875E1176BC}" type="presParOf" srcId="{C461BC34-F558-4E10-A69F-4FE378AC6A8C}" destId="{6537BB23-4B05-43EE-AF81-3662FAF6C7BE}" srcOrd="2" destOrd="0" presId="urn:microsoft.com/office/officeart/2008/layout/HorizontalMultiLevelHierarchy"/>
    <dgm:cxn modelId="{222E6851-A422-47B7-A565-208B09A22078}" type="presParOf" srcId="{6537BB23-4B05-43EE-AF81-3662FAF6C7BE}" destId="{A13F1886-3FA4-4DA9-9D2C-E0363DDFC0EA}" srcOrd="0" destOrd="0" presId="urn:microsoft.com/office/officeart/2008/layout/HorizontalMultiLevelHierarchy"/>
    <dgm:cxn modelId="{7B9F6C93-9655-48E6-BD08-DCDA3AF54ED9}" type="presParOf" srcId="{C461BC34-F558-4E10-A69F-4FE378AC6A8C}" destId="{EE646110-5147-45F0-889E-99E88D8F545B}" srcOrd="3" destOrd="0" presId="urn:microsoft.com/office/officeart/2008/layout/HorizontalMultiLevelHierarchy"/>
    <dgm:cxn modelId="{D0217643-8099-471C-8008-FC2D721FEE54}" type="presParOf" srcId="{EE646110-5147-45F0-889E-99E88D8F545B}" destId="{E8093928-4344-4CF3-AAAE-094C2B47DA4D}" srcOrd="0" destOrd="0" presId="urn:microsoft.com/office/officeart/2008/layout/HorizontalMultiLevelHierarchy"/>
    <dgm:cxn modelId="{90D4425E-0340-454C-B525-42C92ADD0182}" type="presParOf" srcId="{EE646110-5147-45F0-889E-99E88D8F545B}" destId="{D1AA012B-B469-4689-B4F9-EB24A3CD2C77}" srcOrd="1" destOrd="0" presId="urn:microsoft.com/office/officeart/2008/layout/HorizontalMultiLevelHierarchy"/>
    <dgm:cxn modelId="{123B065B-C5F2-4AEB-B800-D28A66198205}" type="presParOf" srcId="{D1AA012B-B469-4689-B4F9-EB24A3CD2C77}" destId="{05E3CC04-10F1-430C-85D0-0896D101C3DC}" srcOrd="0" destOrd="0" presId="urn:microsoft.com/office/officeart/2008/layout/HorizontalMultiLevelHierarchy"/>
    <dgm:cxn modelId="{0714F4F0-10EE-435C-AB64-A1AAF509AD2B}" type="presParOf" srcId="{05E3CC04-10F1-430C-85D0-0896D101C3DC}" destId="{108EB368-6AE7-4256-A8A3-C70C65C73D95}" srcOrd="0" destOrd="0" presId="urn:microsoft.com/office/officeart/2008/layout/HorizontalMultiLevelHierarchy"/>
    <dgm:cxn modelId="{BE530AA7-C9A6-42C3-8B71-115E90FF16A7}" type="presParOf" srcId="{D1AA012B-B469-4689-B4F9-EB24A3CD2C77}" destId="{05D2CDD5-2E0E-481A-8674-18A87CD87A8F}" srcOrd="1" destOrd="0" presId="urn:microsoft.com/office/officeart/2008/layout/HorizontalMultiLevelHierarchy"/>
    <dgm:cxn modelId="{EB7448ED-00F5-43CF-8CE7-94710778235C}" type="presParOf" srcId="{05D2CDD5-2E0E-481A-8674-18A87CD87A8F}" destId="{557B9BD5-88F8-4DD8-938B-FD24C22D76F5}" srcOrd="0" destOrd="0" presId="urn:microsoft.com/office/officeart/2008/layout/HorizontalMultiLevelHierarchy"/>
    <dgm:cxn modelId="{7BF0901E-4408-4E75-8E65-1961E1A03AB4}" type="presParOf" srcId="{05D2CDD5-2E0E-481A-8674-18A87CD87A8F}" destId="{A24FC90A-D247-4EDC-B22A-AC852887514A}" srcOrd="1" destOrd="0" presId="urn:microsoft.com/office/officeart/2008/layout/HorizontalMultiLevelHierarchy"/>
    <dgm:cxn modelId="{D5C2B79A-C9B2-4F3E-AC30-E9C394C8BC88}" type="presParOf" srcId="{D1AA012B-B469-4689-B4F9-EB24A3CD2C77}" destId="{791C797B-3D93-4A69-9D97-BEB2E95152E8}" srcOrd="2" destOrd="0" presId="urn:microsoft.com/office/officeart/2008/layout/HorizontalMultiLevelHierarchy"/>
    <dgm:cxn modelId="{699531C6-1096-4DB4-8D7A-E4A7DBCF24A1}" type="presParOf" srcId="{791C797B-3D93-4A69-9D97-BEB2E95152E8}" destId="{75613EF0-BE02-4AB4-A882-32863335D308}" srcOrd="0" destOrd="0" presId="urn:microsoft.com/office/officeart/2008/layout/HorizontalMultiLevelHierarchy"/>
    <dgm:cxn modelId="{87961BF6-6947-469F-969A-8C5AC261A958}" type="presParOf" srcId="{D1AA012B-B469-4689-B4F9-EB24A3CD2C77}" destId="{3492F492-BE85-40A1-AEAF-DBDF77C5EE5D}" srcOrd="3" destOrd="0" presId="urn:microsoft.com/office/officeart/2008/layout/HorizontalMultiLevelHierarchy"/>
    <dgm:cxn modelId="{6D7869F0-A715-4492-89A2-0BBB1AF5C479}" type="presParOf" srcId="{3492F492-BE85-40A1-AEAF-DBDF77C5EE5D}" destId="{3EA8F71C-4C27-41E8-84CF-75EEF65B99D1}" srcOrd="0" destOrd="0" presId="urn:microsoft.com/office/officeart/2008/layout/HorizontalMultiLevelHierarchy"/>
    <dgm:cxn modelId="{218DC75D-C755-4274-9C98-E111DB78A9D5}" type="presParOf" srcId="{3492F492-BE85-40A1-AEAF-DBDF77C5EE5D}" destId="{53739532-F0A1-4CB3-8338-7F4C2BF93643}" srcOrd="1" destOrd="0" presId="urn:microsoft.com/office/officeart/2008/layout/HorizontalMultiLevelHierarchy"/>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1B02D8-8A1D-42B6-9D65-A25EB00D6AA5}">
      <dsp:nvSpPr>
        <dsp:cNvPr id="0" name=""/>
        <dsp:cNvSpPr/>
      </dsp:nvSpPr>
      <dsp:spPr>
        <a:xfrm rot="5400000">
          <a:off x="-237708" y="494365"/>
          <a:ext cx="1584721" cy="1109305"/>
        </a:xfrm>
        <a:prstGeom prst="chevron">
          <a:avLst/>
        </a:prstGeom>
        <a:solidFill>
          <a:srgbClr val="4472C4">
            <a:shade val="50000"/>
            <a:hueOff val="0"/>
            <a:satOff val="0"/>
            <a:lumOff val="0"/>
            <a:alphaOff val="0"/>
          </a:srgbClr>
        </a:solidFill>
        <a:ln w="12700" cap="flat" cmpd="sng" algn="ctr">
          <a:solidFill>
            <a:srgbClr val="5B9BD5">
              <a:lumMod val="50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GT" sz="1100" b="1" kern="1200">
              <a:solidFill>
                <a:sysClr val="window" lastClr="FFFFFF"/>
              </a:solidFill>
              <a:latin typeface="Times New Roman" panose="02020603050405020304" pitchFamily="18" charset="0"/>
              <a:ea typeface="+mn-ea"/>
              <a:cs typeface="Times New Roman" panose="02020603050405020304" pitchFamily="18" charset="0"/>
            </a:rPr>
            <a:t>Gas Propano (Q570 millones)</a:t>
          </a:r>
        </a:p>
      </dsp:txBody>
      <dsp:txXfrm rot="-5400000">
        <a:off x="1" y="811310"/>
        <a:ext cx="1109305" cy="475416"/>
      </dsp:txXfrm>
    </dsp:sp>
    <dsp:sp modelId="{7F15AAFB-C41D-4E5C-8958-7E3A1351D8D6}">
      <dsp:nvSpPr>
        <dsp:cNvPr id="0" name=""/>
        <dsp:cNvSpPr/>
      </dsp:nvSpPr>
      <dsp:spPr>
        <a:xfrm rot="5400000">
          <a:off x="2325780" y="-1107293"/>
          <a:ext cx="1325018" cy="3757969"/>
        </a:xfrm>
        <a:prstGeom prst="round2SameRect">
          <a:avLst/>
        </a:prstGeom>
        <a:solidFill>
          <a:sysClr val="window" lastClr="FFFFFF">
            <a:alpha val="90000"/>
            <a:hueOff val="0"/>
            <a:satOff val="0"/>
            <a:lumOff val="0"/>
            <a:alphaOff val="0"/>
          </a:sysClr>
        </a:solidFill>
        <a:ln w="12700" cap="flat" cmpd="sng" algn="ctr">
          <a:solidFill>
            <a:srgbClr val="4472C4">
              <a:shade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just" defTabSz="444500">
            <a:lnSpc>
              <a:spcPct val="90000"/>
            </a:lnSpc>
            <a:spcBef>
              <a:spcPct val="0"/>
            </a:spcBef>
            <a:spcAft>
              <a:spcPct val="15000"/>
            </a:spcAft>
            <a:buChar char="•"/>
          </a:pPr>
          <a:r>
            <a:rPr lang="es-G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Se aprobaron 5 decretos (15-2021, 17-2022, 33-2022, 45-2022 y 55-2022) de apoyo temporal a los consumidores de gas propano, manteniéndose las condiciones del subsidio en cada decreto:</a:t>
          </a:r>
        </a:p>
        <a:p>
          <a:pPr marL="114300" lvl="2" indent="-57150" algn="just" defTabSz="444500">
            <a:lnSpc>
              <a:spcPct val="90000"/>
            </a:lnSpc>
            <a:spcBef>
              <a:spcPct val="0"/>
            </a:spcBef>
            <a:spcAft>
              <a:spcPct val="15000"/>
            </a:spcAft>
            <a:buChar char="•"/>
          </a:pPr>
          <a:r>
            <a:rPr lang="es-G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 libras - Q8.00</a:t>
          </a:r>
        </a:p>
        <a:p>
          <a:pPr marL="114300" lvl="2" indent="-57150" algn="just" defTabSz="444500">
            <a:lnSpc>
              <a:spcPct val="90000"/>
            </a:lnSpc>
            <a:spcBef>
              <a:spcPct val="0"/>
            </a:spcBef>
            <a:spcAft>
              <a:spcPct val="15000"/>
            </a:spcAft>
            <a:buChar char="•"/>
          </a:pPr>
          <a:r>
            <a:rPr lang="es-G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20 libras - Q16.00</a:t>
          </a:r>
        </a:p>
        <a:p>
          <a:pPr marL="114300" lvl="2" indent="-57150" algn="just" defTabSz="444500">
            <a:lnSpc>
              <a:spcPct val="90000"/>
            </a:lnSpc>
            <a:spcBef>
              <a:spcPct val="0"/>
            </a:spcBef>
            <a:spcAft>
              <a:spcPct val="15000"/>
            </a:spcAft>
            <a:buChar char="•"/>
          </a:pPr>
          <a:r>
            <a:rPr lang="es-G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25 libras - Q20.00</a:t>
          </a:r>
        </a:p>
        <a:p>
          <a:pPr marL="114300" lvl="2" indent="-57150" algn="just" defTabSz="444500">
            <a:lnSpc>
              <a:spcPct val="90000"/>
            </a:lnSpc>
            <a:spcBef>
              <a:spcPct val="0"/>
            </a:spcBef>
            <a:spcAft>
              <a:spcPct val="15000"/>
            </a:spcAft>
            <a:buChar char="•"/>
          </a:pPr>
          <a:r>
            <a:rPr lang="es-G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35 libras - Q28.00</a:t>
          </a:r>
        </a:p>
      </dsp:txBody>
      <dsp:txXfrm rot="-5400000">
        <a:off x="1109305" y="173864"/>
        <a:ext cx="3693287" cy="1195654"/>
      </dsp:txXfrm>
    </dsp:sp>
    <dsp:sp modelId="{02854CE8-8D42-4870-A4B2-C197234DDB8D}">
      <dsp:nvSpPr>
        <dsp:cNvPr id="0" name=""/>
        <dsp:cNvSpPr/>
      </dsp:nvSpPr>
      <dsp:spPr>
        <a:xfrm rot="5400000">
          <a:off x="-237708" y="2090507"/>
          <a:ext cx="1584721" cy="1109305"/>
        </a:xfrm>
        <a:prstGeom prst="chevron">
          <a:avLst/>
        </a:prstGeom>
        <a:solidFill>
          <a:srgbClr val="4472C4">
            <a:shade val="50000"/>
            <a:hueOff val="268329"/>
            <a:satOff val="-6535"/>
            <a:lumOff val="28597"/>
            <a:alphaOff val="0"/>
          </a:srgbClr>
        </a:solidFill>
        <a:ln w="12700" cap="flat" cmpd="sng" algn="ctr">
          <a:solidFill>
            <a:srgbClr val="5B9BD5">
              <a:lumMod val="50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GT" sz="1100" b="1" kern="1200">
              <a:solidFill>
                <a:sysClr val="window" lastClr="FFFFFF"/>
              </a:solidFill>
              <a:latin typeface="Times New Roman" panose="02020603050405020304" pitchFamily="18" charset="0"/>
              <a:ea typeface="+mn-ea"/>
              <a:cs typeface="Times New Roman" panose="02020603050405020304" pitchFamily="18" charset="0"/>
            </a:rPr>
            <a:t>Combustibles (Q2,460 millones)</a:t>
          </a:r>
        </a:p>
      </dsp:txBody>
      <dsp:txXfrm rot="-5400000">
        <a:off x="1" y="2407452"/>
        <a:ext cx="1109305" cy="475416"/>
      </dsp:txXfrm>
    </dsp:sp>
    <dsp:sp modelId="{29506806-400B-403D-8F74-34021F55C601}">
      <dsp:nvSpPr>
        <dsp:cNvPr id="0" name=""/>
        <dsp:cNvSpPr/>
      </dsp:nvSpPr>
      <dsp:spPr>
        <a:xfrm rot="5400000">
          <a:off x="2300085" y="488848"/>
          <a:ext cx="1376409" cy="3757969"/>
        </a:xfrm>
        <a:prstGeom prst="round2SameRect">
          <a:avLst/>
        </a:prstGeom>
        <a:solidFill>
          <a:sysClr val="window" lastClr="FFFFFF">
            <a:alpha val="90000"/>
            <a:hueOff val="0"/>
            <a:satOff val="0"/>
            <a:lumOff val="0"/>
            <a:alphaOff val="0"/>
          </a:sysClr>
        </a:solidFill>
        <a:ln w="12700" cap="flat" cmpd="sng" algn="ctr">
          <a:solidFill>
            <a:srgbClr val="4472C4">
              <a:shade val="50000"/>
              <a:hueOff val="268329"/>
              <a:satOff val="-6535"/>
              <a:lumOff val="28597"/>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just" defTabSz="444500">
            <a:lnSpc>
              <a:spcPct val="90000"/>
            </a:lnSpc>
            <a:spcBef>
              <a:spcPct val="0"/>
            </a:spcBef>
            <a:spcAft>
              <a:spcPct val="15000"/>
            </a:spcAft>
            <a:buChar char="•"/>
          </a:pPr>
          <a:r>
            <a:rPr lang="es-G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Se aprobaron 3 decretos:</a:t>
          </a:r>
        </a:p>
        <a:p>
          <a:pPr marL="114300" lvl="2" indent="-57150" algn="just" defTabSz="444500">
            <a:lnSpc>
              <a:spcPct val="90000"/>
            </a:lnSpc>
            <a:spcBef>
              <a:spcPct val="0"/>
            </a:spcBef>
            <a:spcAft>
              <a:spcPct val="15000"/>
            </a:spcAft>
            <a:buChar char="•"/>
          </a:pPr>
          <a:r>
            <a:rPr lang="es-G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Decreto 20-2022 considero un subsidio a los consumidores de diésel siendo Q5.00 por galon y Q2.50 a los consumidores de gasolina regular</a:t>
          </a:r>
        </a:p>
        <a:p>
          <a:pPr marL="114300" lvl="2" indent="-57150" algn="just" defTabSz="444500">
            <a:lnSpc>
              <a:spcPct val="90000"/>
            </a:lnSpc>
            <a:spcBef>
              <a:spcPct val="0"/>
            </a:spcBef>
            <a:spcAft>
              <a:spcPct val="15000"/>
            </a:spcAft>
            <a:buChar char="•"/>
          </a:pPr>
          <a:r>
            <a:rPr lang="es-G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Decreto 28-2022, se amplió el apoyo temporal a los consumidores de diésel a Q7.00 por galón y gasolina regular Q5.00 por galón y se incluyó a la gasolina superior Q5.00 por galón</a:t>
          </a:r>
        </a:p>
        <a:p>
          <a:pPr marL="114300" lvl="2" indent="-57150" algn="just" defTabSz="444500">
            <a:lnSpc>
              <a:spcPct val="90000"/>
            </a:lnSpc>
            <a:spcBef>
              <a:spcPct val="0"/>
            </a:spcBef>
            <a:spcAft>
              <a:spcPct val="15000"/>
            </a:spcAft>
            <a:buChar char="•"/>
          </a:pPr>
          <a:r>
            <a:rPr lang="es-G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Decreto 42-2022, en este decreto unicamente se considera al combustible diésel (Q5.00 por galón)  </a:t>
          </a:r>
        </a:p>
      </dsp:txBody>
      <dsp:txXfrm rot="-5400000">
        <a:off x="1109306" y="1746819"/>
        <a:ext cx="3690778" cy="1242027"/>
      </dsp:txXfrm>
    </dsp:sp>
    <dsp:sp modelId="{4E846E43-CFA7-42C4-9D36-63725B338952}">
      <dsp:nvSpPr>
        <dsp:cNvPr id="0" name=""/>
        <dsp:cNvSpPr/>
      </dsp:nvSpPr>
      <dsp:spPr>
        <a:xfrm rot="5400000">
          <a:off x="-237708" y="3792079"/>
          <a:ext cx="1584721" cy="1109305"/>
        </a:xfrm>
        <a:prstGeom prst="chevron">
          <a:avLst/>
        </a:prstGeom>
        <a:solidFill>
          <a:srgbClr val="5B9BD5">
            <a:lumMod val="50000"/>
          </a:srgbClr>
        </a:solidFill>
        <a:ln w="12700" cap="flat" cmpd="sng" algn="ctr">
          <a:solidFill>
            <a:srgbClr val="5B9BD5">
              <a:lumMod val="50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endParaRPr lang="es-GT" sz="1050" b="1" kern="1200">
            <a:solidFill>
              <a:sysClr val="window" lastClr="FFFFFF"/>
            </a:solidFill>
            <a:latin typeface="Calibri" panose="020F0502020204030204"/>
            <a:ea typeface="+mn-ea"/>
            <a:cs typeface="+mn-cs"/>
          </a:endParaRPr>
        </a:p>
        <a:p>
          <a:pPr marL="0" lvl="0" indent="0" algn="ctr" defTabSz="466725">
            <a:lnSpc>
              <a:spcPct val="90000"/>
            </a:lnSpc>
            <a:spcBef>
              <a:spcPct val="0"/>
            </a:spcBef>
            <a:spcAft>
              <a:spcPct val="35000"/>
            </a:spcAft>
            <a:buNone/>
          </a:pPr>
          <a:r>
            <a:rPr lang="es-GT" sz="1100" b="1" kern="1200">
              <a:solidFill>
                <a:sysClr val="window" lastClr="FFFFFF"/>
              </a:solidFill>
              <a:latin typeface="Times New Roman" panose="02020603050405020304" pitchFamily="18" charset="0"/>
              <a:ea typeface="+mn-ea"/>
              <a:cs typeface="Times New Roman" panose="02020603050405020304" pitchFamily="18" charset="0"/>
            </a:rPr>
            <a:t>Tarifa Social Energía Eléctrica (Q227.5 millones)</a:t>
          </a:r>
        </a:p>
      </dsp:txBody>
      <dsp:txXfrm rot="-5400000">
        <a:off x="1" y="4109024"/>
        <a:ext cx="1109305" cy="475416"/>
      </dsp:txXfrm>
    </dsp:sp>
    <dsp:sp modelId="{2C059829-FA43-4B35-828E-A42751D5BE0E}">
      <dsp:nvSpPr>
        <dsp:cNvPr id="0" name=""/>
        <dsp:cNvSpPr/>
      </dsp:nvSpPr>
      <dsp:spPr>
        <a:xfrm rot="5400000">
          <a:off x="2194384" y="2190691"/>
          <a:ext cx="1587810" cy="3757969"/>
        </a:xfrm>
        <a:prstGeom prst="round2SameRect">
          <a:avLst/>
        </a:prstGeom>
        <a:solidFill>
          <a:sysClr val="window" lastClr="FFFFFF">
            <a:alpha val="90000"/>
            <a:hueOff val="0"/>
            <a:satOff val="0"/>
            <a:lumOff val="0"/>
            <a:alphaOff val="0"/>
          </a:sysClr>
        </a:solidFill>
        <a:ln w="12700" cap="flat" cmpd="sng" algn="ctr">
          <a:solidFill>
            <a:srgbClr val="4472C4">
              <a:shade val="50000"/>
              <a:hueOff val="268329"/>
              <a:satOff val="-6535"/>
              <a:lumOff val="28597"/>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just" defTabSz="444500">
            <a:lnSpc>
              <a:spcPct val="90000"/>
            </a:lnSpc>
            <a:spcBef>
              <a:spcPct val="0"/>
            </a:spcBef>
            <a:spcAft>
              <a:spcPct val="15000"/>
            </a:spcAft>
            <a:buChar char="•"/>
          </a:pPr>
          <a:r>
            <a:rPr lang="es-G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Se aprobaron 2 decretos para el fortalecimiento al aporte social de la tarifa eléctrica, anteriormente la tarifa social unicamente aplicaba a rangos de consumo de 1 a 88 kWh:</a:t>
          </a:r>
        </a:p>
        <a:p>
          <a:pPr marL="114300" lvl="2" indent="-57150" algn="just" defTabSz="444500">
            <a:lnSpc>
              <a:spcPct val="90000"/>
            </a:lnSpc>
            <a:spcBef>
              <a:spcPct val="0"/>
            </a:spcBef>
            <a:spcAft>
              <a:spcPct val="15000"/>
            </a:spcAft>
            <a:buChar char="•"/>
          </a:pPr>
          <a:r>
            <a:rPr lang="es-G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Decreto 25-2022, estuvo enfocado en usuarios regulados de distribución final de energía eléctrica que consuman mensualmente entre 89 kWh hasta 100 kWh al mes, pagando una tarifa de Q1.00 por kWh</a:t>
          </a:r>
        </a:p>
        <a:p>
          <a:pPr marL="114300" lvl="2" indent="-57150" algn="just" defTabSz="444500">
            <a:lnSpc>
              <a:spcPct val="90000"/>
            </a:lnSpc>
            <a:spcBef>
              <a:spcPct val="0"/>
            </a:spcBef>
            <a:spcAft>
              <a:spcPct val="15000"/>
            </a:spcAft>
            <a:buChar char="•"/>
          </a:pPr>
          <a:r>
            <a:rPr lang="es-G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Decreto 43-2022, amplia a los beneficiarios del aporte social a la energía eléctrica al cubrir a los usuarios regulados que consuman entre 101 kWh hasta 125 kWh. </a:t>
          </a:r>
        </a:p>
      </dsp:txBody>
      <dsp:txXfrm rot="-5400000">
        <a:off x="1109305" y="3353280"/>
        <a:ext cx="3680459" cy="143279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1C797B-3D93-4A69-9D97-BEB2E95152E8}">
      <dsp:nvSpPr>
        <dsp:cNvPr id="0" name=""/>
        <dsp:cNvSpPr/>
      </dsp:nvSpPr>
      <dsp:spPr>
        <a:xfrm>
          <a:off x="3866090" y="2562950"/>
          <a:ext cx="274415" cy="261447"/>
        </a:xfrm>
        <a:custGeom>
          <a:avLst/>
          <a:gdLst/>
          <a:ahLst/>
          <a:cxnLst/>
          <a:rect l="0" t="0" r="0" b="0"/>
          <a:pathLst>
            <a:path>
              <a:moveTo>
                <a:pt x="0" y="0"/>
              </a:moveTo>
              <a:lnTo>
                <a:pt x="137207" y="0"/>
              </a:lnTo>
              <a:lnTo>
                <a:pt x="137207" y="261447"/>
              </a:lnTo>
              <a:lnTo>
                <a:pt x="274415" y="261447"/>
              </a:lnTo>
            </a:path>
          </a:pathLst>
        </a:custGeom>
        <a:noFill/>
        <a:ln w="12700" cap="flat" cmpd="sng" algn="ctr">
          <a:solidFill>
            <a:schemeClr val="dk2">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s-ES" sz="800" kern="1200">
            <a:solidFill>
              <a:sysClr val="windowText" lastClr="000000"/>
            </a:solidFill>
            <a:latin typeface="Times New Roman" panose="02020603050405020304" pitchFamily="18" charset="0"/>
            <a:cs typeface="Times New Roman" panose="02020603050405020304" pitchFamily="18" charset="0"/>
          </a:endParaRPr>
        </a:p>
      </dsp:txBody>
      <dsp:txXfrm>
        <a:off x="3993822" y="2684199"/>
        <a:ext cx="18951" cy="18951"/>
      </dsp:txXfrm>
    </dsp:sp>
    <dsp:sp modelId="{05E3CC04-10F1-430C-85D0-0896D101C3DC}">
      <dsp:nvSpPr>
        <dsp:cNvPr id="0" name=""/>
        <dsp:cNvSpPr/>
      </dsp:nvSpPr>
      <dsp:spPr>
        <a:xfrm>
          <a:off x="3866090" y="2301503"/>
          <a:ext cx="274415" cy="261447"/>
        </a:xfrm>
        <a:custGeom>
          <a:avLst/>
          <a:gdLst/>
          <a:ahLst/>
          <a:cxnLst/>
          <a:rect l="0" t="0" r="0" b="0"/>
          <a:pathLst>
            <a:path>
              <a:moveTo>
                <a:pt x="0" y="261447"/>
              </a:moveTo>
              <a:lnTo>
                <a:pt x="137207" y="261447"/>
              </a:lnTo>
              <a:lnTo>
                <a:pt x="137207" y="0"/>
              </a:lnTo>
              <a:lnTo>
                <a:pt x="274415" y="0"/>
              </a:lnTo>
            </a:path>
          </a:pathLst>
        </a:custGeom>
        <a:noFill/>
        <a:ln w="12700" cap="flat" cmpd="sng" algn="ctr">
          <a:solidFill>
            <a:schemeClr val="dk2">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s-ES" sz="800" kern="1200">
            <a:solidFill>
              <a:sysClr val="windowText" lastClr="000000"/>
            </a:solidFill>
            <a:latin typeface="Times New Roman" panose="02020603050405020304" pitchFamily="18" charset="0"/>
            <a:cs typeface="Times New Roman" panose="02020603050405020304" pitchFamily="18" charset="0"/>
          </a:endParaRPr>
        </a:p>
      </dsp:txBody>
      <dsp:txXfrm>
        <a:off x="3993822" y="2422751"/>
        <a:ext cx="18951" cy="18951"/>
      </dsp:txXfrm>
    </dsp:sp>
    <dsp:sp modelId="{6537BB23-4B05-43EE-AF81-3662FAF6C7BE}">
      <dsp:nvSpPr>
        <dsp:cNvPr id="0" name=""/>
        <dsp:cNvSpPr/>
      </dsp:nvSpPr>
      <dsp:spPr>
        <a:xfrm>
          <a:off x="2219599" y="2301503"/>
          <a:ext cx="274415" cy="261447"/>
        </a:xfrm>
        <a:custGeom>
          <a:avLst/>
          <a:gdLst/>
          <a:ahLst/>
          <a:cxnLst/>
          <a:rect l="0" t="0" r="0" b="0"/>
          <a:pathLst>
            <a:path>
              <a:moveTo>
                <a:pt x="0" y="0"/>
              </a:moveTo>
              <a:lnTo>
                <a:pt x="137207" y="0"/>
              </a:lnTo>
              <a:lnTo>
                <a:pt x="137207" y="261447"/>
              </a:lnTo>
              <a:lnTo>
                <a:pt x="274415" y="261447"/>
              </a:lnTo>
            </a:path>
          </a:pathLst>
        </a:custGeom>
        <a:noFill/>
        <a:ln w="12700" cap="flat" cmpd="sng" algn="ctr">
          <a:solidFill>
            <a:schemeClr val="dk2">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s-ES" sz="800" kern="1200">
            <a:solidFill>
              <a:sysClr val="windowText" lastClr="000000"/>
            </a:solidFill>
            <a:latin typeface="Times New Roman" panose="02020603050405020304" pitchFamily="18" charset="0"/>
            <a:cs typeface="Times New Roman" panose="02020603050405020304" pitchFamily="18" charset="0"/>
          </a:endParaRPr>
        </a:p>
      </dsp:txBody>
      <dsp:txXfrm>
        <a:off x="2347331" y="2422751"/>
        <a:ext cx="18951" cy="18951"/>
      </dsp:txXfrm>
    </dsp:sp>
    <dsp:sp modelId="{2AA26576-1749-4A56-BEE4-9043164BE6F8}">
      <dsp:nvSpPr>
        <dsp:cNvPr id="0" name=""/>
        <dsp:cNvSpPr/>
      </dsp:nvSpPr>
      <dsp:spPr>
        <a:xfrm>
          <a:off x="2219599" y="2040056"/>
          <a:ext cx="274415" cy="261447"/>
        </a:xfrm>
        <a:custGeom>
          <a:avLst/>
          <a:gdLst/>
          <a:ahLst/>
          <a:cxnLst/>
          <a:rect l="0" t="0" r="0" b="0"/>
          <a:pathLst>
            <a:path>
              <a:moveTo>
                <a:pt x="0" y="261447"/>
              </a:moveTo>
              <a:lnTo>
                <a:pt x="137207" y="261447"/>
              </a:lnTo>
              <a:lnTo>
                <a:pt x="137207" y="0"/>
              </a:lnTo>
              <a:lnTo>
                <a:pt x="274415" y="0"/>
              </a:lnTo>
            </a:path>
          </a:pathLst>
        </a:custGeom>
        <a:noFill/>
        <a:ln w="12700" cap="flat" cmpd="sng" algn="ctr">
          <a:solidFill>
            <a:schemeClr val="dk2">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s-ES" sz="800" kern="1200">
            <a:solidFill>
              <a:sysClr val="windowText" lastClr="000000"/>
            </a:solidFill>
            <a:latin typeface="Times New Roman" panose="02020603050405020304" pitchFamily="18" charset="0"/>
            <a:cs typeface="Times New Roman" panose="02020603050405020304" pitchFamily="18" charset="0"/>
          </a:endParaRPr>
        </a:p>
      </dsp:txBody>
      <dsp:txXfrm>
        <a:off x="2347331" y="2161304"/>
        <a:ext cx="18951" cy="18951"/>
      </dsp:txXfrm>
    </dsp:sp>
    <dsp:sp modelId="{F81B984B-F38C-4F9A-9F96-C0D3D10EBC0B}">
      <dsp:nvSpPr>
        <dsp:cNvPr id="0" name=""/>
        <dsp:cNvSpPr/>
      </dsp:nvSpPr>
      <dsp:spPr>
        <a:xfrm>
          <a:off x="573108" y="1647885"/>
          <a:ext cx="274415" cy="653618"/>
        </a:xfrm>
        <a:custGeom>
          <a:avLst/>
          <a:gdLst/>
          <a:ahLst/>
          <a:cxnLst/>
          <a:rect l="0" t="0" r="0" b="0"/>
          <a:pathLst>
            <a:path>
              <a:moveTo>
                <a:pt x="0" y="0"/>
              </a:moveTo>
              <a:lnTo>
                <a:pt x="137207" y="0"/>
              </a:lnTo>
              <a:lnTo>
                <a:pt x="137207" y="653618"/>
              </a:lnTo>
              <a:lnTo>
                <a:pt x="274415" y="653618"/>
              </a:lnTo>
            </a:path>
          </a:pathLst>
        </a:custGeom>
        <a:noFill/>
        <a:ln w="12700" cap="flat" cmpd="sng" algn="ctr">
          <a:solidFill>
            <a:schemeClr val="dk2">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s-ES" sz="800" kern="1200">
            <a:solidFill>
              <a:sysClr val="windowText" lastClr="000000"/>
            </a:solidFill>
            <a:latin typeface="Times New Roman" panose="02020603050405020304" pitchFamily="18" charset="0"/>
            <a:cs typeface="Times New Roman" panose="02020603050405020304" pitchFamily="18" charset="0"/>
          </a:endParaRPr>
        </a:p>
      </dsp:txBody>
      <dsp:txXfrm>
        <a:off x="692594" y="1956972"/>
        <a:ext cx="35444" cy="35444"/>
      </dsp:txXfrm>
    </dsp:sp>
    <dsp:sp modelId="{D7E5B178-F8BD-4140-AB9D-E9BA15B756D4}">
      <dsp:nvSpPr>
        <dsp:cNvPr id="0" name=""/>
        <dsp:cNvSpPr/>
      </dsp:nvSpPr>
      <dsp:spPr>
        <a:xfrm>
          <a:off x="2219599" y="994266"/>
          <a:ext cx="274415" cy="522894"/>
        </a:xfrm>
        <a:custGeom>
          <a:avLst/>
          <a:gdLst/>
          <a:ahLst/>
          <a:cxnLst/>
          <a:rect l="0" t="0" r="0" b="0"/>
          <a:pathLst>
            <a:path>
              <a:moveTo>
                <a:pt x="0" y="0"/>
              </a:moveTo>
              <a:lnTo>
                <a:pt x="137207" y="0"/>
              </a:lnTo>
              <a:lnTo>
                <a:pt x="137207" y="522894"/>
              </a:lnTo>
              <a:lnTo>
                <a:pt x="274415" y="522894"/>
              </a:lnTo>
            </a:path>
          </a:pathLst>
        </a:custGeom>
        <a:noFill/>
        <a:ln w="12700" cap="flat" cmpd="sng" algn="ctr">
          <a:solidFill>
            <a:schemeClr val="dk2">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s-GT" sz="800" kern="1200">
            <a:solidFill>
              <a:sysClr val="windowText" lastClr="000000"/>
            </a:solidFill>
            <a:latin typeface="Times New Roman" panose="02020603050405020304" pitchFamily="18" charset="0"/>
            <a:cs typeface="Times New Roman" panose="02020603050405020304" pitchFamily="18" charset="0"/>
          </a:endParaRPr>
        </a:p>
      </dsp:txBody>
      <dsp:txXfrm>
        <a:off x="2342044" y="1240950"/>
        <a:ext cx="29526" cy="29526"/>
      </dsp:txXfrm>
    </dsp:sp>
    <dsp:sp modelId="{3654DC10-3D22-41FF-ACFF-573DD7526C2B}">
      <dsp:nvSpPr>
        <dsp:cNvPr id="0" name=""/>
        <dsp:cNvSpPr/>
      </dsp:nvSpPr>
      <dsp:spPr>
        <a:xfrm>
          <a:off x="2219599" y="948546"/>
          <a:ext cx="274415" cy="91440"/>
        </a:xfrm>
        <a:custGeom>
          <a:avLst/>
          <a:gdLst/>
          <a:ahLst/>
          <a:cxnLst/>
          <a:rect l="0" t="0" r="0" b="0"/>
          <a:pathLst>
            <a:path>
              <a:moveTo>
                <a:pt x="0" y="45720"/>
              </a:moveTo>
              <a:lnTo>
                <a:pt x="274415" y="45720"/>
              </a:lnTo>
            </a:path>
          </a:pathLst>
        </a:custGeom>
        <a:noFill/>
        <a:ln w="12700" cap="flat" cmpd="sng" algn="ctr">
          <a:solidFill>
            <a:schemeClr val="dk2">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s-ES" sz="800" kern="1200">
            <a:solidFill>
              <a:sysClr val="windowText" lastClr="000000"/>
            </a:solidFill>
            <a:latin typeface="Times New Roman" panose="02020603050405020304" pitchFamily="18" charset="0"/>
            <a:cs typeface="Times New Roman" panose="02020603050405020304" pitchFamily="18" charset="0"/>
          </a:endParaRPr>
        </a:p>
      </dsp:txBody>
      <dsp:txXfrm>
        <a:off x="2349947" y="987406"/>
        <a:ext cx="13720" cy="13720"/>
      </dsp:txXfrm>
    </dsp:sp>
    <dsp:sp modelId="{69AB9193-4AF2-43AC-A0D1-C1EE44CFE77E}">
      <dsp:nvSpPr>
        <dsp:cNvPr id="0" name=""/>
        <dsp:cNvSpPr/>
      </dsp:nvSpPr>
      <dsp:spPr>
        <a:xfrm>
          <a:off x="3866090" y="471372"/>
          <a:ext cx="274415" cy="261447"/>
        </a:xfrm>
        <a:custGeom>
          <a:avLst/>
          <a:gdLst/>
          <a:ahLst/>
          <a:cxnLst/>
          <a:rect l="0" t="0" r="0" b="0"/>
          <a:pathLst>
            <a:path>
              <a:moveTo>
                <a:pt x="0" y="0"/>
              </a:moveTo>
              <a:lnTo>
                <a:pt x="137207" y="0"/>
              </a:lnTo>
              <a:lnTo>
                <a:pt x="137207" y="261447"/>
              </a:lnTo>
              <a:lnTo>
                <a:pt x="274415" y="261447"/>
              </a:lnTo>
            </a:path>
          </a:pathLst>
        </a:custGeom>
        <a:noFill/>
        <a:ln w="12700" cap="flat" cmpd="sng" algn="ctr">
          <a:solidFill>
            <a:schemeClr val="dk2">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s-ES" sz="800" kern="1200">
            <a:solidFill>
              <a:sysClr val="windowText" lastClr="000000"/>
            </a:solidFill>
            <a:latin typeface="Times New Roman" panose="02020603050405020304" pitchFamily="18" charset="0"/>
            <a:cs typeface="Times New Roman" panose="02020603050405020304" pitchFamily="18" charset="0"/>
          </a:endParaRPr>
        </a:p>
      </dsp:txBody>
      <dsp:txXfrm>
        <a:off x="3993822" y="592620"/>
        <a:ext cx="18951" cy="18951"/>
      </dsp:txXfrm>
    </dsp:sp>
    <dsp:sp modelId="{39B67397-863B-4AE7-AFC4-94D71AC942DC}">
      <dsp:nvSpPr>
        <dsp:cNvPr id="0" name=""/>
        <dsp:cNvSpPr/>
      </dsp:nvSpPr>
      <dsp:spPr>
        <a:xfrm>
          <a:off x="3866090" y="209924"/>
          <a:ext cx="274415" cy="261447"/>
        </a:xfrm>
        <a:custGeom>
          <a:avLst/>
          <a:gdLst/>
          <a:ahLst/>
          <a:cxnLst/>
          <a:rect l="0" t="0" r="0" b="0"/>
          <a:pathLst>
            <a:path>
              <a:moveTo>
                <a:pt x="0" y="261447"/>
              </a:moveTo>
              <a:lnTo>
                <a:pt x="137207" y="261447"/>
              </a:lnTo>
              <a:lnTo>
                <a:pt x="137207" y="0"/>
              </a:lnTo>
              <a:lnTo>
                <a:pt x="274415" y="0"/>
              </a:lnTo>
            </a:path>
          </a:pathLst>
        </a:custGeom>
        <a:noFill/>
        <a:ln w="12700" cap="flat" cmpd="sng" algn="ctr">
          <a:solidFill>
            <a:schemeClr val="dk2">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s-ES" sz="800" kern="1200">
            <a:solidFill>
              <a:sysClr val="windowText" lastClr="000000"/>
            </a:solidFill>
            <a:latin typeface="Times New Roman" panose="02020603050405020304" pitchFamily="18" charset="0"/>
            <a:cs typeface="Times New Roman" panose="02020603050405020304" pitchFamily="18" charset="0"/>
          </a:endParaRPr>
        </a:p>
      </dsp:txBody>
      <dsp:txXfrm>
        <a:off x="3993822" y="331172"/>
        <a:ext cx="18951" cy="18951"/>
      </dsp:txXfrm>
    </dsp:sp>
    <dsp:sp modelId="{B91D9E09-FFBE-40F3-9C4B-00B3764EAA26}">
      <dsp:nvSpPr>
        <dsp:cNvPr id="0" name=""/>
        <dsp:cNvSpPr/>
      </dsp:nvSpPr>
      <dsp:spPr>
        <a:xfrm>
          <a:off x="2219599" y="471372"/>
          <a:ext cx="274415" cy="522894"/>
        </a:xfrm>
        <a:custGeom>
          <a:avLst/>
          <a:gdLst/>
          <a:ahLst/>
          <a:cxnLst/>
          <a:rect l="0" t="0" r="0" b="0"/>
          <a:pathLst>
            <a:path>
              <a:moveTo>
                <a:pt x="0" y="522894"/>
              </a:moveTo>
              <a:lnTo>
                <a:pt x="137207" y="522894"/>
              </a:lnTo>
              <a:lnTo>
                <a:pt x="137207" y="0"/>
              </a:lnTo>
              <a:lnTo>
                <a:pt x="274415" y="0"/>
              </a:lnTo>
            </a:path>
          </a:pathLst>
        </a:custGeom>
        <a:noFill/>
        <a:ln w="12700" cap="flat" cmpd="sng" algn="ctr">
          <a:solidFill>
            <a:schemeClr val="dk2">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s-ES" sz="800" kern="1200">
            <a:solidFill>
              <a:sysClr val="windowText" lastClr="000000"/>
            </a:solidFill>
            <a:latin typeface="Times New Roman" panose="02020603050405020304" pitchFamily="18" charset="0"/>
            <a:cs typeface="Times New Roman" panose="02020603050405020304" pitchFamily="18" charset="0"/>
          </a:endParaRPr>
        </a:p>
      </dsp:txBody>
      <dsp:txXfrm>
        <a:off x="2342044" y="718056"/>
        <a:ext cx="29526" cy="29526"/>
      </dsp:txXfrm>
    </dsp:sp>
    <dsp:sp modelId="{A88113A6-8101-46EF-97A2-10A651268964}">
      <dsp:nvSpPr>
        <dsp:cNvPr id="0" name=""/>
        <dsp:cNvSpPr/>
      </dsp:nvSpPr>
      <dsp:spPr>
        <a:xfrm>
          <a:off x="573108" y="994266"/>
          <a:ext cx="274415" cy="653618"/>
        </a:xfrm>
        <a:custGeom>
          <a:avLst/>
          <a:gdLst/>
          <a:ahLst/>
          <a:cxnLst/>
          <a:rect l="0" t="0" r="0" b="0"/>
          <a:pathLst>
            <a:path>
              <a:moveTo>
                <a:pt x="0" y="653618"/>
              </a:moveTo>
              <a:lnTo>
                <a:pt x="137207" y="653618"/>
              </a:lnTo>
              <a:lnTo>
                <a:pt x="137207" y="0"/>
              </a:lnTo>
              <a:lnTo>
                <a:pt x="274415" y="0"/>
              </a:lnTo>
            </a:path>
          </a:pathLst>
        </a:custGeom>
        <a:noFill/>
        <a:ln w="12700" cap="flat" cmpd="sng" algn="ctr">
          <a:solidFill>
            <a:schemeClr val="dk2">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s-ES" sz="800" kern="1200">
            <a:solidFill>
              <a:sysClr val="windowText" lastClr="000000"/>
            </a:solidFill>
            <a:latin typeface="Times New Roman" panose="02020603050405020304" pitchFamily="18" charset="0"/>
            <a:cs typeface="Times New Roman" panose="02020603050405020304" pitchFamily="18" charset="0"/>
          </a:endParaRPr>
        </a:p>
      </dsp:txBody>
      <dsp:txXfrm>
        <a:off x="692594" y="1303353"/>
        <a:ext cx="35444" cy="35444"/>
      </dsp:txXfrm>
    </dsp:sp>
    <dsp:sp modelId="{97AF53B9-E39D-4D13-A5BA-798804F384F0}">
      <dsp:nvSpPr>
        <dsp:cNvPr id="0" name=""/>
        <dsp:cNvSpPr/>
      </dsp:nvSpPr>
      <dsp:spPr>
        <a:xfrm rot="16200000">
          <a:off x="-736880" y="1438727"/>
          <a:ext cx="2201662" cy="418315"/>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Text" lastClr="000000"/>
              </a:solidFill>
              <a:latin typeface="Times New Roman" panose="02020603050405020304" pitchFamily="18" charset="0"/>
              <a:cs typeface="Times New Roman" panose="02020603050405020304" pitchFamily="18" charset="0"/>
            </a:rPr>
            <a:t>Sector Público</a:t>
          </a:r>
        </a:p>
      </dsp:txBody>
      <dsp:txXfrm>
        <a:off x="-736880" y="1438727"/>
        <a:ext cx="2201662" cy="418315"/>
      </dsp:txXfrm>
    </dsp:sp>
    <dsp:sp modelId="{84719F2D-717A-4153-8DC2-FE122C73ED29}">
      <dsp:nvSpPr>
        <dsp:cNvPr id="0" name=""/>
        <dsp:cNvSpPr/>
      </dsp:nvSpPr>
      <dsp:spPr>
        <a:xfrm>
          <a:off x="847524" y="785108"/>
          <a:ext cx="1372075" cy="418315"/>
        </a:xfrm>
        <a:prstGeom prst="rect">
          <a:avLst/>
        </a:prstGeom>
        <a:solidFill>
          <a:schemeClr val="accent6">
            <a:lumMod val="40000"/>
            <a:lumOff val="60000"/>
          </a:schemeClr>
        </a:solidFill>
        <a:ln w="28575">
          <a:solidFill>
            <a:srgbClr val="FF0000"/>
          </a:solid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Text" lastClr="000000"/>
              </a:solidFill>
              <a:latin typeface="Times New Roman" panose="02020603050405020304" pitchFamily="18" charset="0"/>
              <a:cs typeface="Times New Roman" panose="02020603050405020304" pitchFamily="18" charset="0"/>
            </a:rPr>
            <a:t>Gobierno General</a:t>
          </a:r>
        </a:p>
      </dsp:txBody>
      <dsp:txXfrm>
        <a:off x="847524" y="785108"/>
        <a:ext cx="1372075" cy="418315"/>
      </dsp:txXfrm>
    </dsp:sp>
    <dsp:sp modelId="{F08246C8-8069-47BF-AF31-E366D5BC5CCD}">
      <dsp:nvSpPr>
        <dsp:cNvPr id="0" name=""/>
        <dsp:cNvSpPr/>
      </dsp:nvSpPr>
      <dsp:spPr>
        <a:xfrm>
          <a:off x="2494015" y="262214"/>
          <a:ext cx="1372075" cy="418315"/>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Text" lastClr="000000"/>
              </a:solidFill>
              <a:latin typeface="Times New Roman" panose="02020603050405020304" pitchFamily="18" charset="0"/>
              <a:cs typeface="Times New Roman" panose="02020603050405020304" pitchFamily="18" charset="0"/>
            </a:rPr>
            <a:t>Gobierno Central</a:t>
          </a:r>
        </a:p>
      </dsp:txBody>
      <dsp:txXfrm>
        <a:off x="2494015" y="262214"/>
        <a:ext cx="1372075" cy="418315"/>
      </dsp:txXfrm>
    </dsp:sp>
    <dsp:sp modelId="{90B2A33F-F5C4-49C7-88B9-A593099CAA99}">
      <dsp:nvSpPr>
        <dsp:cNvPr id="0" name=""/>
        <dsp:cNvSpPr/>
      </dsp:nvSpPr>
      <dsp:spPr>
        <a:xfrm>
          <a:off x="4140506" y="766"/>
          <a:ext cx="1372075" cy="418315"/>
        </a:xfrm>
        <a:prstGeom prst="rect">
          <a:avLst/>
        </a:prstGeom>
        <a:solidFill>
          <a:schemeClr val="accent6">
            <a:lumMod val="40000"/>
            <a:lumOff val="60000"/>
          </a:schemeClr>
        </a:solidFill>
        <a:ln w="28575">
          <a:solidFill>
            <a:srgbClr val="FF0000"/>
          </a:solid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Text" lastClr="000000"/>
              </a:solidFill>
              <a:latin typeface="Times New Roman" panose="02020603050405020304" pitchFamily="18" charset="0"/>
              <a:cs typeface="Times New Roman" panose="02020603050405020304" pitchFamily="18" charset="0"/>
            </a:rPr>
            <a:t>Presupuestario</a:t>
          </a:r>
        </a:p>
      </dsp:txBody>
      <dsp:txXfrm>
        <a:off x="4140506" y="766"/>
        <a:ext cx="1372075" cy="418315"/>
      </dsp:txXfrm>
    </dsp:sp>
    <dsp:sp modelId="{E712BBC7-1FA1-4325-9D92-B4F9CE49082E}">
      <dsp:nvSpPr>
        <dsp:cNvPr id="0" name=""/>
        <dsp:cNvSpPr/>
      </dsp:nvSpPr>
      <dsp:spPr>
        <a:xfrm>
          <a:off x="4140506" y="523661"/>
          <a:ext cx="1372075" cy="418315"/>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Text" lastClr="000000"/>
              </a:solidFill>
              <a:latin typeface="Times New Roman" panose="02020603050405020304" pitchFamily="18" charset="0"/>
              <a:cs typeface="Times New Roman" panose="02020603050405020304" pitchFamily="18" charset="0"/>
            </a:rPr>
            <a:t>Extrapresupuestario </a:t>
          </a:r>
        </a:p>
      </dsp:txBody>
      <dsp:txXfrm>
        <a:off x="4140506" y="523661"/>
        <a:ext cx="1372075" cy="418315"/>
      </dsp:txXfrm>
    </dsp:sp>
    <dsp:sp modelId="{C1731FAD-79DD-49CC-8C58-FB15CB2A049A}">
      <dsp:nvSpPr>
        <dsp:cNvPr id="0" name=""/>
        <dsp:cNvSpPr/>
      </dsp:nvSpPr>
      <dsp:spPr>
        <a:xfrm>
          <a:off x="2494015" y="785108"/>
          <a:ext cx="1372075" cy="418315"/>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Text" lastClr="000000"/>
              </a:solidFill>
              <a:latin typeface="Times New Roman" panose="02020603050405020304" pitchFamily="18" charset="0"/>
              <a:cs typeface="Times New Roman" panose="02020603050405020304" pitchFamily="18" charset="0"/>
            </a:rPr>
            <a:t>Gobierno Locales</a:t>
          </a:r>
        </a:p>
      </dsp:txBody>
      <dsp:txXfrm>
        <a:off x="2494015" y="785108"/>
        <a:ext cx="1372075" cy="418315"/>
      </dsp:txXfrm>
    </dsp:sp>
    <dsp:sp modelId="{BA8F22A0-AED2-44D9-A9A5-7D3C4D7DD7E9}">
      <dsp:nvSpPr>
        <dsp:cNvPr id="0" name=""/>
        <dsp:cNvSpPr/>
      </dsp:nvSpPr>
      <dsp:spPr>
        <a:xfrm>
          <a:off x="2494015" y="1308003"/>
          <a:ext cx="1372075" cy="418315"/>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Text" lastClr="000000"/>
              </a:solidFill>
              <a:latin typeface="Times New Roman" panose="02020603050405020304" pitchFamily="18" charset="0"/>
              <a:cs typeface="Times New Roman" panose="02020603050405020304" pitchFamily="18" charset="0"/>
            </a:rPr>
            <a:t>Fondos de Seguridad Social</a:t>
          </a:r>
        </a:p>
      </dsp:txBody>
      <dsp:txXfrm>
        <a:off x="2494015" y="1308003"/>
        <a:ext cx="1372075" cy="418315"/>
      </dsp:txXfrm>
    </dsp:sp>
    <dsp:sp modelId="{327CF8F1-9540-46EA-87CA-646B6C0ECDA0}">
      <dsp:nvSpPr>
        <dsp:cNvPr id="0" name=""/>
        <dsp:cNvSpPr/>
      </dsp:nvSpPr>
      <dsp:spPr>
        <a:xfrm>
          <a:off x="847524" y="2092345"/>
          <a:ext cx="1372075" cy="418315"/>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Text" lastClr="000000"/>
              </a:solidFill>
              <a:latin typeface="Times New Roman" panose="02020603050405020304" pitchFamily="18" charset="0"/>
              <a:cs typeface="Times New Roman" panose="02020603050405020304" pitchFamily="18" charset="0"/>
            </a:rPr>
            <a:t>Sociedades Públicas</a:t>
          </a:r>
        </a:p>
      </dsp:txBody>
      <dsp:txXfrm>
        <a:off x="847524" y="2092345"/>
        <a:ext cx="1372075" cy="418315"/>
      </dsp:txXfrm>
    </dsp:sp>
    <dsp:sp modelId="{A07DC19F-30B7-4020-A8E2-723B732B9608}">
      <dsp:nvSpPr>
        <dsp:cNvPr id="0" name=""/>
        <dsp:cNvSpPr/>
      </dsp:nvSpPr>
      <dsp:spPr>
        <a:xfrm>
          <a:off x="2494015" y="1830898"/>
          <a:ext cx="1372075" cy="418315"/>
        </a:xfrm>
        <a:prstGeom prst="rect">
          <a:avLst/>
        </a:prstGeom>
        <a:solidFill>
          <a:schemeClr val="accent6">
            <a:lumMod val="60000"/>
            <a:lumOff val="40000"/>
          </a:schemeClr>
        </a:solidFill>
        <a:ln w="38100">
          <a:solidFill>
            <a:srgbClr val="FF0000"/>
          </a:solid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Text" lastClr="000000"/>
              </a:solidFill>
              <a:latin typeface="Times New Roman" panose="02020603050405020304" pitchFamily="18" charset="0"/>
              <a:cs typeface="Times New Roman" panose="02020603050405020304" pitchFamily="18" charset="0"/>
            </a:rPr>
            <a:t>No financieras</a:t>
          </a:r>
        </a:p>
      </dsp:txBody>
      <dsp:txXfrm>
        <a:off x="2494015" y="1830898"/>
        <a:ext cx="1372075" cy="418315"/>
      </dsp:txXfrm>
    </dsp:sp>
    <dsp:sp modelId="{E8093928-4344-4CF3-AAAE-094C2B47DA4D}">
      <dsp:nvSpPr>
        <dsp:cNvPr id="0" name=""/>
        <dsp:cNvSpPr/>
      </dsp:nvSpPr>
      <dsp:spPr>
        <a:xfrm>
          <a:off x="2494015" y="2353793"/>
          <a:ext cx="1372075" cy="418315"/>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Text" lastClr="000000"/>
              </a:solidFill>
              <a:latin typeface="Times New Roman" panose="02020603050405020304" pitchFamily="18" charset="0"/>
              <a:cs typeface="Times New Roman" panose="02020603050405020304" pitchFamily="18" charset="0"/>
            </a:rPr>
            <a:t>Financieras</a:t>
          </a:r>
        </a:p>
      </dsp:txBody>
      <dsp:txXfrm>
        <a:off x="2494015" y="2353793"/>
        <a:ext cx="1372075" cy="418315"/>
      </dsp:txXfrm>
    </dsp:sp>
    <dsp:sp modelId="{557B9BD5-88F8-4DD8-938B-FD24C22D76F5}">
      <dsp:nvSpPr>
        <dsp:cNvPr id="0" name=""/>
        <dsp:cNvSpPr/>
      </dsp:nvSpPr>
      <dsp:spPr>
        <a:xfrm>
          <a:off x="4140506" y="2092345"/>
          <a:ext cx="1372075" cy="418315"/>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Text" lastClr="000000"/>
              </a:solidFill>
              <a:latin typeface="Times New Roman" panose="02020603050405020304" pitchFamily="18" charset="0"/>
              <a:cs typeface="Times New Roman" panose="02020603050405020304" pitchFamily="18" charset="0"/>
            </a:rPr>
            <a:t>De depósito</a:t>
          </a:r>
        </a:p>
      </dsp:txBody>
      <dsp:txXfrm>
        <a:off x="4140506" y="2092345"/>
        <a:ext cx="1372075" cy="418315"/>
      </dsp:txXfrm>
    </dsp:sp>
    <dsp:sp modelId="{3EA8F71C-4C27-41E8-84CF-75EEF65B99D1}">
      <dsp:nvSpPr>
        <dsp:cNvPr id="0" name=""/>
        <dsp:cNvSpPr/>
      </dsp:nvSpPr>
      <dsp:spPr>
        <a:xfrm>
          <a:off x="4140506" y="2615240"/>
          <a:ext cx="1372075" cy="418315"/>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Text" lastClr="000000"/>
              </a:solidFill>
              <a:latin typeface="Times New Roman" panose="02020603050405020304" pitchFamily="18" charset="0"/>
              <a:cs typeface="Times New Roman" panose="02020603050405020304" pitchFamily="18" charset="0"/>
            </a:rPr>
            <a:t>Otras sociedades públicas financieras</a:t>
          </a:r>
        </a:p>
      </dsp:txBody>
      <dsp:txXfrm>
        <a:off x="4140506" y="2615240"/>
        <a:ext cx="1372075" cy="418315"/>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0.62165</cdr:x>
      <cdr:y>0</cdr:y>
    </cdr:from>
    <cdr:to>
      <cdr:x>0.99633</cdr:x>
      <cdr:y>0.99931</cdr:y>
    </cdr:to>
    <cdr:sp macro="" textlink="">
      <cdr:nvSpPr>
        <cdr:cNvPr id="2" name="Rectángulo 1"/>
        <cdr:cNvSpPr/>
      </cdr:nvSpPr>
      <cdr:spPr>
        <a:xfrm xmlns:a="http://schemas.openxmlformats.org/drawingml/2006/main">
          <a:off x="3499035" y="0"/>
          <a:ext cx="2108934" cy="3144902"/>
        </a:xfrm>
        <a:prstGeom xmlns:a="http://schemas.openxmlformats.org/drawingml/2006/main" prst="rect">
          <a:avLst/>
        </a:prstGeom>
        <a:solidFill xmlns:a="http://schemas.openxmlformats.org/drawingml/2006/main">
          <a:srgbClr val="FFFF00">
            <a:alpha val="8000"/>
          </a:srgb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s-GT"/>
        </a:p>
      </cdr:txBody>
    </cdr:sp>
  </cdr:relSizeAnchor>
  <cdr:relSizeAnchor xmlns:cdr="http://schemas.openxmlformats.org/drawingml/2006/chartDrawing">
    <cdr:from>
      <cdr:x>0.57563</cdr:x>
      <cdr:y>0.23681</cdr:y>
    </cdr:from>
    <cdr:to>
      <cdr:x>0.80758</cdr:x>
      <cdr:y>0.29728</cdr:y>
    </cdr:to>
    <cdr:sp macro="" textlink="">
      <cdr:nvSpPr>
        <cdr:cNvPr id="3" name="Rectángulo 2"/>
        <cdr:cNvSpPr/>
      </cdr:nvSpPr>
      <cdr:spPr>
        <a:xfrm xmlns:a="http://schemas.openxmlformats.org/drawingml/2006/main">
          <a:off x="3240042" y="745264"/>
          <a:ext cx="1305531" cy="19028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es-GT" sz="800" b="1">
              <a:solidFill>
                <a:srgbClr val="0070C0"/>
              </a:solidFill>
              <a:latin typeface="Times New Roman" panose="02020603050405020304" pitchFamily="18" charset="0"/>
              <a:cs typeface="Times New Roman" panose="02020603050405020304" pitchFamily="18" charset="0"/>
            </a:rPr>
            <a:t>Pandemia </a:t>
          </a:r>
        </a:p>
      </cdr:txBody>
    </cdr:sp>
  </cdr:relSizeAnchor>
  <cdr:relSizeAnchor xmlns:cdr="http://schemas.openxmlformats.org/drawingml/2006/chartDrawing">
    <cdr:from>
      <cdr:x>0.83199</cdr:x>
      <cdr:y>0.13875</cdr:y>
    </cdr:from>
    <cdr:to>
      <cdr:x>1</cdr:x>
      <cdr:y>0.19921</cdr:y>
    </cdr:to>
    <cdr:sp macro="" textlink="">
      <cdr:nvSpPr>
        <cdr:cNvPr id="4" name="Rectángulo 3"/>
        <cdr:cNvSpPr/>
      </cdr:nvSpPr>
      <cdr:spPr>
        <a:xfrm xmlns:a="http://schemas.openxmlformats.org/drawingml/2006/main">
          <a:off x="4682997" y="436645"/>
          <a:ext cx="945643" cy="19028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s-GT" sz="800" b="1">
              <a:solidFill>
                <a:srgbClr val="00B0F0"/>
              </a:solidFill>
              <a:latin typeface="Times New Roman" panose="02020603050405020304" pitchFamily="18" charset="0"/>
              <a:cs typeface="Times New Roman" panose="02020603050405020304" pitchFamily="18" charset="0"/>
            </a:rPr>
            <a:t>Guerra</a:t>
          </a:r>
          <a:r>
            <a:rPr lang="es-GT" sz="800" b="1" baseline="0">
              <a:solidFill>
                <a:srgbClr val="00B0F0"/>
              </a:solidFill>
              <a:latin typeface="Times New Roman" panose="02020603050405020304" pitchFamily="18" charset="0"/>
              <a:cs typeface="Times New Roman" panose="02020603050405020304" pitchFamily="18" charset="0"/>
            </a:rPr>
            <a:t> Rusia y Ucrania</a:t>
          </a:r>
          <a:r>
            <a:rPr lang="es-GT" sz="800" b="1">
              <a:solidFill>
                <a:srgbClr val="00B0F0"/>
              </a:solidFill>
              <a:latin typeface="Times New Roman" panose="02020603050405020304" pitchFamily="18" charset="0"/>
              <a:cs typeface="Times New Roman" panose="02020603050405020304" pitchFamily="18" charset="0"/>
            </a:rPr>
            <a:t> </a:t>
          </a:r>
        </a:p>
      </cdr:txBody>
    </cdr:sp>
  </cdr:relSizeAnchor>
  <cdr:relSizeAnchor xmlns:cdr="http://schemas.openxmlformats.org/drawingml/2006/chartDrawing">
    <cdr:from>
      <cdr:x>0.07231</cdr:x>
      <cdr:y>0.33861</cdr:y>
    </cdr:from>
    <cdr:to>
      <cdr:x>0.19532</cdr:x>
      <cdr:y>0.39907</cdr:y>
    </cdr:to>
    <cdr:sp macro="" textlink="">
      <cdr:nvSpPr>
        <cdr:cNvPr id="5" name="Rectángulo 4"/>
        <cdr:cNvSpPr/>
      </cdr:nvSpPr>
      <cdr:spPr>
        <a:xfrm xmlns:a="http://schemas.openxmlformats.org/drawingml/2006/main">
          <a:off x="406988" y="1065627"/>
          <a:ext cx="692407" cy="19028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s-GT" sz="800" b="1">
              <a:solidFill>
                <a:srgbClr val="0070C0"/>
              </a:solidFill>
              <a:latin typeface="Times New Roman" panose="02020603050405020304" pitchFamily="18" charset="0"/>
              <a:cs typeface="Times New Roman" panose="02020603050405020304" pitchFamily="18" charset="0"/>
            </a:rPr>
            <a:t>Crisis 2009 </a:t>
          </a:r>
        </a:p>
      </cdr:txBody>
    </cdr:sp>
  </cdr:relSizeAnchor>
  <cdr:relSizeAnchor xmlns:cdr="http://schemas.openxmlformats.org/drawingml/2006/chartDrawing">
    <cdr:from>
      <cdr:x>0.06753</cdr:x>
      <cdr:y>0</cdr:y>
    </cdr:from>
    <cdr:to>
      <cdr:x>0.19344</cdr:x>
      <cdr:y>0.99931</cdr:y>
    </cdr:to>
    <cdr:sp macro="" textlink="">
      <cdr:nvSpPr>
        <cdr:cNvPr id="6" name="Rectángulo 5"/>
        <cdr:cNvSpPr/>
      </cdr:nvSpPr>
      <cdr:spPr>
        <a:xfrm xmlns:a="http://schemas.openxmlformats.org/drawingml/2006/main">
          <a:off x="380090" y="0"/>
          <a:ext cx="708734" cy="3144902"/>
        </a:xfrm>
        <a:prstGeom xmlns:a="http://schemas.openxmlformats.org/drawingml/2006/main" prst="rect">
          <a:avLst/>
        </a:prstGeom>
        <a:solidFill xmlns:a="http://schemas.openxmlformats.org/drawingml/2006/main">
          <a:srgbClr val="FFFF00">
            <a:alpha val="8000"/>
          </a:srgb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s-GT"/>
        </a:p>
      </cdr:txBody>
    </cdr:sp>
  </cdr:relSizeAnchor>
</c:userShapes>
</file>

<file path=word/drawings/drawing2.xml><?xml version="1.0" encoding="utf-8"?>
<c:userShapes xmlns:c="http://schemas.openxmlformats.org/drawingml/2006/chart">
  <cdr:relSizeAnchor xmlns:cdr="http://schemas.openxmlformats.org/drawingml/2006/chartDrawing">
    <cdr:from>
      <cdr:x>0.13901</cdr:x>
      <cdr:y>0</cdr:y>
    </cdr:from>
    <cdr:to>
      <cdr:x>0.90622</cdr:x>
      <cdr:y>0.20325</cdr:y>
    </cdr:to>
    <cdr:sp macro="" textlink="">
      <cdr:nvSpPr>
        <cdr:cNvPr id="2" name="Cuadro de texto 1"/>
        <cdr:cNvSpPr txBox="1"/>
      </cdr:nvSpPr>
      <cdr:spPr>
        <a:xfrm xmlns:a="http://schemas.openxmlformats.org/drawingml/2006/main">
          <a:off x="487710" y="0"/>
          <a:ext cx="2691667" cy="40551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endParaRPr lang="es-GT" sz="105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0.0204</cdr:x>
      <cdr:y>0.90342</cdr:y>
    </cdr:from>
    <cdr:to>
      <cdr:x>0.85216</cdr:x>
      <cdr:y>1</cdr:y>
    </cdr:to>
    <cdr:sp macro="" textlink="">
      <cdr:nvSpPr>
        <cdr:cNvPr id="3" name="Cuadro de texto 2"/>
        <cdr:cNvSpPr txBox="1"/>
      </cdr:nvSpPr>
      <cdr:spPr>
        <a:xfrm xmlns:a="http://schemas.openxmlformats.org/drawingml/2006/main">
          <a:off x="68177" y="1955655"/>
          <a:ext cx="2779746" cy="2090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GT" sz="900">
              <a:latin typeface="Times New Roman" panose="02020603050405020304" pitchFamily="18" charset="0"/>
              <a:cs typeface="Times New Roman" panose="02020603050405020304" pitchFamily="18" charset="0"/>
            </a:rPr>
            <a:t>Fuente: Dirección de Análisis y Política Fiscal.</a:t>
          </a:r>
        </a:p>
      </cdr:txBody>
    </cdr:sp>
  </cdr:relSizeAnchor>
</c:userShapes>
</file>

<file path=word/drawings/drawing3.xml><?xml version="1.0" encoding="utf-8"?>
<c:userShapes xmlns:c="http://schemas.openxmlformats.org/drawingml/2006/chart">
  <cdr:relSizeAnchor xmlns:cdr="http://schemas.openxmlformats.org/drawingml/2006/chartDrawing">
    <cdr:from>
      <cdr:x>0.93375</cdr:x>
      <cdr:y>0.03477</cdr:y>
    </cdr:from>
    <cdr:to>
      <cdr:x>0.93375</cdr:x>
      <cdr:y>0.11989</cdr:y>
    </cdr:to>
    <cdr:cxnSp macro="">
      <cdr:nvCxnSpPr>
        <cdr:cNvPr id="3" name="Straight Arrow Connector 2"/>
        <cdr:cNvCxnSpPr/>
      </cdr:nvCxnSpPr>
      <cdr:spPr>
        <a:xfrm xmlns:a="http://schemas.openxmlformats.org/drawingml/2006/main" flipV="1">
          <a:off x="5240333" y="112697"/>
          <a:ext cx="0" cy="275878"/>
        </a:xfrm>
        <a:prstGeom xmlns:a="http://schemas.openxmlformats.org/drawingml/2006/main" prst="straightConnector1">
          <a:avLst/>
        </a:prstGeom>
        <a:ln xmlns:a="http://schemas.openxmlformats.org/drawingml/2006/main" w="38100">
          <a:solidFill>
            <a:srgbClr val="C0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3CB711-B211-463D-9904-10C57EF43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69</Pages>
  <Words>24456</Words>
  <Characters>134511</Characters>
  <Application>Microsoft Office Word</Application>
  <DocSecurity>0</DocSecurity>
  <Lines>1120</Lines>
  <Paragraphs>317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Saul Enrique De León Meneses</cp:lastModifiedBy>
  <cp:revision>2</cp:revision>
  <cp:lastPrinted>2023-01-27T23:43:00Z</cp:lastPrinted>
  <dcterms:created xsi:type="dcterms:W3CDTF">2023-03-09T16:27:00Z</dcterms:created>
  <dcterms:modified xsi:type="dcterms:W3CDTF">2023-03-09T16:27:00Z</dcterms:modified>
</cp:coreProperties>
</file>